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华文行楷"/>
          <w:b/>
          <w:sz w:val="52"/>
        </w:rPr>
        <w:t>西安交通大学</w:t>
      </w:r>
    </w:p>
    <w:p>
      <w:pPr>
        <w:spacing w:line="360" w:lineRule="auto" w:before="0" w:after="0"/>
        <w:jc w:val="both"/>
      </w:pPr>
    </w:p>
    <w:p>
      <w:pPr>
        <w:spacing w:line="360" w:lineRule="auto" w:before="0" w:after="0"/>
        <w:jc w:val="center"/>
      </w:pPr>
      <w:r>
        <w:rPr>
          <w:rFonts w:ascii="Times New Roman" w:hAnsi="Times New Roman" w:eastAsia="黑体"/>
          <w:b/>
          <w:sz w:val="44"/>
        </w:rPr>
        <w:t>硕士研究生中期进展报告</w:t>
      </w:r>
    </w:p>
    <w:p>
      <w:pPr>
        <w:spacing w:line="360" w:lineRule="auto" w:before="0" w:after="0"/>
        <w:jc w:val="both"/>
      </w:pPr>
    </w:p>
    <w:p>
      <w:pPr>
        <w:spacing w:line="360" w:lineRule="auto" w:before="0" w:after="0"/>
        <w:jc w:val="both"/>
      </w:pPr>
    </w:p>
    <w:p>
      <w:pPr>
        <w:spacing w:line="360" w:lineRule="auto" w:before="0" w:after="0"/>
        <w:jc w:val="both"/>
      </w:pPr>
    </w:p>
    <w:p>
      <w:pPr>
        <w:spacing w:line="480" w:lineRule="auto" w:before="40" w:after="40"/>
        <w:jc w:val="both"/>
      </w:pPr>
      <w:r>
        <w:rPr>
          <w:rFonts w:ascii="Times New Roman" w:hAnsi="Times New Roman" w:eastAsia="宋体"/>
          <w:b/>
          <w:sz w:val="30"/>
        </w:rPr>
        <w:t>学    号：</w:t>
      </w:r>
      <w:r>
        <w:rPr>
          <w:rFonts w:ascii="Times New Roman" w:hAnsi="Times New Roman" w:eastAsia="宋体"/>
          <w:b w:val="0"/>
          <w:sz w:val="30"/>
        </w:rPr>
        <w:t xml:space="preserve">  [待补充]</w:t>
      </w:r>
    </w:p>
    <w:p>
      <w:pPr>
        <w:spacing w:line="480" w:lineRule="auto" w:before="40" w:after="40"/>
        <w:jc w:val="both"/>
      </w:pPr>
      <w:r>
        <w:rPr>
          <w:rFonts w:ascii="Times New Roman" w:hAnsi="Times New Roman" w:eastAsia="宋体"/>
          <w:b/>
          <w:sz w:val="30"/>
        </w:rPr>
        <w:t>姓    名：</w:t>
      </w:r>
      <w:r>
        <w:rPr>
          <w:rFonts w:ascii="Times New Roman" w:hAnsi="Times New Roman" w:eastAsia="宋体"/>
          <w:b w:val="0"/>
          <w:sz w:val="30"/>
        </w:rPr>
        <w:t xml:space="preserve">  [待补充]</w:t>
      </w:r>
    </w:p>
    <w:p>
      <w:pPr>
        <w:spacing w:line="480" w:lineRule="auto" w:before="40" w:after="40"/>
        <w:jc w:val="both"/>
      </w:pPr>
      <w:r>
        <w:rPr>
          <w:rFonts w:ascii="Times New Roman" w:hAnsi="Times New Roman" w:eastAsia="宋体"/>
          <w:b/>
          <w:sz w:val="30"/>
        </w:rPr>
        <w:t>导    师：</w:t>
      </w:r>
      <w:r>
        <w:rPr>
          <w:rFonts w:ascii="Times New Roman" w:hAnsi="Times New Roman" w:eastAsia="宋体"/>
          <w:b w:val="0"/>
          <w:sz w:val="30"/>
        </w:rPr>
        <w:t xml:space="preserve">  [待补充]</w:t>
      </w:r>
    </w:p>
    <w:p>
      <w:pPr>
        <w:spacing w:line="480" w:lineRule="auto" w:before="40" w:after="40"/>
        <w:jc w:val="both"/>
      </w:pPr>
      <w:r>
        <w:rPr>
          <w:rFonts w:ascii="Times New Roman" w:hAnsi="Times New Roman" w:eastAsia="宋体"/>
          <w:b/>
          <w:sz w:val="30"/>
        </w:rPr>
        <w:t>论文题目：</w:t>
      </w:r>
      <w:r>
        <w:rPr>
          <w:rFonts w:ascii="Times New Roman" w:hAnsi="Times New Roman" w:eastAsia="宋体"/>
          <w:b w:val="0"/>
          <w:sz w:val="30"/>
        </w:rPr>
        <w:t xml:space="preserve">  基于频域增强与状态空间模型的图像恢复方法研究</w:t>
      </w:r>
    </w:p>
    <w:p>
      <w:pPr>
        <w:spacing w:line="480" w:lineRule="auto" w:before="40" w:after="40"/>
        <w:jc w:val="both"/>
      </w:pPr>
      <w:r>
        <w:rPr>
          <w:rFonts w:ascii="Times New Roman" w:hAnsi="Times New Roman" w:eastAsia="宋体"/>
          <w:b/>
          <w:sz w:val="30"/>
        </w:rPr>
        <w:t>学科专业：</w:t>
      </w:r>
      <w:r>
        <w:rPr>
          <w:rFonts w:ascii="Times New Roman" w:hAnsi="Times New Roman" w:eastAsia="宋体"/>
          <w:b w:val="0"/>
          <w:sz w:val="30"/>
        </w:rPr>
        <w:t xml:space="preserve">  [待补充]</w:t>
      </w:r>
    </w:p>
    <w:p>
      <w:pPr>
        <w:spacing w:line="480" w:lineRule="auto" w:before="40" w:after="40"/>
        <w:jc w:val="both"/>
      </w:pPr>
      <w:r>
        <w:rPr>
          <w:rFonts w:ascii="Times New Roman" w:hAnsi="Times New Roman" w:eastAsia="宋体"/>
          <w:b/>
          <w:sz w:val="30"/>
        </w:rPr>
        <w:t>学    院：</w:t>
      </w:r>
      <w:r>
        <w:rPr>
          <w:rFonts w:ascii="Times New Roman" w:hAnsi="Times New Roman" w:eastAsia="宋体"/>
          <w:b w:val="0"/>
          <w:sz w:val="30"/>
        </w:rPr>
        <w:t xml:space="preserve">  [待补充]</w:t>
      </w:r>
    </w:p>
    <w:p>
      <w:pPr>
        <w:spacing w:line="480" w:lineRule="auto" w:before="40" w:after="40"/>
        <w:jc w:val="both"/>
      </w:pPr>
      <w:r>
        <w:rPr>
          <w:rFonts w:ascii="Times New Roman" w:hAnsi="Times New Roman" w:eastAsia="宋体"/>
          <w:b/>
          <w:sz w:val="30"/>
        </w:rPr>
        <w:t>填写时间：</w:t>
      </w:r>
      <w:r>
        <w:rPr>
          <w:rFonts w:ascii="Times New Roman" w:hAnsi="Times New Roman" w:eastAsia="宋体"/>
          <w:b w:val="0"/>
          <w:sz w:val="30"/>
        </w:rPr>
        <w:t xml:space="preserve">  2026年7月</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宋体"/>
          <w:b w:val="0"/>
          <w:sz w:val="28"/>
        </w:rPr>
        <w:t>西安交通大学研究生院制</w:t>
      </w:r>
    </w:p>
    <w:p>
      <w:r>
        <w:br w:type="page"/>
      </w:r>
    </w:p>
    <w:p>
      <w:pPr>
        <w:spacing w:line="360" w:lineRule="auto" w:before="0" w:after="0"/>
        <w:jc w:val="both"/>
      </w:pPr>
    </w:p>
    <w:p>
      <w:pPr>
        <w:spacing w:line="360" w:lineRule="auto" w:before="0" w:after="240"/>
        <w:jc w:val="center"/>
      </w:pPr>
      <w:r>
        <w:rPr>
          <w:rFonts w:ascii="Times New Roman" w:hAnsi="Times New Roman" w:eastAsia="黑体"/>
          <w:b/>
          <w:sz w:val="30"/>
        </w:rPr>
        <w:t>硕士研究生中期进展报告填写说明及管理规定</w:t>
      </w:r>
    </w:p>
    <w:p>
      <w:pPr>
        <w:spacing w:line="360" w:lineRule="auto" w:before="0" w:after="0"/>
        <w:ind w:firstLine="480"/>
        <w:jc w:val="both"/>
      </w:pPr>
      <w:r>
        <w:rPr>
          <w:rFonts w:ascii="Times New Roman" w:hAnsi="Times New Roman" w:eastAsia="宋体"/>
          <w:b w:val="0"/>
          <w:sz w:val="24"/>
        </w:rPr>
        <w:t>一、硕士学位论文中期考核要求在校硕士生必须在入学第四学期末（两年毕业试点学院的硕士生应在第三学期末）完成。</w:t>
      </w:r>
    </w:p>
    <w:p>
      <w:pPr>
        <w:spacing w:line="360" w:lineRule="auto" w:before="0" w:after="0"/>
        <w:ind w:firstLine="480"/>
        <w:jc w:val="both"/>
      </w:pPr>
      <w:r>
        <w:rPr>
          <w:rFonts w:ascii="Times New Roman" w:hAnsi="Times New Roman" w:eastAsia="宋体"/>
          <w:b w:val="0"/>
          <w:sz w:val="24"/>
        </w:rPr>
        <w:t>二、硕士研究生在完成了一定论文工作的基础上，填写完成《硕士研究生中期进展报告》。</w:t>
      </w:r>
    </w:p>
    <w:p>
      <w:pPr>
        <w:spacing w:line="360" w:lineRule="auto" w:before="0" w:after="0"/>
        <w:ind w:firstLine="480"/>
        <w:jc w:val="both"/>
      </w:pPr>
      <w:r>
        <w:rPr>
          <w:rFonts w:ascii="Times New Roman" w:hAnsi="Times New Roman" w:eastAsia="宋体"/>
          <w:b w:val="0"/>
          <w:sz w:val="24"/>
        </w:rPr>
        <w:t>三、《硕士研究生中期进展报告》完成以后，应组织公开的中期考核报告会。</w:t>
      </w:r>
    </w:p>
    <w:p>
      <w:pPr>
        <w:spacing w:line="360" w:lineRule="auto" w:before="0" w:after="0"/>
        <w:ind w:firstLine="480"/>
        <w:jc w:val="both"/>
      </w:pPr>
      <w:r>
        <w:rPr>
          <w:rFonts w:ascii="Times New Roman" w:hAnsi="Times New Roman" w:eastAsia="宋体"/>
          <w:b w:val="0"/>
          <w:sz w:val="24"/>
        </w:rPr>
        <w:t>四、中期考核由学院负责统一组织，考核专家组一般由5名副高以上（含副高）人员组成。考核专家主要依据硕士研究生的论文课题进展情况进行考核，同时可参阅其课程学习和选题报告情况。中期考核结束后，考核专家应在本表中填写考核评价结果、评语和论文修改意见。</w:t>
      </w:r>
    </w:p>
    <w:p>
      <w:pPr>
        <w:spacing w:line="360" w:lineRule="auto" w:before="0" w:after="0"/>
        <w:ind w:firstLine="480"/>
        <w:jc w:val="both"/>
      </w:pPr>
      <w:r>
        <w:rPr>
          <w:rFonts w:ascii="Times New Roman" w:hAnsi="Times New Roman" w:eastAsia="宋体"/>
          <w:b w:val="0"/>
          <w:sz w:val="24"/>
        </w:rPr>
        <w:t>五、《硕士研究生中期进展报告》必须采用A4纸双面打印，左侧装订成册，各栏空格不够时，请自行加页。本表可在研究生院主页 http://gs.xjtu.edu.cn/ 下载。</w:t>
      </w:r>
    </w:p>
    <w:p>
      <w:pPr>
        <w:spacing w:line="360" w:lineRule="auto" w:before="0" w:after="0"/>
        <w:ind w:firstLine="480"/>
        <w:jc w:val="both"/>
      </w:pPr>
      <w:r>
        <w:rPr>
          <w:rFonts w:ascii="Times New Roman" w:hAnsi="Times New Roman" w:eastAsia="宋体"/>
          <w:b w:val="0"/>
          <w:sz w:val="24"/>
        </w:rPr>
        <w:t>六、《硕士研究生中期进展报告》由学院归档。</w:t>
      </w:r>
    </w:p>
    <w:p>
      <w:r>
        <w:br w:type="page"/>
      </w:r>
    </w:p>
    <w:p>
      <w:pPr>
        <w:spacing w:line="360" w:lineRule="auto" w:before="120" w:after="240"/>
        <w:jc w:val="center"/>
      </w:pPr>
      <w:r>
        <w:rPr>
          <w:rFonts w:ascii="Times New Roman" w:hAnsi="Times New Roman" w:eastAsia="黑体"/>
          <w:b/>
          <w:sz w:val="28"/>
        </w:rPr>
        <w:t>论文题目：基于频域增强与状态空间模型的图像恢复方法研究</w:t>
      </w:r>
    </w:p>
    <w:p>
      <w:pPr>
        <w:spacing w:line="360" w:lineRule="auto" w:before="240" w:after="120"/>
        <w:jc w:val="left"/>
      </w:pPr>
      <w:r>
        <w:rPr>
          <w:rFonts w:ascii="Times New Roman" w:hAnsi="Times New Roman" w:eastAsia="黑体"/>
          <w:b/>
          <w:sz w:val="30"/>
        </w:rPr>
        <w:t>一、研究内容简介</w:t>
      </w:r>
    </w:p>
    <w:p>
      <w:pPr>
        <w:spacing w:line="360" w:lineRule="auto" w:before="120" w:after="60"/>
        <w:jc w:val="left"/>
      </w:pPr>
      <w:r>
        <w:rPr>
          <w:rFonts w:ascii="Times New Roman" w:hAnsi="Times New Roman" w:eastAsia="黑体"/>
          <w:b/>
          <w:sz w:val="28"/>
        </w:rPr>
        <w:t>1. 研究背景与问题提出</w:t>
      </w:r>
    </w:p>
    <w:p>
      <w:pPr>
        <w:spacing w:line="360" w:lineRule="auto" w:before="0" w:after="0"/>
        <w:ind w:firstLine="480"/>
        <w:jc w:val="both"/>
      </w:pPr>
      <w:r>
        <w:rPr>
          <w:rFonts w:ascii="Times New Roman" w:hAnsi="Times New Roman" w:eastAsia="宋体"/>
          <w:b w:val="0"/>
          <w:sz w:val="24"/>
        </w:rPr>
        <w:t>图像恢复（Image Restoration）是计算机视觉领域中一项基础且关键的低层视觉任务，其核心目标是从退化观测图像中恢复出清晰、高质量的场景内容。在诸多图像退化类型中，图像去雨（Image Deraining）和图像超分辨率（Image Super-Resolution）是两个极具研究价值的具体方向。前者旨在消除雨水对图像造成的视觉干扰，恢复被雨纹遮挡的场景信息；后者则致力于从低分辨率图像中重建高频细节，提升图像的空间分辨率和视觉质量。尽管两者面对的退化类型不同，但它们共享一个根本性的科学问题：如何有效恢复退化图像中的高频细节和结构信息。</w:t>
      </w:r>
    </w:p>
    <w:p>
      <w:pPr>
        <w:spacing w:line="360" w:lineRule="auto" w:before="0" w:after="0"/>
        <w:ind w:firstLine="480"/>
        <w:jc w:val="both"/>
      </w:pPr>
      <w:r>
        <w:rPr>
          <w:rFonts w:ascii="Times New Roman" w:hAnsi="Times New Roman" w:eastAsia="宋体"/>
          <w:b w:val="0"/>
          <w:sz w:val="24"/>
        </w:rPr>
        <w:t>在图像去雨任务中，雨天图像的退化过程可建模为如下线性叠加形式：</w:t>
      </w:r>
    </w:p>
    <w:p>
      <w:pPr>
        <w:spacing w:line="360" w:lineRule="auto" w:before="60" w:after="60"/>
        <w:jc w:val="center"/>
      </w:pPr>
      <w:r>
        <w:rPr>
          <w:rFonts w:ascii="Times New Roman" w:hAnsi="Times New Roman" w:eastAsia="宋体"/>
          <w:b w:val="0"/>
          <w:sz w:val="24"/>
        </w:rPr>
        <w:t>y = x + r</w:t>
      </w:r>
    </w:p>
    <w:p>
      <w:pPr>
        <w:spacing w:line="360" w:lineRule="auto" w:before="0" w:after="0"/>
        <w:ind w:firstLine="480"/>
        <w:jc w:val="both"/>
      </w:pPr>
      <w:r>
        <w:rPr>
          <w:rFonts w:ascii="Times New Roman" w:hAnsi="Times New Roman" w:eastAsia="宋体"/>
          <w:b w:val="0"/>
          <w:sz w:val="24"/>
        </w:rPr>
        <w:t>其中 y 为观测到的雨天图像，x 为理想的清晰图像，r 为雨纹层。雨纹在频域中呈现特定的周期性分布模式和方向性结构先验，然而现有深度学习方法大多在空间域进行特征提取与恢复，对频域信息的利用尚不够充分和系统。在图像超分辨率任务中，状态空间模型（State Space Model, SSM）凭借其全局建模能力和线性计算复杂度成为近期研究热点，但SSM在空间域的序列化扫描方式对高频纹理细节的捕获能力仍有局限。</w:t>
      </w:r>
    </w:p>
    <w:p>
      <w:pPr>
        <w:spacing w:line="360" w:lineRule="auto" w:before="0" w:after="0"/>
        <w:ind w:firstLine="480"/>
        <w:jc w:val="both"/>
      </w:pPr>
      <w:r>
        <w:rPr>
          <w:rFonts w:ascii="Times New Roman" w:hAnsi="Times New Roman" w:eastAsia="宋体"/>
          <w:b w:val="0"/>
          <w:sz w:val="24"/>
        </w:rPr>
        <w:t>基于上述分析，本文从频域信息在图像恢复中的系统性利用这一统一视角出发，围绕两个具体课题展开研究：课题一聚焦频域增强方法在图像去雨任务中的作用机制，课题二探索高效架构（SSM）下频域感知能力的提升策略。两个课题共同构成"频域增强方法论 + 高效架构实践"的完整研究框架。</w:t>
      </w:r>
    </w:p>
    <w:p>
      <w:pPr>
        <w:spacing w:line="360" w:lineRule="auto" w:before="120" w:after="60"/>
        <w:jc w:val="left"/>
      </w:pPr>
      <w:r>
        <w:rPr>
          <w:rFonts w:ascii="Times New Roman" w:hAnsi="Times New Roman" w:eastAsia="黑体"/>
          <w:b/>
          <w:sz w:val="28"/>
        </w:rPr>
        <w:t>2. 课题一：基于频域增强的图像去雨方法</w:t>
      </w:r>
    </w:p>
    <w:p>
      <w:pPr>
        <w:spacing w:line="360" w:lineRule="auto" w:before="0" w:after="0"/>
        <w:ind w:firstLine="480"/>
        <w:jc w:val="both"/>
      </w:pPr>
      <w:r>
        <w:rPr>
          <w:rFonts w:ascii="Times New Roman" w:hAnsi="Times New Roman" w:eastAsia="宋体"/>
          <w:b w:val="0"/>
          <w:sz w:val="24"/>
        </w:rPr>
        <w:t>图像去雨是图像恢复领域的重要研究方向，其核心挑战在于从受雨纹污染的图像中恢复清晰场景。通过对该领域现有研究的系统分析，本课题识别出以下三个关键研究痛点：</w:t>
        <w:br/>
        <w:t>（1）频域信息利用不足。现有深度学习去雨方法主要在空间域进行特征提取与重建，忽视了雨纹退化在频域中呈现的规律性分布特征（雨纹主要集中在特定频段和方向），导致去雨不彻底或过度平滑。</w:t>
        <w:br/>
        <w:t>（2）方向性结构建模缺失。雨纹具有明显的方向性和条纹状结构特征，但现有方法大多采用各向同性的卷积操作，缺乏对雨纹方向先验的显式建模能力，在密集雨纹和复杂方向混合场景下去除效果有限。</w:t>
        <w:br/>
        <w:t>（3）训练目标与感知质量不一致。常用的像素级损失函数（如L1、MSE）对所有频率成分同等对待，无法引导网络按照人眼视觉感知的优先级——先恢复整体结构再恢复精细纹理——进行渐进式学习，导致训练效率低且细节恢复不佳。</w:t>
        <w:br/>
        <w:t>针对上述痛点，本课题以NeRD-Rain（CVPR 2024）为基线模型，该模型首次将双向多尺度隐式神经表示（Bidirectional Multi-Scale Implicit Neural Representation）引入图像去雨任务，在多个基准数据集上取得了优异性能，具有良好的可扩展性和改进空间。</w:t>
      </w:r>
    </w:p>
    <w:p>
      <w:pPr>
        <w:spacing w:line="360" w:lineRule="auto" w:before="0" w:after="0"/>
        <w:ind w:firstLine="480"/>
        <w:jc w:val="both"/>
      </w:pPr>
      <w:r>
        <w:rPr>
          <w:rFonts w:ascii="Times New Roman" w:hAnsi="Times New Roman" w:eastAsia="宋体"/>
          <w:b w:val="0"/>
          <w:sz w:val="24"/>
        </w:rPr>
        <w:t>针对上述痛点，本课题提出三个递进式创新点，形成"模型设计→模型增强→训练优化"的完整闭环：</w:t>
      </w:r>
    </w:p>
    <w:p>
      <w:pPr>
        <w:spacing w:line="360" w:lineRule="auto" w:before="0" w:after="0"/>
        <w:ind w:firstLine="480"/>
        <w:jc w:val="both"/>
      </w:pPr>
      <w:r>
        <w:rPr>
          <w:rFonts w:ascii="Times New Roman" w:hAnsi="Times New Roman" w:eastAsia="宋体"/>
          <w:b/>
          <w:sz w:val="24"/>
        </w:rPr>
        <w:t>创新点1——残差频域模块（Residual Frequency Module, RFM）。</w:t>
      </w:r>
      <w:r>
        <w:rPr>
          <w:rFonts w:ascii="Times New Roman" w:hAnsi="Times New Roman" w:eastAsia="宋体"/>
          <w:b w:val="0"/>
          <w:sz w:val="24"/>
        </w:rPr>
        <w:t xml:space="preserve"> 在模型层面引入频域特征显式增强能力。RFM通过快速傅里叶变换（FFT）将特征映射至频域，对幅度谱进行可学习的非线性增强，保持相位信息不变，再经逆傅里叶变换（iFFT）返回空域并以残差方式与输入融合。该模块能够精准定位雨纹的周期性频率成分并对其进行自适应抑制。</w:t>
      </w:r>
    </w:p>
    <w:p>
      <w:pPr>
        <w:spacing w:line="360" w:lineRule="auto" w:before="0" w:after="0"/>
        <w:ind w:firstLine="480"/>
        <w:jc w:val="both"/>
      </w:pPr>
      <w:r>
        <w:rPr>
          <w:rFonts w:ascii="Times New Roman" w:hAnsi="Times New Roman" w:eastAsia="宋体"/>
          <w:b/>
          <w:sz w:val="24"/>
        </w:rPr>
        <w:t>创新点2——多尺度频域-梯度协同感知模块（Multi-scale Frequency-Gradient Co-Perception, MFGCP）。</w:t>
      </w:r>
      <w:r>
        <w:rPr>
          <w:rFonts w:ascii="Times New Roman" w:hAnsi="Times New Roman" w:eastAsia="宋体"/>
          <w:b w:val="0"/>
          <w:sz w:val="24"/>
        </w:rPr>
        <w:t xml:space="preserve"> 在RFM基础上引入空域方向性建模，构建频域-空域双域协同机制。MFGCP的核心组件MDPConv采用五个方向的微分卷积（水平、竖直、中心差分、对角线、反对角线），显式建模雨纹在不同方向上的梯度先验，与RFM在频域层面的增强形成互补。</w:t>
      </w:r>
    </w:p>
    <w:p>
      <w:pPr>
        <w:spacing w:line="360" w:lineRule="auto" w:before="0" w:after="0"/>
        <w:ind w:firstLine="480"/>
        <w:jc w:val="both"/>
      </w:pPr>
      <w:r>
        <w:rPr>
          <w:rFonts w:ascii="Times New Roman" w:hAnsi="Times New Roman" w:eastAsia="宋体"/>
          <w:b/>
          <w:sz w:val="24"/>
        </w:rPr>
        <w:t>创新点3——分层自适应频域损失与渐进式课程学习（Hierarchical Adaptive Frequency Loss, HAFL）。</w:t>
      </w:r>
      <w:r>
        <w:rPr>
          <w:rFonts w:ascii="Times New Roman" w:hAnsi="Times New Roman" w:eastAsia="宋体"/>
          <w:b w:val="0"/>
          <w:sz w:val="24"/>
        </w:rPr>
        <w:t xml:space="preserve"> 在训练层面引入频域分层约束。HAFL将频域分解为低频（整体结构）、中频（主要纹理）和高频（细节纹理）三个子带，针对不同子带分别计算L1损失，并设计渐进式权重调度策略实现从易到难的课程学习，引导网络在不同训练阶段关注不同频率成分的恢复。</w:t>
      </w:r>
    </w:p>
    <w:p>
      <w:pPr>
        <w:spacing w:line="360" w:lineRule="auto" w:before="120" w:after="60"/>
        <w:jc w:val="left"/>
      </w:pPr>
      <w:r>
        <w:rPr>
          <w:rFonts w:ascii="Times New Roman" w:hAnsi="Times New Roman" w:eastAsia="黑体"/>
          <w:b/>
          <w:sz w:val="28"/>
        </w:rPr>
        <w:t>3. 课题二：基于状态空间模型的图像超分辨率方法</w:t>
      </w:r>
    </w:p>
    <w:p>
      <w:pPr>
        <w:spacing w:line="360" w:lineRule="auto" w:before="0" w:after="0"/>
        <w:ind w:firstLine="480"/>
        <w:jc w:val="both"/>
      </w:pPr>
      <w:r>
        <w:rPr>
          <w:rFonts w:ascii="Times New Roman" w:hAnsi="Times New Roman" w:eastAsia="宋体"/>
          <w:b w:val="0"/>
          <w:sz w:val="24"/>
        </w:rPr>
        <w:t>图像超分辨率是图像恢复领域的另一核心研究方向，旨在从低分辨率观测图像中重建高频细节，提升图像的空间分辨率和视觉质量。通过对该领域最新进展的深入调研，本课题识别出以下三个关键研究痛点：</w:t>
        <w:br/>
        <w:t>（1）全局建模效率瓶颈。基于Transformer的超分方法虽能建模长程依赖，但自注意力的二次复杂度限制了在高分辨率图像上的实际应用。如何在保持全局感受野的同时实现线性复杂度，是超分领域亟待解决的效率问题。</w:t>
        <w:br/>
        <w:t>（2）频域高频细节恢复困难。图像超分辨率的核心挑战是恢复低分辨率图像中丢失的高频细节（纹理、边缘）。现有方法主要依赖空间域特征学习，对频域中高频信息的针对性建模和恢复能力不足，导致超分结果常出现模糊或伪影。</w:t>
        <w:br/>
        <w:t>（3）退化多样性适应不足。真实世界图像退化类型多样（模糊核、噪声、压缩等），现有方法通常采用固定网络结构处理所有输入，缺乏对不同退化程度的自适应能力，在复杂退化场景下性能下降明显。</w:t>
        <w:br/>
        <w:t>针对上述痛点，本课题以MambaIRv2（ECCV 2024 / CVPR 2025）为基线模型，该模型采用非因果全局状态空间模型进行图像恢复，在保持线性计算复杂度的同时实现了全局范围的序列建模，在图像超分辨率任务上展现了优异的性能。</w:t>
      </w:r>
    </w:p>
    <w:p>
      <w:pPr>
        <w:spacing w:line="360" w:lineRule="auto" w:before="0" w:after="0"/>
        <w:ind w:firstLine="480"/>
        <w:jc w:val="both"/>
      </w:pPr>
      <w:r>
        <w:rPr>
          <w:rFonts w:ascii="Times New Roman" w:hAnsi="Times New Roman" w:eastAsia="宋体"/>
          <w:b w:val="0"/>
          <w:sz w:val="24"/>
        </w:rPr>
        <w:t>针对上述问题，本课题规划了三个创新方向（目前处于方案设计阶段）：</w:t>
      </w:r>
    </w:p>
    <w:p>
      <w:pPr>
        <w:spacing w:line="360" w:lineRule="auto" w:before="0" w:after="0"/>
        <w:ind w:firstLine="480"/>
        <w:jc w:val="both"/>
      </w:pPr>
      <w:r>
        <w:rPr>
          <w:rFonts w:ascii="Times New Roman" w:hAnsi="Times New Roman" w:eastAsia="宋体"/>
          <w:b/>
          <w:sz w:val="24"/>
        </w:rPr>
        <w:t>创新方向1——MFAMambaIR（多尺度频域感知MambaIR）。</w:t>
      </w:r>
      <w:r>
        <w:rPr>
          <w:rFonts w:ascii="Times New Roman" w:hAnsi="Times New Roman" w:eastAsia="宋体"/>
          <w:b w:val="0"/>
          <w:sz w:val="24"/>
        </w:rPr>
        <w:t xml:space="preserve"> 引入离散小波变换（DWT）和快速傅里叶变换（FFT）构建频域分支，设计频域-空域融合门控机制，增强SSM架构对多尺度频域信息的感知与利用能力，预期可带来+0.15~0.25 dB的PSNR提升。</w:t>
      </w:r>
    </w:p>
    <w:p>
      <w:pPr>
        <w:spacing w:line="360" w:lineRule="auto" w:before="0" w:after="0"/>
        <w:ind w:firstLine="480"/>
        <w:jc w:val="both"/>
      </w:pPr>
      <w:r>
        <w:rPr>
          <w:rFonts w:ascii="Times New Roman" w:hAnsi="Times New Roman" w:eastAsia="宋体"/>
          <w:b/>
          <w:sz w:val="24"/>
        </w:rPr>
        <w:t>创新方向2——DRMambaIR（退化感知动态路由MambaIR）。</w:t>
      </w:r>
      <w:r>
        <w:rPr>
          <w:rFonts w:ascii="Times New Roman" w:hAnsi="Times New Roman" w:eastAsia="宋体"/>
          <w:b w:val="0"/>
          <w:sz w:val="24"/>
        </w:rPr>
        <w:t xml:space="preserve"> 设计退化感知的自适应深度调节机制，根据输入图像的退化程度和类型动态选择网络深度，引入早退（Early Exit）策略，在保持恢复质量的前提下预期可减少30%~40%的计算量。</w:t>
      </w:r>
    </w:p>
    <w:p>
      <w:pPr>
        <w:spacing w:line="360" w:lineRule="auto" w:before="0" w:after="0"/>
        <w:ind w:firstLine="480"/>
        <w:jc w:val="both"/>
      </w:pPr>
      <w:r>
        <w:rPr>
          <w:rFonts w:ascii="Times New Roman" w:hAnsi="Times New Roman" w:eastAsia="宋体"/>
          <w:b/>
          <w:sz w:val="24"/>
        </w:rPr>
        <w:t>创新方向3——LGMambaIR（局部-全局协同注意力增强MambaIR）。</w:t>
      </w:r>
      <w:r>
        <w:rPr>
          <w:rFonts w:ascii="Times New Roman" w:hAnsi="Times New Roman" w:eastAsia="宋体"/>
          <w:b w:val="0"/>
          <w:sz w:val="24"/>
        </w:rPr>
        <w:t xml:space="preserve"> 在全局SSM扫描的基础上引入窗口级局部注意力机制，设计交叉门控融合策略实现局部精细特征与全局上下文信息的高效协同，预期可带来+0.10~0.20 dB的PSNR提升。</w:t>
      </w:r>
    </w:p>
    <w:p>
      <w:pPr>
        <w:spacing w:line="360" w:lineRule="auto" w:before="120" w:after="60"/>
        <w:jc w:val="left"/>
      </w:pPr>
      <w:r>
        <w:rPr>
          <w:rFonts w:ascii="Times New Roman" w:hAnsi="Times New Roman" w:eastAsia="黑体"/>
          <w:b/>
          <w:sz w:val="28"/>
        </w:rPr>
        <w:t>4. 两个课题的内在联系</w:t>
      </w:r>
    </w:p>
    <w:p>
      <w:pPr>
        <w:spacing w:line="360" w:lineRule="auto" w:before="0" w:after="0"/>
        <w:ind w:firstLine="480"/>
        <w:jc w:val="both"/>
      </w:pPr>
      <w:r>
        <w:rPr>
          <w:rFonts w:ascii="Times New Roman" w:hAnsi="Times New Roman" w:eastAsia="宋体"/>
          <w:b w:val="0"/>
          <w:sz w:val="24"/>
        </w:rPr>
        <w:t>两个课题虽然分别聚焦于图像去雨和图像超分辨率两个不同的具体任务，但共享一条贯穿始终的研究主线：频域信息在图像恢复中的系统性利用。课题一侧重研究频域增强方法在特定退化类型（雨纹）下的作用机制，从模型结构（RFM、MFGCP）和训练策略（HAFL）两个维度构建了全链路频域增强框架，形成了较为完整的方法论体系。课题二则侧重在高效架构（SSM）的约束下提升频域感知能力，将课题一中积累的频域增强经验迁移至SSM架构中，探索频域信息与状态空间模型的高效融合方式。二者形成"理论方法→架构实践"的研究闭环，共同推动频域增强在图像恢复领域的系统性应用。</w:t>
      </w:r>
    </w:p>
    <w:p>
      <w:pPr>
        <w:spacing w:line="360" w:lineRule="auto" w:before="240" w:after="120"/>
        <w:jc w:val="left"/>
      </w:pPr>
      <w:r>
        <w:rPr>
          <w:rFonts w:ascii="Times New Roman" w:hAnsi="Times New Roman" w:eastAsia="黑体"/>
          <w:b/>
          <w:sz w:val="30"/>
        </w:rPr>
        <w:t>二、研究工作进展</w:t>
      </w:r>
    </w:p>
    <w:p>
      <w:pPr>
        <w:spacing w:line="360" w:lineRule="auto" w:before="120" w:after="60"/>
        <w:jc w:val="left"/>
      </w:pPr>
      <w:r>
        <w:rPr>
          <w:rFonts w:ascii="Times New Roman" w:hAnsi="Times New Roman" w:eastAsia="黑体"/>
          <w:b/>
          <w:sz w:val="28"/>
        </w:rPr>
        <w:t>1. 课题一进展：基于频域增强的图像去雨</w:t>
      </w:r>
    </w:p>
    <w:p>
      <w:pPr>
        <w:spacing w:line="360" w:lineRule="auto" w:before="60" w:after="60"/>
        <w:jc w:val="left"/>
      </w:pPr>
      <w:r>
        <w:rPr>
          <w:rFonts w:ascii="Times New Roman" w:hAnsi="Times New Roman" w:eastAsia="黑体"/>
          <w:b/>
          <w:sz w:val="24"/>
        </w:rPr>
        <w:t>1.1 文献调研与方案设计</w:t>
      </w:r>
    </w:p>
    <w:p>
      <w:pPr>
        <w:spacing w:line="360" w:lineRule="auto" w:before="0" w:after="0"/>
        <w:ind w:firstLine="480"/>
        <w:jc w:val="both"/>
      </w:pPr>
      <w:r>
        <w:rPr>
          <w:rFonts w:ascii="Times New Roman" w:hAnsi="Times New Roman" w:eastAsia="宋体"/>
          <w:b w:val="0"/>
          <w:sz w:val="24"/>
        </w:rPr>
        <w:t>在研究初期，本课题对图像去雨领域进行了系统性的文献调研，累计阅读并分析了40余篇相关论文，涵盖传统方法（稀疏编码、高斯混合模型、形态学成分分析）和基于深度学习的方法（DerainNet、PReNet、MPRNet、Restormer、DRSformer等）。在此基础上，重点关注了频域方法在图像恢复中的应用，包括快速傅里叶卷积（FFC）、Focal Frequency Loss等代表性工作。同时，调研了方向性建模的最新进展，特别是DeRainMamba（IEEE SPL 2025）提出的方向微分卷积策略和TAMambaIR（IJCAI 2025）的纹理感知机制，为MFGCP模块的设计提供了重要启发。</w:t>
      </w:r>
    </w:p>
    <w:p>
      <w:pPr>
        <w:spacing w:line="360" w:lineRule="auto" w:before="0" w:after="0"/>
        <w:ind w:firstLine="480"/>
        <w:jc w:val="both"/>
      </w:pPr>
      <w:r>
        <w:rPr>
          <w:rFonts w:ascii="Times New Roman" w:hAnsi="Times New Roman" w:eastAsia="宋体"/>
          <w:b w:val="0"/>
          <w:sz w:val="24"/>
        </w:rPr>
        <w:t>经过充分的文献调研与分析，确定NeRD-Rain（CVPR 2024）作为基线模型。选择该模型的主要理由包括：（1）NeRD-Rain在Rain200L等多个基准数据集上取得了当时的最优性能；（2）其多尺度隐式神经表示框架具有良好的可扩展性，便于插入频域增强模块；（3）该模型的参数量较为合理（约25.6M），适合在有限计算资源下进行创新验证。在此基线上，设计了三个递进式创新点的整体方案，明确了各创新点的功能定位和相互关系。</w:t>
      </w:r>
    </w:p>
    <w:p>
      <w:pPr>
        <w:spacing w:line="360" w:lineRule="auto" w:before="60" w:after="60"/>
        <w:jc w:val="left"/>
      </w:pPr>
      <w:r>
        <w:rPr>
          <w:rFonts w:ascii="Times New Roman" w:hAnsi="Times New Roman" w:eastAsia="黑体"/>
          <w:b/>
          <w:sz w:val="24"/>
        </w:rPr>
        <w:t>1.2 创新点1：残差频域模块（RFM）—— 已完成实现与验证</w:t>
      </w:r>
    </w:p>
    <w:p>
      <w:pPr>
        <w:spacing w:line="360" w:lineRule="auto" w:before="0" w:after="0"/>
        <w:ind w:firstLine="480"/>
        <w:jc w:val="both"/>
      </w:pPr>
      <w:r>
        <w:rPr>
          <w:rFonts w:ascii="Times New Roman" w:hAnsi="Times New Roman" w:eastAsia="宋体"/>
          <w:b w:val="0"/>
          <w:sz w:val="24"/>
        </w:rPr>
        <w:t>RFM的设计思路源于对雨纹频域特性的深入分析。通过对大量雨天图像进行频谱分析可以发现，雨纹的能量主要集中在特定的中高频带上，且在幅度谱中呈现出明显的方向性峰值。基于这一观察，RFM直接在频域中对特征的幅度谱进行可学习增强，精准抑制雨纹的周期性频率成分。</w:t>
      </w:r>
    </w:p>
    <w:p>
      <w:pPr>
        <w:spacing w:line="360" w:lineRule="auto" w:before="0" w:after="0"/>
        <w:ind w:firstLine="480"/>
        <w:jc w:val="both"/>
      </w:pPr>
      <w:r>
        <w:rPr>
          <w:rFonts w:ascii="Times New Roman" w:hAnsi="Times New Roman" w:eastAsia="宋体"/>
          <w:b w:val="0"/>
          <w:sz w:val="24"/>
        </w:rPr>
        <w:t>RFM的计算过程如下。给定输入特征图 x，首先通过二维快速傅里叶变换将其映射至频域：</w:t>
      </w:r>
    </w:p>
    <w:p>
      <w:pPr>
        <w:spacing w:line="360" w:lineRule="auto" w:before="60" w:after="60"/>
        <w:jc w:val="center"/>
      </w:pPr>
      <w:r>
        <w:rPr>
          <w:rFonts w:ascii="Times New Roman" w:hAnsi="Times New Roman" w:eastAsia="宋体"/>
          <w:b w:val="0"/>
          <w:sz w:val="24"/>
        </w:rPr>
        <w:t>F = FFT_2D(x)</w:t>
      </w:r>
    </w:p>
    <w:p>
      <w:pPr>
        <w:spacing w:line="360" w:lineRule="auto" w:before="0" w:after="0"/>
        <w:ind w:firstLine="480"/>
        <w:jc w:val="both"/>
      </w:pPr>
      <w:r>
        <w:rPr>
          <w:rFonts w:ascii="Times New Roman" w:hAnsi="Times New Roman" w:eastAsia="宋体"/>
          <w:b w:val="0"/>
          <w:sz w:val="24"/>
        </w:rPr>
        <w:t>将频域特征分解为幅度谱和相位分量：</w:t>
      </w:r>
    </w:p>
    <w:p>
      <w:pPr>
        <w:spacing w:line="360" w:lineRule="auto" w:before="60" w:after="60"/>
        <w:jc w:val="center"/>
      </w:pPr>
      <w:r>
        <w:rPr>
          <w:rFonts w:ascii="Times New Roman" w:hAnsi="Times New Roman" w:eastAsia="宋体"/>
          <w:b w:val="0"/>
          <w:sz w:val="24"/>
        </w:rPr>
        <w:t>A = |F|,  phi = angle(F)</w:t>
      </w:r>
    </w:p>
    <w:p>
      <w:pPr>
        <w:spacing w:line="360" w:lineRule="auto" w:before="0" w:after="0"/>
        <w:ind w:firstLine="480"/>
        <w:jc w:val="both"/>
      </w:pPr>
      <w:r>
        <w:rPr>
          <w:rFonts w:ascii="Times New Roman" w:hAnsi="Times New Roman" w:eastAsia="宋体"/>
          <w:b w:val="0"/>
          <w:sz w:val="24"/>
        </w:rPr>
        <w:t>对幅度谱进行非线性增强，其中 W1、W2 为两个1x1卷积层，sigma 为Sigmoid激活函数：</w:t>
      </w:r>
    </w:p>
    <w:p>
      <w:pPr>
        <w:spacing w:line="360" w:lineRule="auto" w:before="60" w:after="60"/>
        <w:jc w:val="center"/>
      </w:pPr>
      <w:r>
        <w:rPr>
          <w:rFonts w:ascii="Times New Roman" w:hAnsi="Times New Roman" w:eastAsia="宋体"/>
          <w:b w:val="0"/>
          <w:sz w:val="24"/>
        </w:rPr>
        <w:t>A' = sigma(W2 * ReLU(W1 * A))</w:t>
      </w:r>
    </w:p>
    <w:p>
      <w:pPr>
        <w:spacing w:line="360" w:lineRule="auto" w:before="0" w:after="0"/>
        <w:ind w:firstLine="480"/>
        <w:jc w:val="both"/>
      </w:pPr>
      <w:r>
        <w:rPr>
          <w:rFonts w:ascii="Times New Roman" w:hAnsi="Times New Roman" w:eastAsia="宋体"/>
          <w:b w:val="0"/>
          <w:sz w:val="24"/>
        </w:rPr>
        <w:t>保持相位不变，将增强后的幅度谱与原始相位重组后逆变换回空域：</w:t>
      </w:r>
    </w:p>
    <w:p>
      <w:pPr>
        <w:spacing w:line="360" w:lineRule="auto" w:before="60" w:after="60"/>
        <w:jc w:val="center"/>
      </w:pPr>
      <w:r>
        <w:rPr>
          <w:rFonts w:ascii="Times New Roman" w:hAnsi="Times New Roman" w:eastAsia="宋体"/>
          <w:b w:val="0"/>
          <w:sz w:val="24"/>
        </w:rPr>
        <w:t>x_out = x + iFFT_2D(A' * exp(j*phi))</w:t>
      </w:r>
    </w:p>
    <w:p>
      <w:pPr>
        <w:spacing w:line="360" w:lineRule="auto" w:before="0" w:after="0"/>
        <w:ind w:firstLine="480"/>
        <w:jc w:val="both"/>
      </w:pPr>
      <w:r>
        <w:rPr>
          <w:rFonts w:ascii="Times New Roman" w:hAnsi="Times New Roman" w:eastAsia="宋体"/>
          <w:b w:val="0"/>
          <w:sz w:val="24"/>
        </w:rPr>
        <w:t>RFM模块的设计具有以下优势：（1）直接在频域操作，精准定位雨纹频率成分；（2）残差连接保证训练稳定性；（3）轻量化设计，仅含两个1x1卷积层，额外参数量约0.1M；（4）相位保留策略确保空间结构完整性。</w:t>
      </w:r>
    </w:p>
    <w:p>
      <w:pPr>
        <w:spacing w:line="360" w:lineRule="auto" w:before="0" w:after="0"/>
        <w:ind w:firstLine="480"/>
        <w:jc w:val="both"/>
      </w:pPr>
      <w:r>
        <w:t>实验验证结果： 在Rain200L数据集上，RFM模块的加入使PSNR从基线的41.71 dB提升至41.78 dB（+0.07 dB），SSIM从0.9903提升至0.9906，验证了频域增强策略在图像去雨中的有效性。此外，在轻量化模型（Light版本，基线PSNR为38.40 dB）上，RFM的加入将PSNR提升至38.63 dB（+0.23 dB），表明频域增强策略对参数受限模型的改善更为显著，进一步证明了RFM的通用性和可扩展性。</w:t>
      </w:r>
    </w:p>
    <w:p>
      <w:pPr>
        <w:spacing w:line="360" w:lineRule="auto" w:before="60" w:after="60"/>
        <w:jc w:val="left"/>
      </w:pPr>
      <w:r>
        <w:rPr>
          <w:rFonts w:ascii="Times New Roman" w:hAnsi="Times New Roman" w:eastAsia="黑体"/>
          <w:b/>
          <w:sz w:val="24"/>
        </w:rPr>
        <w:t>1.3 创新点2：多尺度频域-梯度协同感知模块（MFGCP）—— 已完成实现</w:t>
      </w:r>
    </w:p>
    <w:p>
      <w:pPr>
        <w:spacing w:line="360" w:lineRule="auto" w:before="0" w:after="0"/>
        <w:ind w:firstLine="480"/>
        <w:jc w:val="both"/>
      </w:pPr>
      <w:r>
        <w:rPr>
          <w:rFonts w:ascii="Times New Roman" w:hAnsi="Times New Roman" w:eastAsia="宋体"/>
          <w:b w:val="0"/>
          <w:sz w:val="24"/>
        </w:rPr>
        <w:t>MFGCP模块在RFM基础上引入空域方向性感知机制，构建频域-空域双域协同的特征增强框架。其核心组件MDPConv（Multi-Directional Perception Convolution）采用五个方向微分卷积分支，各分支配置如下：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pPr>
              <w:spacing w:line="288" w:lineRule="auto" w:before="20" w:after="20"/>
              <w:jc w:val="center"/>
            </w:pPr>
            <w:r/>
            <w:r>
              <w:rPr>
                <w:rFonts w:ascii="Times New Roman" w:hAnsi="Times New Roman" w:eastAsia="宋体"/>
                <w:b/>
                <w:sz w:val="20"/>
              </w:rPr>
              <w:t>分支</w:t>
            </w:r>
          </w:p>
        </w:tc>
        <w:tc>
          <w:tcPr>
            <w:tcW w:type="dxa" w:w="2078"/>
          </w:tcPr>
          <w:p>
            <w:pPr>
              <w:spacing w:line="288" w:lineRule="auto" w:before="20" w:after="20"/>
              <w:jc w:val="center"/>
            </w:pPr>
            <w:r/>
            <w:r>
              <w:rPr>
                <w:rFonts w:ascii="Times New Roman" w:hAnsi="Times New Roman" w:eastAsia="宋体"/>
                <w:b/>
                <w:sz w:val="20"/>
              </w:rPr>
              <w:t>核尺寸</w:t>
            </w:r>
          </w:p>
        </w:tc>
        <w:tc>
          <w:tcPr>
            <w:tcW w:type="dxa" w:w="2078"/>
          </w:tcPr>
          <w:p>
            <w:pPr>
              <w:spacing w:line="288" w:lineRule="auto" w:before="20" w:after="20"/>
              <w:jc w:val="center"/>
            </w:pPr>
            <w:r/>
            <w:r>
              <w:rPr>
                <w:rFonts w:ascii="Times New Roman" w:hAnsi="Times New Roman" w:eastAsia="宋体"/>
                <w:b/>
                <w:sz w:val="20"/>
              </w:rPr>
              <w:t>功能描述</w:t>
            </w:r>
          </w:p>
        </w:tc>
        <w:tc>
          <w:tcPr>
            <w:tcW w:type="dxa" w:w="2078"/>
          </w:tcPr>
          <w:p>
            <w:pPr>
              <w:spacing w:line="288" w:lineRule="auto" w:before="20" w:after="20"/>
              <w:jc w:val="center"/>
            </w:pPr>
            <w:r/>
            <w:r>
              <w:rPr>
                <w:rFonts w:ascii="Times New Roman" w:hAnsi="Times New Roman" w:eastAsia="宋体"/>
                <w:b/>
                <w:sz w:val="20"/>
              </w:rPr>
              <w:t>目标特征</w:t>
            </w:r>
          </w:p>
        </w:tc>
      </w:tr>
      <w:tr>
        <w:tc>
          <w:tcPr>
            <w:tcW w:type="dxa" w:w="2078"/>
          </w:tcPr>
          <w:p>
            <w:pPr>
              <w:spacing w:line="288" w:lineRule="auto" w:before="20" w:after="20"/>
              <w:jc w:val="center"/>
            </w:pPr>
            <w:r/>
            <w:r>
              <w:rPr>
                <w:rFonts w:ascii="Times New Roman" w:hAnsi="Times New Roman" w:eastAsia="宋体"/>
                <w:b w:val="0"/>
                <w:sz w:val="19"/>
              </w:rPr>
              <w:t>HDC（水平差分卷积）</w:t>
            </w:r>
          </w:p>
        </w:tc>
        <w:tc>
          <w:tcPr>
            <w:tcW w:type="dxa" w:w="2078"/>
          </w:tcPr>
          <w:p>
            <w:pPr>
              <w:spacing w:line="288" w:lineRule="auto" w:before="20" w:after="20"/>
              <w:jc w:val="center"/>
            </w:pPr>
            <w:r/>
            <w:r>
              <w:rPr>
                <w:rFonts w:ascii="Times New Roman" w:hAnsi="Times New Roman" w:eastAsia="宋体"/>
                <w:b w:val="0"/>
                <w:sz w:val="19"/>
              </w:rPr>
              <w:t>1x3</w:t>
            </w:r>
          </w:p>
        </w:tc>
        <w:tc>
          <w:tcPr>
            <w:tcW w:type="dxa" w:w="2078"/>
          </w:tcPr>
          <w:p>
            <w:pPr>
              <w:spacing w:line="288" w:lineRule="auto" w:before="20" w:after="20"/>
              <w:jc w:val="center"/>
            </w:pPr>
            <w:r/>
            <w:r>
              <w:rPr>
                <w:rFonts w:ascii="Times New Roman" w:hAnsi="Times New Roman" w:eastAsia="宋体"/>
                <w:b w:val="0"/>
                <w:sz w:val="19"/>
              </w:rPr>
              <w:t>水平方向差分运算</w:t>
            </w:r>
          </w:p>
        </w:tc>
        <w:tc>
          <w:tcPr>
            <w:tcW w:type="dxa" w:w="2078"/>
          </w:tcPr>
          <w:p>
            <w:pPr>
              <w:spacing w:line="288" w:lineRule="auto" w:before="20" w:after="20"/>
              <w:jc w:val="left"/>
            </w:pPr>
            <w:r/>
            <w:r>
              <w:rPr>
                <w:rFonts w:ascii="Times New Roman" w:hAnsi="Times New Roman" w:eastAsia="宋体"/>
                <w:b w:val="0"/>
                <w:sz w:val="19"/>
              </w:rPr>
              <w:t>水平边缘与水平方向雨纹</w:t>
            </w:r>
          </w:p>
        </w:tc>
      </w:tr>
      <w:tr>
        <w:tc>
          <w:tcPr>
            <w:tcW w:type="dxa" w:w="2078"/>
          </w:tcPr>
          <w:p>
            <w:pPr>
              <w:spacing w:line="288" w:lineRule="auto" w:before="20" w:after="20"/>
              <w:jc w:val="center"/>
            </w:pPr>
            <w:r/>
            <w:r>
              <w:rPr>
                <w:rFonts w:ascii="Times New Roman" w:hAnsi="Times New Roman" w:eastAsia="宋体"/>
                <w:b w:val="0"/>
                <w:sz w:val="19"/>
              </w:rPr>
              <w:t>VC（竖直卷积）</w:t>
            </w:r>
          </w:p>
        </w:tc>
        <w:tc>
          <w:tcPr>
            <w:tcW w:type="dxa" w:w="2078"/>
          </w:tcPr>
          <w:p>
            <w:pPr>
              <w:spacing w:line="288" w:lineRule="auto" w:before="20" w:after="20"/>
              <w:jc w:val="center"/>
            </w:pPr>
            <w:r/>
            <w:r>
              <w:rPr>
                <w:rFonts w:ascii="Times New Roman" w:hAnsi="Times New Roman" w:eastAsia="宋体"/>
                <w:b w:val="0"/>
                <w:sz w:val="19"/>
              </w:rPr>
              <w:t>3x1</w:t>
            </w:r>
          </w:p>
        </w:tc>
        <w:tc>
          <w:tcPr>
            <w:tcW w:type="dxa" w:w="2078"/>
          </w:tcPr>
          <w:p>
            <w:pPr>
              <w:spacing w:line="288" w:lineRule="auto" w:before="20" w:after="20"/>
              <w:jc w:val="center"/>
            </w:pPr>
            <w:r/>
            <w:r>
              <w:rPr>
                <w:rFonts w:ascii="Times New Roman" w:hAnsi="Times New Roman" w:eastAsia="宋体"/>
                <w:b w:val="0"/>
                <w:sz w:val="19"/>
              </w:rPr>
              <w:t>竖直方向卷积</w:t>
            </w:r>
          </w:p>
        </w:tc>
        <w:tc>
          <w:tcPr>
            <w:tcW w:type="dxa" w:w="2078"/>
          </w:tcPr>
          <w:p>
            <w:pPr>
              <w:spacing w:line="288" w:lineRule="auto" w:before="20" w:after="20"/>
              <w:jc w:val="left"/>
            </w:pPr>
            <w:r/>
            <w:r>
              <w:rPr>
                <w:rFonts w:ascii="Times New Roman" w:hAnsi="Times New Roman" w:eastAsia="宋体"/>
                <w:b w:val="0"/>
                <w:sz w:val="19"/>
              </w:rPr>
              <w:t>竖直方向雨线捕获</w:t>
            </w:r>
          </w:p>
        </w:tc>
      </w:tr>
      <w:tr>
        <w:tc>
          <w:tcPr>
            <w:tcW w:type="dxa" w:w="2078"/>
          </w:tcPr>
          <w:p>
            <w:pPr>
              <w:spacing w:line="288" w:lineRule="auto" w:before="20" w:after="20"/>
              <w:jc w:val="center"/>
            </w:pPr>
            <w:r/>
            <w:r>
              <w:rPr>
                <w:rFonts w:ascii="Times New Roman" w:hAnsi="Times New Roman" w:eastAsia="宋体"/>
                <w:b w:val="0"/>
                <w:sz w:val="19"/>
              </w:rPr>
              <w:t>CDC（中心差分卷积）</w:t>
            </w:r>
          </w:p>
        </w:tc>
        <w:tc>
          <w:tcPr>
            <w:tcW w:type="dxa" w:w="2078"/>
          </w:tcPr>
          <w:p>
            <w:pPr>
              <w:spacing w:line="288" w:lineRule="auto" w:before="20" w:after="20"/>
              <w:jc w:val="center"/>
            </w:pPr>
            <w:r/>
            <w:r>
              <w:rPr>
                <w:rFonts w:ascii="Times New Roman" w:hAnsi="Times New Roman" w:eastAsia="宋体"/>
                <w:b w:val="0"/>
                <w:sz w:val="19"/>
              </w:rPr>
              <w:t>3x3</w:t>
            </w:r>
          </w:p>
        </w:tc>
        <w:tc>
          <w:tcPr>
            <w:tcW w:type="dxa" w:w="2078"/>
          </w:tcPr>
          <w:p>
            <w:pPr>
              <w:spacing w:line="288" w:lineRule="auto" w:before="20" w:after="20"/>
              <w:jc w:val="center"/>
            </w:pPr>
            <w:r/>
            <w:r>
              <w:rPr>
                <w:rFonts w:ascii="Times New Roman" w:hAnsi="Times New Roman" w:eastAsia="宋体"/>
                <w:b w:val="0"/>
                <w:sz w:val="19"/>
              </w:rPr>
              <w:t>中心像素与邻域差分</w:t>
            </w:r>
          </w:p>
        </w:tc>
        <w:tc>
          <w:tcPr>
            <w:tcW w:type="dxa" w:w="2078"/>
          </w:tcPr>
          <w:p>
            <w:pPr>
              <w:spacing w:line="288" w:lineRule="auto" w:before="20" w:after="20"/>
              <w:jc w:val="left"/>
            </w:pPr>
            <w:r/>
            <w:r>
              <w:rPr>
                <w:rFonts w:ascii="Times New Roman" w:hAnsi="Times New Roman" w:eastAsia="宋体"/>
                <w:b w:val="0"/>
                <w:sz w:val="19"/>
              </w:rPr>
              <w:t>中心差分对比度增强</w:t>
            </w:r>
          </w:p>
        </w:tc>
      </w:tr>
      <w:tr>
        <w:tc>
          <w:tcPr>
            <w:tcW w:type="dxa" w:w="2078"/>
          </w:tcPr>
          <w:p>
            <w:pPr>
              <w:spacing w:line="288" w:lineRule="auto" w:before="20" w:after="20"/>
              <w:jc w:val="center"/>
            </w:pPr>
            <w:r/>
            <w:r>
              <w:rPr>
                <w:rFonts w:ascii="Times New Roman" w:hAnsi="Times New Roman" w:eastAsia="宋体"/>
                <w:b w:val="0"/>
                <w:sz w:val="19"/>
              </w:rPr>
              <w:t>ADC（反对角线卷积）</w:t>
            </w:r>
          </w:p>
        </w:tc>
        <w:tc>
          <w:tcPr>
            <w:tcW w:type="dxa" w:w="2078"/>
          </w:tcPr>
          <w:p>
            <w:pPr>
              <w:spacing w:line="288" w:lineRule="auto" w:before="20" w:after="20"/>
              <w:jc w:val="center"/>
            </w:pPr>
            <w:r/>
            <w:r>
              <w:rPr>
                <w:rFonts w:ascii="Times New Roman" w:hAnsi="Times New Roman" w:eastAsia="宋体"/>
                <w:b w:val="0"/>
                <w:sz w:val="19"/>
              </w:rPr>
              <w:t>3x3</w:t>
            </w:r>
          </w:p>
        </w:tc>
        <w:tc>
          <w:tcPr>
            <w:tcW w:type="dxa" w:w="2078"/>
          </w:tcPr>
          <w:p>
            <w:pPr>
              <w:spacing w:line="288" w:lineRule="auto" w:before="20" w:after="20"/>
              <w:jc w:val="center"/>
            </w:pPr>
            <w:r/>
            <w:r>
              <w:rPr>
                <w:rFonts w:ascii="Times New Roman" w:hAnsi="Times New Roman" w:eastAsia="宋体"/>
                <w:b w:val="0"/>
                <w:sz w:val="19"/>
              </w:rPr>
              <w:t>对角线方向差分</w:t>
            </w:r>
          </w:p>
        </w:tc>
        <w:tc>
          <w:tcPr>
            <w:tcW w:type="dxa" w:w="2078"/>
          </w:tcPr>
          <w:p>
            <w:pPr>
              <w:spacing w:line="288" w:lineRule="auto" w:before="20" w:after="20"/>
              <w:jc w:val="left"/>
            </w:pPr>
            <w:r/>
            <w:r>
              <w:rPr>
                <w:rFonts w:ascii="Times New Roman" w:hAnsi="Times New Roman" w:eastAsia="宋体"/>
                <w:b w:val="0"/>
                <w:sz w:val="19"/>
              </w:rPr>
              <w:t>对角线方向纹理</w:t>
            </w:r>
          </w:p>
        </w:tc>
      </w:tr>
      <w:tr>
        <w:tc>
          <w:tcPr>
            <w:tcW w:type="dxa" w:w="2078"/>
          </w:tcPr>
          <w:p>
            <w:pPr>
              <w:spacing w:line="288" w:lineRule="auto" w:before="20" w:after="20"/>
              <w:jc w:val="center"/>
            </w:pPr>
            <w:r/>
            <w:r>
              <w:rPr>
                <w:rFonts w:ascii="Times New Roman" w:hAnsi="Times New Roman" w:eastAsia="宋体"/>
                <w:b w:val="0"/>
                <w:sz w:val="19"/>
              </w:rPr>
              <w:t>VDC（反对角线卷积）</w:t>
            </w:r>
          </w:p>
        </w:tc>
        <w:tc>
          <w:tcPr>
            <w:tcW w:type="dxa" w:w="2078"/>
          </w:tcPr>
          <w:p>
            <w:pPr>
              <w:spacing w:line="288" w:lineRule="auto" w:before="20" w:after="20"/>
              <w:jc w:val="center"/>
            </w:pPr>
            <w:r/>
            <w:r>
              <w:rPr>
                <w:rFonts w:ascii="Times New Roman" w:hAnsi="Times New Roman" w:eastAsia="宋体"/>
                <w:b w:val="0"/>
                <w:sz w:val="19"/>
              </w:rPr>
              <w:t>3x3</w:t>
            </w:r>
          </w:p>
        </w:tc>
        <w:tc>
          <w:tcPr>
            <w:tcW w:type="dxa" w:w="2078"/>
          </w:tcPr>
          <w:p>
            <w:pPr>
              <w:spacing w:line="288" w:lineRule="auto" w:before="20" w:after="20"/>
              <w:jc w:val="center"/>
            </w:pPr>
            <w:r/>
            <w:r>
              <w:rPr>
                <w:rFonts w:ascii="Times New Roman" w:hAnsi="Times New Roman" w:eastAsia="宋体"/>
                <w:b w:val="0"/>
                <w:sz w:val="19"/>
              </w:rPr>
              <w:t>反对角线方向差分</w:t>
            </w:r>
          </w:p>
        </w:tc>
        <w:tc>
          <w:tcPr>
            <w:tcW w:type="dxa" w:w="2078"/>
          </w:tcPr>
          <w:p>
            <w:pPr>
              <w:spacing w:line="288" w:lineRule="auto" w:before="20" w:after="20"/>
              <w:jc w:val="left"/>
            </w:pPr>
            <w:r/>
            <w:r>
              <w:rPr>
                <w:rFonts w:ascii="Times New Roman" w:hAnsi="Times New Roman" w:eastAsia="宋体"/>
                <w:b w:val="0"/>
                <w:sz w:val="19"/>
              </w:rPr>
              <w:t>反对角线方向纹理</w:t>
            </w:r>
          </w:p>
        </w:tc>
      </w:tr>
    </w:tbl>
    <w:p>
      <w:pPr>
        <w:spacing w:line="360" w:lineRule="auto" w:before="0" w:after="0"/>
        <w:ind w:firstLine="480"/>
        <w:jc w:val="both"/>
      </w:pPr>
    </w:p>
    <w:p>
      <w:pPr>
        <w:spacing w:line="360" w:lineRule="auto" w:before="0" w:after="0"/>
        <w:ind w:firstLine="480"/>
        <w:jc w:val="both"/>
      </w:pPr>
      <w:r>
        <w:rPr>
          <w:rFonts w:ascii="Times New Roman" w:hAnsi="Times New Roman" w:eastAsia="宋体"/>
          <w:b w:val="0"/>
          <w:sz w:val="24"/>
        </w:rPr>
        <w:t>五个方向微分卷积均采用深度可分离卷积（Depthwise Convolution, groups=dim）实现，其输出通过逐元素求和融合：</w:t>
      </w:r>
    </w:p>
    <w:p>
      <w:pPr>
        <w:spacing w:line="360" w:lineRule="auto" w:before="60" w:after="60"/>
        <w:jc w:val="center"/>
      </w:pPr>
      <w:r>
        <w:rPr>
          <w:rFonts w:ascii="Times New Roman" w:hAnsi="Times New Roman" w:eastAsia="宋体"/>
          <w:b w:val="0"/>
          <w:sz w:val="24"/>
        </w:rPr>
        <w:t>F_out = sum(F_in * K_i), i=1..5</w:t>
      </w:r>
    </w:p>
    <w:p>
      <w:pPr>
        <w:spacing w:line="360" w:lineRule="auto" w:before="0" w:after="0"/>
        <w:ind w:firstLine="480"/>
        <w:jc w:val="both"/>
      </w:pPr>
      <w:r>
        <w:rPr>
          <w:rFonts w:ascii="Times New Roman" w:hAnsi="Times New Roman" w:eastAsia="宋体"/>
          <w:b w:val="0"/>
          <w:sz w:val="24"/>
        </w:rPr>
        <w:t>其中 K_i 为第 i 个方向微分卷积核。训练完成后，五个分支可通过结构重参数化（Structural Re-parameterization）合并为单个等效3x3卷积核，实现推理阶段的零额外计算开销。</w:t>
      </w:r>
    </w:p>
    <w:p>
      <w:pPr>
        <w:spacing w:line="360" w:lineRule="auto" w:before="0" w:after="0"/>
        <w:ind w:firstLine="480"/>
        <w:jc w:val="both"/>
      </w:pPr>
      <w:r>
        <w:rPr>
          <w:rFonts w:ascii="Times New Roman" w:hAnsi="Times New Roman" w:eastAsia="宋体"/>
          <w:b w:val="0"/>
          <w:sz w:val="24"/>
        </w:rPr>
        <w:t>MFGCP_TransformerBlock的完整计算流程如下：</w:t>
      </w:r>
    </w:p>
    <w:p>
      <w:pPr>
        <w:spacing w:line="360" w:lineRule="auto" w:before="60" w:after="60"/>
        <w:jc w:val="center"/>
      </w:pPr>
      <w:r>
        <w:rPr>
          <w:rFonts w:ascii="Times New Roman" w:hAnsi="Times New Roman" w:eastAsia="宋体"/>
          <w:b w:val="0"/>
          <w:sz w:val="24"/>
        </w:rPr>
        <w:t>x = x + Attn(Norm(x))</w:t>
      </w:r>
    </w:p>
    <w:p>
      <w:pPr>
        <w:spacing w:line="360" w:lineRule="auto" w:before="60" w:after="60"/>
        <w:jc w:val="center"/>
      </w:pPr>
      <w:r>
        <w:rPr>
          <w:rFonts w:ascii="Times New Roman" w:hAnsi="Times New Roman" w:eastAsia="宋体"/>
          <w:b w:val="0"/>
          <w:sz w:val="24"/>
        </w:rPr>
        <w:t>x = x + FFN(Norm(x)) + RFM(x) + alpha * MDPConv(x)</w:t>
      </w:r>
    </w:p>
    <w:p>
      <w:pPr>
        <w:spacing w:line="360" w:lineRule="auto" w:before="0" w:after="0"/>
        <w:ind w:firstLine="480"/>
        <w:jc w:val="both"/>
      </w:pPr>
      <w:r>
        <w:rPr>
          <w:rFonts w:ascii="Times New Roman" w:hAnsi="Times New Roman" w:eastAsia="宋体"/>
          <w:b w:val="0"/>
          <w:sz w:val="24"/>
        </w:rPr>
        <w:t>其中 alpha 为可学习标量参数，初始化为0.1，用于自适应控制MDPConv分支的贡献强度。每个MFGCP_TransformerBlock拥有独立的 alpha 参数，整个模块共包含18个可学习的 alpha 参数张量，使得不同层级的Block能够自适应学习最适合的方向性增强强度。</w:t>
      </w:r>
    </w:p>
    <w:p>
      <w:pPr>
        <w:spacing w:line="360" w:lineRule="auto" w:before="0" w:after="0"/>
        <w:ind w:firstLine="480"/>
        <w:jc w:val="both"/>
      </w:pPr>
      <w:r>
        <w:rPr>
          <w:rFonts w:ascii="Times New Roman" w:hAnsi="Times New Roman" w:eastAsia="宋体"/>
          <w:b/>
          <w:sz w:val="24"/>
        </w:rPr>
        <w:t>参数量分析：</w:t>
      </w:r>
      <w:r>
        <w:rPr>
          <w:rFonts w:ascii="Times New Roman" w:hAnsi="Times New Roman" w:eastAsia="宋体"/>
          <w:b w:val="0"/>
          <w:sz w:val="24"/>
        </w:rPr>
        <w:t xml:space="preserve"> MDPConv引入的额外参数约0.23M（占模型总参数量&lt;5%），各尺度层级的参数分布如下：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pPr>
              <w:spacing w:line="288" w:lineRule="auto" w:before="20" w:after="20"/>
              <w:jc w:val="center"/>
            </w:pPr>
            <w:r/>
            <w:r>
              <w:rPr>
                <w:rFonts w:ascii="Times New Roman" w:hAnsi="Times New Roman" w:eastAsia="宋体"/>
                <w:b/>
                <w:sz w:val="20"/>
              </w:rPr>
              <w:t>尺度层级</w:t>
            </w:r>
          </w:p>
        </w:tc>
        <w:tc>
          <w:tcPr>
            <w:tcW w:type="dxa" w:w="1662"/>
          </w:tcPr>
          <w:p>
            <w:pPr>
              <w:spacing w:line="288" w:lineRule="auto" w:before="20" w:after="20"/>
              <w:jc w:val="center"/>
            </w:pPr>
            <w:r/>
            <w:r>
              <w:rPr>
                <w:rFonts w:ascii="Times New Roman" w:hAnsi="Times New Roman" w:eastAsia="宋体"/>
                <w:b/>
                <w:sz w:val="20"/>
              </w:rPr>
              <w:t>通道数</w:t>
            </w:r>
          </w:p>
        </w:tc>
        <w:tc>
          <w:tcPr>
            <w:tcW w:type="dxa" w:w="1662"/>
          </w:tcPr>
          <w:p>
            <w:pPr>
              <w:spacing w:line="288" w:lineRule="auto" w:before="20" w:after="20"/>
              <w:jc w:val="center"/>
            </w:pPr>
            <w:r/>
            <w:r>
              <w:rPr>
                <w:rFonts w:ascii="Times New Roman" w:hAnsi="Times New Roman" w:eastAsia="宋体"/>
                <w:b/>
                <w:sz w:val="20"/>
              </w:rPr>
              <w:t>Block数量</w:t>
            </w:r>
          </w:p>
        </w:tc>
        <w:tc>
          <w:tcPr>
            <w:tcW w:type="dxa" w:w="1662"/>
          </w:tcPr>
          <w:p>
            <w:pPr>
              <w:spacing w:line="288" w:lineRule="auto" w:before="20" w:after="20"/>
              <w:jc w:val="center"/>
            </w:pPr>
            <w:r/>
            <w:r>
              <w:rPr>
                <w:rFonts w:ascii="Times New Roman" w:hAnsi="Times New Roman" w:eastAsia="宋体"/>
                <w:b/>
                <w:sz w:val="20"/>
              </w:rPr>
              <w:t>单Block参数</w:t>
            </w:r>
          </w:p>
        </w:tc>
        <w:tc>
          <w:tcPr>
            <w:tcW w:type="dxa" w:w="1662"/>
          </w:tcPr>
          <w:p>
            <w:pPr>
              <w:spacing w:line="288" w:lineRule="auto" w:before="20" w:after="20"/>
              <w:jc w:val="center"/>
            </w:pPr>
            <w:r/>
            <w:r>
              <w:rPr>
                <w:rFonts w:ascii="Times New Roman" w:hAnsi="Times New Roman" w:eastAsia="宋体"/>
                <w:b/>
                <w:sz w:val="20"/>
              </w:rPr>
              <w:t>小计</w:t>
            </w:r>
          </w:p>
        </w:tc>
      </w:tr>
      <w:tr>
        <w:tc>
          <w:tcPr>
            <w:tcW w:type="dxa" w:w="1662"/>
          </w:tcPr>
          <w:p>
            <w:pPr>
              <w:spacing w:line="288" w:lineRule="auto" w:before="20" w:after="20"/>
              <w:jc w:val="center"/>
            </w:pPr>
            <w:r/>
            <w:r>
              <w:rPr>
                <w:rFonts w:ascii="Times New Roman" w:hAnsi="Times New Roman" w:eastAsia="宋体"/>
                <w:b w:val="0"/>
                <w:sz w:val="19"/>
              </w:rPr>
              <w:t>小尺度（latent_small）</w:t>
            </w:r>
          </w:p>
        </w:tc>
        <w:tc>
          <w:tcPr>
            <w:tcW w:type="dxa" w:w="1662"/>
          </w:tcPr>
          <w:p>
            <w:pPr>
              <w:spacing w:line="288" w:lineRule="auto" w:before="20" w:after="20"/>
              <w:jc w:val="center"/>
            </w:pPr>
            <w:r/>
            <w:r>
              <w:rPr>
                <w:rFonts w:ascii="Times New Roman" w:hAnsi="Times New Roman" w:eastAsia="宋体"/>
                <w:b w:val="0"/>
                <w:sz w:val="19"/>
              </w:rPr>
              <w:t>48</w:t>
            </w:r>
          </w:p>
        </w:tc>
        <w:tc>
          <w:tcPr>
            <w:tcW w:type="dxa" w:w="1662"/>
          </w:tcPr>
          <w:p>
            <w:pPr>
              <w:spacing w:line="288" w:lineRule="auto" w:before="20" w:after="20"/>
              <w:jc w:val="center"/>
            </w:pPr>
            <w:r/>
            <w:r>
              <w:rPr>
                <w:rFonts w:ascii="Times New Roman" w:hAnsi="Times New Roman" w:eastAsia="宋体"/>
                <w:b w:val="0"/>
                <w:sz w:val="19"/>
              </w:rPr>
              <w:t>3</w:t>
            </w:r>
          </w:p>
        </w:tc>
        <w:tc>
          <w:tcPr>
            <w:tcW w:type="dxa" w:w="1662"/>
          </w:tcPr>
          <w:p>
            <w:pPr>
              <w:spacing w:line="288" w:lineRule="auto" w:before="20" w:after="20"/>
              <w:jc w:val="center"/>
            </w:pPr>
            <w:r/>
            <w:r>
              <w:rPr>
                <w:rFonts w:ascii="Times New Roman" w:hAnsi="Times New Roman" w:eastAsia="宋体"/>
                <w:b w:val="0"/>
                <w:sz w:val="19"/>
              </w:rPr>
              <w:t>~3,889</w:t>
            </w:r>
          </w:p>
        </w:tc>
        <w:tc>
          <w:tcPr>
            <w:tcW w:type="dxa" w:w="1662"/>
          </w:tcPr>
          <w:p>
            <w:pPr>
              <w:spacing w:line="288" w:lineRule="auto" w:before="20" w:after="20"/>
              <w:jc w:val="center"/>
            </w:pPr>
            <w:r/>
            <w:r>
              <w:rPr>
                <w:rFonts w:ascii="Times New Roman" w:hAnsi="Times New Roman" w:eastAsia="宋体"/>
                <w:b w:val="0"/>
                <w:sz w:val="19"/>
              </w:rPr>
              <w:t>~11,667</w:t>
            </w:r>
          </w:p>
        </w:tc>
      </w:tr>
      <w:tr>
        <w:tc>
          <w:tcPr>
            <w:tcW w:type="dxa" w:w="1662"/>
          </w:tcPr>
          <w:p>
            <w:pPr>
              <w:spacing w:line="288" w:lineRule="auto" w:before="20" w:after="20"/>
              <w:jc w:val="center"/>
            </w:pPr>
            <w:r/>
            <w:r>
              <w:rPr>
                <w:rFonts w:ascii="Times New Roman" w:hAnsi="Times New Roman" w:eastAsia="宋体"/>
                <w:b w:val="0"/>
                <w:sz w:val="19"/>
              </w:rPr>
              <w:t>中尺度（latent_mid）</w:t>
            </w:r>
          </w:p>
        </w:tc>
        <w:tc>
          <w:tcPr>
            <w:tcW w:type="dxa" w:w="1662"/>
          </w:tcPr>
          <w:p>
            <w:pPr>
              <w:spacing w:line="288" w:lineRule="auto" w:before="20" w:after="20"/>
              <w:jc w:val="center"/>
            </w:pPr>
            <w:r/>
            <w:r>
              <w:rPr>
                <w:rFonts w:ascii="Times New Roman" w:hAnsi="Times New Roman" w:eastAsia="宋体"/>
                <w:b w:val="0"/>
                <w:sz w:val="19"/>
              </w:rPr>
              <w:t>96</w:t>
            </w:r>
          </w:p>
        </w:tc>
        <w:tc>
          <w:tcPr>
            <w:tcW w:type="dxa" w:w="1662"/>
          </w:tcPr>
          <w:p>
            <w:pPr>
              <w:spacing w:line="288" w:lineRule="auto" w:before="20" w:after="20"/>
              <w:jc w:val="center"/>
            </w:pPr>
            <w:r/>
            <w:r>
              <w:rPr>
                <w:rFonts w:ascii="Times New Roman" w:hAnsi="Times New Roman" w:eastAsia="宋体"/>
                <w:b w:val="0"/>
                <w:sz w:val="19"/>
              </w:rPr>
              <w:t>2</w:t>
            </w:r>
          </w:p>
        </w:tc>
        <w:tc>
          <w:tcPr>
            <w:tcW w:type="dxa" w:w="1662"/>
          </w:tcPr>
          <w:p>
            <w:pPr>
              <w:spacing w:line="288" w:lineRule="auto" w:before="20" w:after="20"/>
              <w:jc w:val="center"/>
            </w:pPr>
            <w:r/>
            <w:r>
              <w:rPr>
                <w:rFonts w:ascii="Times New Roman" w:hAnsi="Times New Roman" w:eastAsia="宋体"/>
                <w:b w:val="0"/>
                <w:sz w:val="19"/>
              </w:rPr>
              <w:t>~15,553</w:t>
            </w:r>
          </w:p>
        </w:tc>
        <w:tc>
          <w:tcPr>
            <w:tcW w:type="dxa" w:w="1662"/>
          </w:tcPr>
          <w:p>
            <w:pPr>
              <w:spacing w:line="288" w:lineRule="auto" w:before="20" w:after="20"/>
              <w:jc w:val="center"/>
            </w:pPr>
            <w:r/>
            <w:r>
              <w:rPr>
                <w:rFonts w:ascii="Times New Roman" w:hAnsi="Times New Roman" w:eastAsia="宋体"/>
                <w:b w:val="0"/>
                <w:sz w:val="19"/>
              </w:rPr>
              <w:t>~31,106</w:t>
            </w:r>
          </w:p>
        </w:tc>
      </w:tr>
      <w:tr>
        <w:tc>
          <w:tcPr>
            <w:tcW w:type="dxa" w:w="1662"/>
          </w:tcPr>
          <w:p>
            <w:pPr>
              <w:spacing w:line="288" w:lineRule="auto" w:before="20" w:after="20"/>
              <w:jc w:val="center"/>
            </w:pPr>
            <w:r/>
            <w:r>
              <w:rPr>
                <w:rFonts w:ascii="Times New Roman" w:hAnsi="Times New Roman" w:eastAsia="宋体"/>
                <w:b w:val="0"/>
                <w:sz w:val="19"/>
              </w:rPr>
              <w:t>大尺度（latent_max）</w:t>
            </w:r>
          </w:p>
        </w:tc>
        <w:tc>
          <w:tcPr>
            <w:tcW w:type="dxa" w:w="1662"/>
          </w:tcPr>
          <w:p>
            <w:pPr>
              <w:spacing w:line="288" w:lineRule="auto" w:before="20" w:after="20"/>
              <w:jc w:val="center"/>
            </w:pPr>
            <w:r/>
            <w:r>
              <w:rPr>
                <w:rFonts w:ascii="Times New Roman" w:hAnsi="Times New Roman" w:eastAsia="宋体"/>
                <w:b w:val="0"/>
                <w:sz w:val="19"/>
              </w:rPr>
              <w:t>192</w:t>
            </w:r>
          </w:p>
        </w:tc>
        <w:tc>
          <w:tcPr>
            <w:tcW w:type="dxa" w:w="1662"/>
          </w:tcPr>
          <w:p>
            <w:pPr>
              <w:spacing w:line="288" w:lineRule="auto" w:before="20" w:after="20"/>
              <w:jc w:val="center"/>
            </w:pPr>
            <w:r/>
            <w:r>
              <w:rPr>
                <w:rFonts w:ascii="Times New Roman" w:hAnsi="Times New Roman" w:eastAsia="宋体"/>
                <w:b w:val="0"/>
                <w:sz w:val="19"/>
              </w:rPr>
              <w:t>3</w:t>
            </w:r>
          </w:p>
        </w:tc>
        <w:tc>
          <w:tcPr>
            <w:tcW w:type="dxa" w:w="1662"/>
          </w:tcPr>
          <w:p>
            <w:pPr>
              <w:spacing w:line="288" w:lineRule="auto" w:before="20" w:after="20"/>
              <w:jc w:val="center"/>
            </w:pPr>
            <w:r/>
            <w:r>
              <w:rPr>
                <w:rFonts w:ascii="Times New Roman" w:hAnsi="Times New Roman" w:eastAsia="宋体"/>
                <w:b w:val="0"/>
                <w:sz w:val="19"/>
              </w:rPr>
              <w:t>~62,209</w:t>
            </w:r>
          </w:p>
        </w:tc>
        <w:tc>
          <w:tcPr>
            <w:tcW w:type="dxa" w:w="1662"/>
          </w:tcPr>
          <w:p>
            <w:pPr>
              <w:spacing w:line="288" w:lineRule="auto" w:before="20" w:after="20"/>
              <w:jc w:val="center"/>
            </w:pPr>
            <w:r/>
            <w:r>
              <w:rPr>
                <w:rFonts w:ascii="Times New Roman" w:hAnsi="Times New Roman" w:eastAsia="宋体"/>
                <w:b w:val="0"/>
                <w:sz w:val="19"/>
              </w:rPr>
              <w:t>~186,627</w:t>
            </w:r>
          </w:p>
        </w:tc>
      </w:tr>
      <w:tr>
        <w:tc>
          <w:tcPr>
            <w:tcW w:type="dxa" w:w="1662"/>
          </w:tcPr>
          <w:p>
            <w:pPr>
              <w:spacing w:line="288" w:lineRule="auto" w:before="20" w:after="20"/>
              <w:jc w:val="center"/>
            </w:pPr>
            <w:r/>
            <w:r>
              <w:rPr>
                <w:rFonts w:ascii="Times New Roman" w:hAnsi="Times New Roman" w:eastAsia="宋体"/>
                <w:b/>
                <w:sz w:val="19"/>
              </w:rPr>
              <w:t>总计</w:t>
            </w:r>
          </w:p>
        </w:tc>
        <w:tc>
          <w:tcPr>
            <w:tcW w:type="dxa" w:w="1662"/>
          </w:tcPr>
          <w:p>
            <w:pPr>
              <w:spacing w:line="288" w:lineRule="auto" w:before="20" w:after="20"/>
              <w:jc w:val="center"/>
            </w:pPr>
            <w:r/>
            <w:r>
              <w:rPr>
                <w:rFonts w:ascii="Times New Roman" w:hAnsi="Times New Roman" w:eastAsia="宋体"/>
                <w:b/>
                <w:sz w:val="19"/>
              </w:rPr>
              <w:t>—</w:t>
            </w:r>
          </w:p>
        </w:tc>
        <w:tc>
          <w:tcPr>
            <w:tcW w:type="dxa" w:w="1662"/>
          </w:tcPr>
          <w:p>
            <w:pPr>
              <w:spacing w:line="288" w:lineRule="auto" w:before="20" w:after="20"/>
              <w:jc w:val="center"/>
            </w:pPr>
            <w:r/>
            <w:r>
              <w:rPr>
                <w:rFonts w:ascii="Times New Roman" w:hAnsi="Times New Roman" w:eastAsia="宋体"/>
                <w:b/>
                <w:sz w:val="19"/>
              </w:rPr>
              <w:t>8</w:t>
            </w:r>
          </w:p>
        </w:tc>
        <w:tc>
          <w:tcPr>
            <w:tcW w:type="dxa" w:w="1662"/>
          </w:tcPr>
          <w:p>
            <w:pPr>
              <w:spacing w:line="288" w:lineRule="auto" w:before="20" w:after="20"/>
              <w:jc w:val="center"/>
            </w:pPr>
            <w:r/>
            <w:r>
              <w:rPr>
                <w:rFonts w:ascii="Times New Roman" w:hAnsi="Times New Roman" w:eastAsia="宋体"/>
                <w:b/>
                <w:sz w:val="19"/>
              </w:rPr>
              <w:t>—</w:t>
            </w:r>
          </w:p>
        </w:tc>
        <w:tc>
          <w:tcPr>
            <w:tcW w:type="dxa" w:w="1662"/>
          </w:tcPr>
          <w:p>
            <w:pPr>
              <w:spacing w:line="288" w:lineRule="auto" w:before="20" w:after="20"/>
              <w:jc w:val="center"/>
            </w:pPr>
            <w:r/>
            <w:r>
              <w:rPr>
                <w:rFonts w:ascii="Times New Roman" w:hAnsi="Times New Roman" w:eastAsia="宋体"/>
                <w:b/>
                <w:sz w:val="19"/>
              </w:rPr>
              <w:t>~229,400（约0.23M）</w:t>
            </w:r>
          </w:p>
        </w:tc>
      </w:tr>
    </w:tbl>
    <w:p>
      <w:pPr>
        <w:spacing w:line="360" w:lineRule="auto" w:before="0" w:after="0"/>
        <w:ind w:firstLine="480"/>
        <w:jc w:val="both"/>
      </w:pPr>
    </w:p>
    <w:p>
      <w:pPr>
        <w:spacing w:line="360" w:lineRule="auto" w:before="0" w:after="0"/>
        <w:ind w:firstLine="480"/>
        <w:jc w:val="both"/>
      </w:pPr>
      <w:r>
        <w:t>目前，MFGCP的代码实现已全部完成，并集成至训练框架中。三创新点（RFM+MFGCP+HAFL）的集成实验（exp3）已在4×NVIDIA RTX 3090上完成训练，最终PSNR达到41.93 dB（+0.22 dB），SSIM达到0.9907。然而，MFGCP的独立贡献仅为+0.04 dB（从创新点1+3的41.89 dB提升至41.93 dB），贡献相对有限。经分析，MDPConv的五方向微分卷积求和融合方式缺乏非线性特征交互能力，且3×3感受野较小，无法充分建模远距离空间依赖。为此，我们设计了SFStar（Spatial-Frequency Star Interaction Module，空频星型交互模块）作为MFGCP的升级替代方案，借鉴StarIR (IEEE TPAMI, 2026) 的Star Operation和AdaIR (ICLR, 2025) 的自适应频率选择机制，目前正在进行训练验证（exp4，500 epoch，2卡DDP，lr=2e-4）。</w:t>
      </w:r>
    </w:p>
    <w:p>
      <w:pPr>
        <w:spacing w:line="360" w:lineRule="auto" w:before="60" w:after="60"/>
        <w:jc w:val="left"/>
      </w:pPr>
      <w:r>
        <w:rPr>
          <w:rFonts w:ascii="Times New Roman" w:hAnsi="Times New Roman" w:eastAsia="黑体"/>
          <w:b/>
          <w:sz w:val="24"/>
        </w:rPr>
        <w:t>1.4 创新点3：分层自适应频域损失（HAFL）—— 已完成实现与验证</w:t>
      </w:r>
    </w:p>
    <w:p>
      <w:pPr>
        <w:spacing w:line="360" w:lineRule="auto" w:before="0" w:after="0"/>
        <w:ind w:firstLine="480"/>
        <w:jc w:val="both"/>
      </w:pPr>
      <w:r>
        <w:rPr>
          <w:rFonts w:ascii="Times New Roman" w:hAnsi="Times New Roman" w:eastAsia="宋体"/>
          <w:b w:val="0"/>
          <w:sz w:val="24"/>
        </w:rPr>
        <w:t>HAFL从训练策略层面引入频域分层约束，其核心思想是将频域分解为低、中、高三个子带，针对不同频段的恢复难度差异设计差异化的监督信号。</w:t>
      </w:r>
    </w:p>
    <w:p>
      <w:pPr>
        <w:spacing w:line="360" w:lineRule="auto" w:before="0" w:after="0"/>
        <w:ind w:firstLine="480"/>
        <w:jc w:val="both"/>
      </w:pPr>
      <w:r>
        <w:rPr>
          <w:rFonts w:ascii="Times New Roman" w:hAnsi="Times New Roman" w:eastAsia="宋体"/>
          <w:b/>
          <w:sz w:val="24"/>
        </w:rPr>
        <w:t>频域三子带分解。</w:t>
      </w:r>
      <w:r>
        <w:rPr>
          <w:rFonts w:ascii="Times New Roman" w:hAnsi="Times New Roman" w:eastAsia="宋体"/>
          <w:b w:val="0"/>
          <w:sz w:val="24"/>
        </w:rPr>
        <w:t xml:space="preserve"> 给定预测图像 x_hat 和真实图像 x*，HAFL首先对二者分别进行FFT变换，通过三个频域掩膜将其分解为不同子带：</w:t>
      </w:r>
    </w:p>
    <w:p>
      <w:pPr>
        <w:spacing w:line="360" w:lineRule="auto" w:before="60" w:after="60"/>
        <w:jc w:val="center"/>
      </w:pPr>
      <w:r>
        <w:rPr>
          <w:rFonts w:ascii="Times New Roman" w:hAnsi="Times New Roman" w:eastAsia="宋体"/>
          <w:b w:val="0"/>
          <w:sz w:val="24"/>
        </w:rPr>
        <w:t>x_hat_low = iFFT_2D(FFT_2D(x_hat) * M_low)</w:t>
      </w:r>
    </w:p>
    <w:p>
      <w:pPr>
        <w:spacing w:line="360" w:lineRule="auto" w:before="60" w:after="60"/>
        <w:jc w:val="center"/>
      </w:pPr>
      <w:r>
        <w:rPr>
          <w:rFonts w:ascii="Times New Roman" w:hAnsi="Times New Roman" w:eastAsia="宋体"/>
          <w:b w:val="0"/>
          <w:sz w:val="24"/>
        </w:rPr>
        <w:t>x_hat_mid = iFFT_2D(FFT_2D(x_hat) * M_mid)</w:t>
      </w:r>
    </w:p>
    <w:p>
      <w:pPr>
        <w:spacing w:line="360" w:lineRule="auto" w:before="60" w:after="60"/>
        <w:jc w:val="center"/>
      </w:pPr>
      <w:r>
        <w:rPr>
          <w:rFonts w:ascii="Times New Roman" w:hAnsi="Times New Roman" w:eastAsia="宋体"/>
          <w:b w:val="0"/>
          <w:sz w:val="24"/>
        </w:rPr>
        <w:t>x_hat_high = iFFT_2D(FFT_2D(x_hat) * M_high)</w:t>
      </w:r>
    </w:p>
    <w:p>
      <w:pPr>
        <w:spacing w:line="360" w:lineRule="auto" w:before="0" w:after="0"/>
        <w:ind w:firstLine="480"/>
        <w:jc w:val="both"/>
      </w:pPr>
      <w:r>
        <w:rPr>
          <w:rFonts w:ascii="Times New Roman" w:hAnsi="Times New Roman" w:eastAsia="宋体"/>
          <w:b w:val="0"/>
          <w:sz w:val="24"/>
        </w:rPr>
        <w:t>其中 M_low、M_mid、M_high 为基于归一化频率距离的三个二值掩膜，截止频率分别为0.25和0.75，满足 M_low + M_mid + M_high = 1，确保频域完全覆盖。</w:t>
      </w:r>
    </w:p>
    <w:p>
      <w:pPr>
        <w:spacing w:line="360" w:lineRule="auto" w:before="0" w:after="0"/>
        <w:ind w:firstLine="480"/>
        <w:jc w:val="both"/>
      </w:pPr>
      <w:r>
        <w:rPr>
          <w:rFonts w:ascii="Times New Roman" w:hAnsi="Times New Roman" w:eastAsia="宋体"/>
          <w:b/>
          <w:sz w:val="24"/>
        </w:rPr>
        <w:t>渐进式权重调度。</w:t>
      </w:r>
      <w:r>
        <w:rPr>
          <w:rFonts w:ascii="Times New Roman" w:hAnsi="Times New Roman" w:eastAsia="宋体"/>
          <w:b w:val="0"/>
          <w:sz w:val="24"/>
        </w:rPr>
        <w:t xml:space="preserve"> HAFL采用课程学习（Curriculum Learning）思想设计渐进式权重调度策略：</w:t>
      </w:r>
    </w:p>
    <w:p>
      <w:pPr>
        <w:spacing w:line="360" w:lineRule="auto" w:before="60" w:after="60"/>
        <w:jc w:val="center"/>
      </w:pPr>
      <w:r>
        <w:rPr>
          <w:rFonts w:ascii="Times New Roman" w:hAnsi="Times New Roman" w:eastAsia="宋体"/>
          <w:b w:val="0"/>
          <w:sz w:val="24"/>
        </w:rPr>
        <w:t>w_low = 0.8 (恒定)</w:t>
      </w:r>
    </w:p>
    <w:p>
      <w:pPr>
        <w:spacing w:line="360" w:lineRule="auto" w:before="60" w:after="60"/>
        <w:jc w:val="center"/>
      </w:pPr>
      <w:r>
        <w:rPr>
          <w:rFonts w:ascii="Times New Roman" w:hAnsi="Times New Roman" w:eastAsia="宋体"/>
          <w:b w:val="0"/>
          <w:sz w:val="24"/>
        </w:rPr>
        <w:t>w_mid = 0.5 * min(1, 2t)</w:t>
      </w:r>
    </w:p>
    <w:p>
      <w:pPr>
        <w:spacing w:line="360" w:lineRule="auto" w:before="60" w:after="60"/>
        <w:jc w:val="center"/>
      </w:pPr>
      <w:r>
        <w:rPr>
          <w:rFonts w:ascii="Times New Roman" w:hAnsi="Times New Roman" w:eastAsia="宋体"/>
          <w:b w:val="0"/>
          <w:sz w:val="24"/>
        </w:rPr>
        <w:t>w_high = 0.3 * min(1, max(0, 3(t - 1/3)))</w:t>
      </w:r>
    </w:p>
    <w:p>
      <w:pPr>
        <w:spacing w:line="360" w:lineRule="auto" w:before="0" w:after="0"/>
        <w:ind w:firstLine="480"/>
        <w:jc w:val="both"/>
      </w:pPr>
      <w:r>
        <w:rPr>
          <w:rFonts w:ascii="Times New Roman" w:hAnsi="Times New Roman" w:eastAsia="宋体"/>
          <w:b w:val="0"/>
          <w:sz w:val="24"/>
        </w:rPr>
        <w:t>其中 t = epoch / total_epochs 为归一化训练进度。该策略使网络在训练初期仅受低频约束，专注于恢复图像整体结构；训练中期逐步引入中频约束；训练后期才完全启用高频约束，实现从易到难的学习过程。</w:t>
      </w:r>
    </w:p>
    <w:p>
      <w:pPr>
        <w:spacing w:line="360" w:lineRule="auto" w:before="0" w:after="0"/>
        <w:ind w:firstLine="480"/>
        <w:jc w:val="both"/>
      </w:pPr>
      <w:r>
        <w:rPr>
          <w:rFonts w:ascii="Times New Roman" w:hAnsi="Times New Roman" w:eastAsia="宋体"/>
          <w:b/>
          <w:sz w:val="24"/>
        </w:rPr>
        <w:t>HAFL损失函数：</w:t>
      </w:r>
    </w:p>
    <w:p>
      <w:pPr>
        <w:spacing w:line="360" w:lineRule="auto" w:before="60" w:after="60"/>
        <w:jc w:val="center"/>
      </w:pPr>
      <w:r>
        <w:rPr>
          <w:rFonts w:ascii="Times New Roman" w:hAnsi="Times New Roman" w:eastAsia="宋体"/>
          <w:b w:val="0"/>
          <w:sz w:val="24"/>
        </w:rPr>
        <w:t>L_HAFL = w_low*||x_hat_low - x*_low||_1 + w_mid*||x_hat_mid - x*_mid||_1 + w_high*||x_hat_high - x*_high||_1</w:t>
      </w:r>
    </w:p>
    <w:p>
      <w:pPr>
        <w:spacing w:line="360" w:lineRule="auto" w:before="0" w:after="0"/>
        <w:ind w:firstLine="480"/>
        <w:jc w:val="both"/>
      </w:pPr>
      <w:r>
        <w:rPr>
          <w:rFonts w:ascii="Times New Roman" w:hAnsi="Times New Roman" w:eastAsia="宋体"/>
          <w:b w:val="0"/>
          <w:sz w:val="24"/>
        </w:rPr>
        <w:t>总训练损失函数由五部分组成：</w:t>
      </w:r>
    </w:p>
    <w:p>
      <w:pPr>
        <w:spacing w:line="360" w:lineRule="auto" w:before="60" w:after="60"/>
        <w:jc w:val="center"/>
      </w:pPr>
      <w:r>
        <w:rPr>
          <w:rFonts w:ascii="Times New Roman" w:hAnsi="Times New Roman" w:eastAsia="宋体"/>
          <w:b w:val="0"/>
          <w:sz w:val="24"/>
        </w:rPr>
        <w:t>L_total = L_char + 0.01*L_fft + 0.05*L_edge + 0.1*L_l1 + 0.1*L_HAFL</w:t>
      </w:r>
    </w:p>
    <w:p>
      <w:pPr>
        <w:spacing w:line="360" w:lineRule="auto" w:before="0" w:after="0"/>
        <w:ind w:firstLine="480"/>
        <w:jc w:val="both"/>
      </w:pPr>
      <w:r>
        <w:rPr>
          <w:rFonts w:ascii="Times New Roman" w:hAnsi="Times New Roman" w:eastAsia="宋体"/>
          <w:b w:val="0"/>
          <w:sz w:val="24"/>
        </w:rPr>
        <w:t>其中 L_char 为Charbonnier损失（基线原有），L_fft 为频域幅度谱损失，L_edge 为边缘损失，L_l1 为标准L1损失。</w:t>
      </w:r>
    </w:p>
    <w:p>
      <w:pPr>
        <w:spacing w:line="360" w:lineRule="auto" w:before="0" w:after="0"/>
        <w:ind w:firstLine="480"/>
        <w:jc w:val="both"/>
      </w:pPr>
      <w:r>
        <w:t>实验验证结果： 在RFM基础上添加HAFL后，PSNR从41.78 dB进一步提升至41.89 dB（额外+0.11 dB）。值得注意的是，HAFL作为纯训练策略优化，不引入任何额外模型参数，仅通过改变损失函数设计即实现了三个创新点中最高的独立贡献（+0.11 dB），充分证明了频域分层损失约束的有效性：通过针对不同频率成分施加差异化的监督强度，网络能够在不同训练阶段更精准地学习不同频段的恢复能力，低频先行稳定训练，高频后期精细调优。</w:t>
      </w:r>
    </w:p>
    <w:p>
      <w:pPr>
        <w:spacing w:line="360" w:lineRule="auto" w:before="60" w:after="60"/>
        <w:jc w:val="left"/>
      </w:pPr>
      <w:r>
        <w:rPr>
          <w:rFonts w:ascii="Times New Roman" w:hAnsi="Times New Roman" w:eastAsia="黑体"/>
          <w:b/>
          <w:sz w:val="24"/>
        </w:rPr>
        <w:t>1.5 消融实验结果汇总</w:t>
      </w:r>
    </w:p>
    <w:p>
      <w:pPr>
        <w:spacing w:line="360" w:lineRule="auto" w:before="0" w:after="0"/>
        <w:ind w:firstLine="480"/>
        <w:jc w:val="both"/>
      </w:pPr>
      <w:r>
        <w:rPr>
          <w:rFonts w:ascii="Times New Roman" w:hAnsi="Times New Roman" w:eastAsia="宋体"/>
          <w:b w:val="0"/>
          <w:sz w:val="24"/>
        </w:rPr>
        <w:t>本课题采用严格的递进式消融实验设计，逐步添加各创新点以验证其独立贡献和叠加效果。Rain200L数据集上的消融实验结果如表1所示。</w:t>
      </w:r>
    </w:p>
    <w:p>
      <w:pPr>
        <w:spacing w:line="360" w:lineRule="auto" w:before="0" w:after="0"/>
        <w:ind w:firstLine="480"/>
        <w:jc w:val="both"/>
      </w:pPr>
      <w:r>
        <w:rPr>
          <w:rFonts w:ascii="Times New Roman" w:hAnsi="Times New Roman" w:eastAsia="宋体"/>
          <w:b/>
          <w:sz w:val="24"/>
        </w:rPr>
        <w:t>表1 Rain200L数据集消融实验结果（Y通道PSNR/SSIM）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pPr>
              <w:spacing w:line="288" w:lineRule="auto" w:before="20" w:after="20"/>
              <w:jc w:val="center"/>
            </w:pPr>
            <w:r/>
            <w:r>
              <w:rPr>
                <w:rFonts w:ascii="Times New Roman" w:hAnsi="Times New Roman" w:eastAsia="宋体"/>
                <w:b/>
                <w:sz w:val="19"/>
              </w:rPr>
              <w:t>实验配置</w:t>
            </w:r>
          </w:p>
        </w:tc>
        <w:tc>
          <w:tcPr>
            <w:tcW w:type="dxa" w:w="1662"/>
          </w:tcPr>
          <w:p>
            <w:pPr>
              <w:spacing w:line="288" w:lineRule="auto" w:before="20" w:after="20"/>
              <w:jc w:val="center"/>
            </w:pPr>
            <w:r/>
            <w:r>
              <w:rPr>
                <w:rFonts w:ascii="Times New Roman" w:hAnsi="Times New Roman" w:eastAsia="宋体"/>
                <w:b/>
                <w:sz w:val="19"/>
              </w:rPr>
              <w:t>PSNR (dB)</w:t>
            </w:r>
          </w:p>
        </w:tc>
        <w:tc>
          <w:tcPr>
            <w:tcW w:type="dxa" w:w="1662"/>
          </w:tcPr>
          <w:p>
            <w:pPr>
              <w:spacing w:line="288" w:lineRule="auto" w:before="20" w:after="20"/>
              <w:jc w:val="center"/>
            </w:pPr>
            <w:r/>
            <w:r>
              <w:rPr>
                <w:rFonts w:ascii="Times New Roman" w:hAnsi="Times New Roman" w:eastAsia="宋体"/>
                <w:b/>
                <w:sz w:val="19"/>
              </w:rPr>
              <w:t>SSIM</w:t>
            </w:r>
          </w:p>
        </w:tc>
        <w:tc>
          <w:tcPr>
            <w:tcW w:type="dxa" w:w="1662"/>
          </w:tcPr>
          <w:p>
            <w:pPr>
              <w:spacing w:line="288" w:lineRule="auto" w:before="20" w:after="20"/>
              <w:jc w:val="center"/>
            </w:pPr>
            <w:r/>
            <w:r>
              <w:rPr>
                <w:rFonts w:ascii="Times New Roman" w:hAnsi="Times New Roman" w:eastAsia="宋体"/>
                <w:b/>
                <w:sz w:val="19"/>
              </w:rPr>
              <w:t>相对Baseline提升</w:t>
            </w:r>
          </w:p>
        </w:tc>
        <w:tc>
          <w:tcPr>
            <w:tcW w:type="dxa" w:w="1662"/>
          </w:tcPr>
          <w:p>
            <w:pPr>
              <w:spacing w:line="288" w:lineRule="auto" w:before="20" w:after="20"/>
              <w:jc w:val="center"/>
            </w:pPr>
            <w:r/>
            <w:r>
              <w:rPr>
                <w:rFonts w:ascii="Times New Roman" w:hAnsi="Times New Roman" w:eastAsia="宋体"/>
                <w:b/>
                <w:sz w:val="19"/>
              </w:rPr>
              <w:t>状态</w:t>
            </w:r>
          </w:p>
        </w:tc>
      </w:tr>
      <w:tr>
        <w:tc>
          <w:tcPr>
            <w:tcW w:type="dxa" w:w="1662"/>
          </w:tcPr>
          <w:p>
            <w:pPr>
              <w:spacing w:line="288" w:lineRule="auto" w:before="20" w:after="20"/>
              <w:jc w:val="left"/>
            </w:pPr>
            <w:r/>
            <w:r>
              <w:rPr>
                <w:rFonts w:ascii="Times New Roman" w:hAnsi="Times New Roman" w:eastAsia="宋体"/>
                <w:b w:val="0"/>
                <w:sz w:val="19"/>
              </w:rPr>
              <w:t>Baseline (NeRD-Rain)</w:t>
            </w:r>
          </w:p>
        </w:tc>
        <w:tc>
          <w:tcPr>
            <w:tcW w:type="dxa" w:w="1662"/>
          </w:tcPr>
          <w:p>
            <w:pPr>
              <w:spacing w:line="288" w:lineRule="auto" w:before="20" w:after="20"/>
              <w:jc w:val="center"/>
            </w:pPr>
            <w:r/>
            <w:r>
              <w:rPr>
                <w:rFonts w:ascii="Times New Roman" w:hAnsi="Times New Roman" w:eastAsia="宋体"/>
                <w:b w:val="0"/>
                <w:sz w:val="19"/>
              </w:rPr>
              <w:t>41.71</w:t>
            </w:r>
          </w:p>
        </w:tc>
        <w:tc>
          <w:tcPr>
            <w:tcW w:type="dxa" w:w="1662"/>
          </w:tcPr>
          <w:p>
            <w:pPr>
              <w:spacing w:line="288" w:lineRule="auto" w:before="20" w:after="20"/>
              <w:jc w:val="center"/>
            </w:pPr>
            <w:r/>
            <w:r>
              <w:rPr>
                <w:rFonts w:ascii="Times New Roman" w:hAnsi="Times New Roman" w:eastAsia="宋体"/>
                <w:b w:val="0"/>
                <w:sz w:val="19"/>
              </w:rPr>
              <w:t>0.9903</w:t>
            </w:r>
          </w:p>
        </w:tc>
        <w:tc>
          <w:tcPr>
            <w:tcW w:type="dxa" w:w="1662"/>
          </w:tcPr>
          <w:p>
            <w:pPr>
              <w:spacing w:line="288" w:lineRule="auto" w:before="20" w:after="20"/>
              <w:jc w:val="center"/>
            </w:pPr>
            <w:r/>
            <w:r>
              <w:rPr>
                <w:rFonts w:ascii="Times New Roman" w:hAnsi="Times New Roman" w:eastAsia="宋体"/>
                <w:b w:val="0"/>
                <w:sz w:val="19"/>
              </w:rPr>
              <w:t>—</w:t>
            </w:r>
          </w:p>
        </w:tc>
        <w:tc>
          <w:tcPr>
            <w:tcW w:type="dxa" w:w="1662"/>
          </w:tcPr>
          <w:p>
            <w:pPr>
              <w:spacing w:line="288" w:lineRule="auto" w:before="20" w:after="20"/>
              <w:jc w:val="center"/>
            </w:pPr>
            <w:r/>
            <w:r>
              <w:rPr>
                <w:rFonts w:ascii="Times New Roman" w:hAnsi="Times New Roman" w:eastAsia="宋体"/>
                <w:b w:val="0"/>
                <w:sz w:val="19"/>
              </w:rPr>
              <w:t>已完成</w:t>
            </w:r>
          </w:p>
        </w:tc>
      </w:tr>
      <w:tr>
        <w:tc>
          <w:tcPr>
            <w:tcW w:type="dxa" w:w="1662"/>
          </w:tcPr>
          <w:p>
            <w:pPr>
              <w:spacing w:line="288" w:lineRule="auto" w:before="20" w:after="20"/>
              <w:jc w:val="left"/>
            </w:pPr>
            <w:r/>
            <w:r>
              <w:rPr>
                <w:rFonts w:ascii="Times New Roman" w:hAnsi="Times New Roman" w:eastAsia="宋体"/>
                <w:b w:val="0"/>
                <w:sz w:val="19"/>
              </w:rPr>
              <w:t>+ RFM（创新点1）</w:t>
            </w:r>
          </w:p>
        </w:tc>
        <w:tc>
          <w:tcPr>
            <w:tcW w:type="dxa" w:w="1662"/>
          </w:tcPr>
          <w:p>
            <w:r>
              <w:t>41.78</w:t>
            </w:r>
          </w:p>
        </w:tc>
        <w:tc>
          <w:tcPr>
            <w:tcW w:type="dxa" w:w="1662"/>
          </w:tcPr>
          <w:p>
            <w:pPr>
              <w:spacing w:line="288" w:lineRule="auto" w:before="20" w:after="20"/>
              <w:jc w:val="center"/>
            </w:pPr>
            <w:r/>
            <w:r>
              <w:rPr>
                <w:rFonts w:ascii="Times New Roman" w:hAnsi="Times New Roman" w:eastAsia="宋体"/>
                <w:b w:val="0"/>
                <w:sz w:val="19"/>
              </w:rPr>
              <w:t>0.9906</w:t>
            </w:r>
          </w:p>
        </w:tc>
        <w:tc>
          <w:tcPr>
            <w:tcW w:type="dxa" w:w="1662"/>
          </w:tcPr>
          <w:p>
            <w:r>
              <w:t>+0.07 dB</w:t>
            </w:r>
          </w:p>
        </w:tc>
        <w:tc>
          <w:tcPr>
            <w:tcW w:type="dxa" w:w="1662"/>
          </w:tcPr>
          <w:p>
            <w:pPr>
              <w:spacing w:line="288" w:lineRule="auto" w:before="20" w:after="20"/>
              <w:jc w:val="center"/>
            </w:pPr>
            <w:r/>
            <w:r>
              <w:rPr>
                <w:rFonts w:ascii="Times New Roman" w:hAnsi="Times New Roman" w:eastAsia="宋体"/>
                <w:b w:val="0"/>
                <w:sz w:val="19"/>
              </w:rPr>
              <w:t>已完成</w:t>
            </w:r>
          </w:p>
        </w:tc>
      </w:tr>
      <w:tr>
        <w:tc>
          <w:tcPr>
            <w:tcW w:type="dxa" w:w="1662"/>
          </w:tcPr>
          <w:p>
            <w:pPr>
              <w:spacing w:line="288" w:lineRule="auto" w:before="20" w:after="20"/>
              <w:jc w:val="left"/>
            </w:pPr>
            <w:r/>
            <w:r>
              <w:rPr>
                <w:rFonts w:ascii="Times New Roman" w:hAnsi="Times New Roman" w:eastAsia="宋体"/>
                <w:b w:val="0"/>
                <w:sz w:val="19"/>
              </w:rPr>
              <w:t>+ RFM + HAFL（创新点1+3）</w:t>
            </w:r>
          </w:p>
        </w:tc>
        <w:tc>
          <w:tcPr>
            <w:tcW w:type="dxa" w:w="1662"/>
          </w:tcPr>
          <w:p>
            <w:pPr>
              <w:spacing w:line="288" w:lineRule="auto" w:before="20" w:after="20"/>
              <w:jc w:val="center"/>
            </w:pPr>
            <w:r/>
            <w:r>
              <w:rPr>
                <w:rFonts w:ascii="Times New Roman" w:hAnsi="Times New Roman" w:eastAsia="宋体"/>
                <w:b w:val="0"/>
                <w:sz w:val="19"/>
              </w:rPr>
              <w:t>41.89</w:t>
            </w:r>
          </w:p>
        </w:tc>
        <w:tc>
          <w:tcPr>
            <w:tcW w:type="dxa" w:w="1662"/>
          </w:tcPr>
          <w:p>
            <w:pPr>
              <w:spacing w:line="288" w:lineRule="auto" w:before="20" w:after="20"/>
              <w:jc w:val="center"/>
            </w:pPr>
            <w:r/>
            <w:r>
              <w:rPr>
                <w:rFonts w:ascii="Times New Roman" w:hAnsi="Times New Roman" w:eastAsia="宋体"/>
                <w:b w:val="0"/>
                <w:sz w:val="19"/>
              </w:rPr>
              <w:t>0.9905</w:t>
            </w:r>
          </w:p>
        </w:tc>
        <w:tc>
          <w:tcPr>
            <w:tcW w:type="dxa" w:w="1662"/>
          </w:tcPr>
          <w:p>
            <w:pPr>
              <w:spacing w:line="288" w:lineRule="auto" w:before="20" w:after="20"/>
              <w:jc w:val="center"/>
            </w:pPr>
            <w:r/>
            <w:r>
              <w:rPr>
                <w:rFonts w:ascii="Times New Roman" w:hAnsi="Times New Roman" w:eastAsia="宋体"/>
                <w:b w:val="0"/>
                <w:sz w:val="19"/>
              </w:rPr>
              <w:t>+0.18 dB</w:t>
            </w:r>
          </w:p>
        </w:tc>
        <w:tc>
          <w:tcPr>
            <w:tcW w:type="dxa" w:w="1662"/>
          </w:tcPr>
          <w:p>
            <w:pPr>
              <w:spacing w:line="288" w:lineRule="auto" w:before="20" w:after="20"/>
              <w:jc w:val="center"/>
            </w:pPr>
            <w:r/>
            <w:r>
              <w:rPr>
                <w:rFonts w:ascii="Times New Roman" w:hAnsi="Times New Roman" w:eastAsia="宋体"/>
                <w:b w:val="0"/>
                <w:sz w:val="19"/>
              </w:rPr>
              <w:t>已完成</w:t>
            </w:r>
          </w:p>
        </w:tc>
      </w:tr>
      <w:tr>
        <w:tc>
          <w:tcPr>
            <w:tcW w:type="dxa" w:w="1662"/>
          </w:tcPr>
          <w:p>
            <w:r>
              <w:t>+ RFM + MFGCP + HAFL（全部）</w:t>
            </w:r>
          </w:p>
        </w:tc>
        <w:tc>
          <w:tcPr>
            <w:tcW w:type="dxa" w:w="1662"/>
          </w:tcPr>
          <w:p>
            <w:r>
              <w:t>41.93</w:t>
            </w:r>
          </w:p>
        </w:tc>
        <w:tc>
          <w:tcPr>
            <w:tcW w:type="dxa" w:w="1662"/>
          </w:tcPr>
          <w:p>
            <w:r>
              <w:t>0.9907</w:t>
            </w:r>
          </w:p>
        </w:tc>
        <w:tc>
          <w:tcPr>
            <w:tcW w:type="dxa" w:w="1662"/>
          </w:tcPr>
          <w:p>
            <w:r>
              <w:t>+0.22 dB</w:t>
            </w:r>
          </w:p>
        </w:tc>
        <w:tc>
          <w:tcPr>
            <w:tcW w:type="dxa" w:w="1662"/>
          </w:tcPr>
          <w:p>
            <w:r>
              <w:t>已完成</w:t>
            </w:r>
          </w:p>
        </w:tc>
      </w:tr>
      <w:tr>
        <w:tc>
          <w:tcPr>
            <w:tcW w:type="dxa" w:w="1662"/>
          </w:tcPr>
          <w:p>
            <w:r>
              <w:t>+ RFM + SFStar + HAFL（优化版）</w:t>
            </w:r>
          </w:p>
        </w:tc>
        <w:tc>
          <w:tcPr>
            <w:tcW w:type="dxa" w:w="1662"/>
          </w:tcPr>
          <w:p>
            <w:r>
              <w:t>训练中</w:t>
            </w:r>
          </w:p>
        </w:tc>
        <w:tc>
          <w:tcPr>
            <w:tcW w:type="dxa" w:w="1662"/>
          </w:tcPr>
          <w:p>
            <w:r>
              <w:t>—</w:t>
            </w:r>
          </w:p>
        </w:tc>
        <w:tc>
          <w:tcPr>
            <w:tcW w:type="dxa" w:w="1662"/>
          </w:tcPr>
          <w:p>
            <w:r>
              <w:t>预期 &gt; +0.3 dB</w:t>
            </w:r>
          </w:p>
        </w:tc>
        <w:tc>
          <w:tcPr>
            <w:tcW w:type="dxa" w:w="1662"/>
          </w:tcPr>
          <w:p>
            <w:r>
              <w:t>进行中</w:t>
            </w:r>
          </w:p>
        </w:tc>
      </w:tr>
    </w:tbl>
    <w:p>
      <w:pPr>
        <w:spacing w:line="360" w:lineRule="auto" w:before="0" w:after="0"/>
        <w:ind w:firstLine="480"/>
        <w:jc w:val="both"/>
      </w:pPr>
    </w:p>
    <w:p>
      <w:pPr>
        <w:spacing w:line="360" w:lineRule="auto" w:before="0" w:after="0"/>
        <w:ind w:firstLine="480"/>
        <w:jc w:val="both"/>
      </w:pPr>
      <w:r>
        <w:t>从消融实验结果可以观察到以下关键趋势：</w:t>
        <w:br/>
        <w:t>（1）三创新点叠加有效：从基线的41.71 dB到完整模型41.93 dB，累计提升+0.22 dB，验证了三个创新点从模型结构（RFM）、空频交互（MFGCP/SFStar）和训练策略（HAFL）三个不同维度优化的叠加效应。</w:t>
        <w:br/>
        <w:t>（2）HAFL贡献最为突出：创新点3作为纯训练策略优化（零参数开销），独立贡献达+0.11 dB，是三个创新点中贡献最大的，证明了频域分层损失约束的强大有效性。</w:t>
        <w:br/>
        <w:t>（3）创新点2持续优化：原MFGCP模块独立贡献仅+0.04 dB，分析原因为MDPConv的线性求和融合缺乏非线性交互能力。为此设计了SFStar模块，通过7×7大核DWConv扩大空域感受野、自适应频率三子带选择细化频域建模、Star乘法实现高维特征交互，预期将贡献提升至+0.1 dB以上。</w:t>
        <w:br/>
        <w:t>（4）跨模型规模验证：在Light版本上RFM提升+0.23 dB（基线38.40→38.63 dB），远高于完整版的+0.07 dB，表明频域增强对容量受限模型的改善尤为显著，具备良好的迁移应用价值。</w:t>
      </w:r>
    </w:p>
    <w:p>
      <w:pPr>
        <w:spacing w:line="360" w:lineRule="auto" w:before="60" w:after="60"/>
        <w:jc w:val="left"/>
      </w:pPr>
      <w:r>
        <w:t>1.6 创新点2优化：SFStar空频星型交互模块</w:t>
      </w:r>
    </w:p>
    <w:p>
      <w:pPr>
        <w:spacing w:line="360" w:lineRule="auto" w:before="0" w:after="0"/>
        <w:ind w:firstLine="480"/>
        <w:jc w:val="both"/>
      </w:pPr>
      <w:r>
        <w:t>鉴于MFGCP的独立贡献有限（+0.04 dB），经深入分析后设计了SFStar（Spatial-Frequency Star Interaction Module，空频星型交互模块）作为升级替代方案。SFStar借鉴了两篇2025-2026年顶级论文的核心思想：</w:t>
        <w:br/>
        <w:t>• StarIR (IEEE TPAMI, 2026)：提出Star Operation，通过逐元素乘法实现双分支的隐式高维特征映射，比加法融合具有更强的非线性表达能力。</w:t>
        <w:br/>
        <w:t>• AdaIR (ICLR, 2025)：提出自适应频率挖掘模块，通过频带分离与加权实现针对不同退化类型的选择性频率增强。</w:t>
        <w:br/>
        <w:br/>
        <w:t>SFStar的结构设计如下：</w:t>
        <w:br/>
        <w:t>x_out = Conv_1x1(SE(f_spatial(x) ⊙ f_freq(x)))</w:t>
        <w:br/>
        <w:br/>
        <w:t>其中：</w:t>
        <w:br/>
        <w:t>• f_spatial：7×7深度可分离卷积+GELU激活（空域分支，捕获大感受野空间上下文）</w:t>
        <w:br/>
        <w:t>• f_freq：AdaptiveFreqSelect模块（频域分支，FFT→低/中/高三子带分离→独立1×1 Conv→softmax加权融合）</w:t>
        <w:br/>
        <w:t>• ⊙：Star Operation（逐元素乘法，实现空频双域的高维特征交互）</w:t>
        <w:br/>
        <w:t>• SE：SE-style通道注意力（全局平均池化→降维→升维→Sigmoid门控）</w:t>
        <w:br/>
        <w:br/>
        <w:t>SFStar_TransformerBlock的集成方式：</w:t>
        <w:br/>
        <w:t>x = x + Attn(Norm(x))</w:t>
        <w:br/>
        <w:t>x = x + FFN(Norm(x)) + RFM(x) + SFStar(x)</w:t>
        <w:br/>
        <w:br/>
        <w:t>参数量：SFStar模块引入约+2.4M额外参数（总模型28.8M），主要来源于频域三子带的3个1×1卷积、7×7 DWConv和SE注意力机制。</w:t>
        <w:br/>
        <w:br/>
        <w:t>训练配置：2卡RTX 3090 DDP，lr=2e-4→1e-6（CosineAnnealing，warmup 3 epoch），总500 epoch，从头训练。目前已启动训练（实验名：SFStar_2GPU_lr2e4），预计约4天完成。</w:t>
      </w:r>
    </w:p>
    <w:p>
      <w:pPr>
        <w:spacing w:line="360" w:lineRule="auto" w:before="0" w:after="0"/>
        <w:ind w:firstLine="480"/>
        <w:jc w:val="both"/>
      </w:pPr>
      <w:r>
        <w:t>1.7 工程实践与基础设施建设</w:t>
      </w:r>
    </w:p>
    <w:p>
      <w:pPr>
        <w:spacing w:line="360" w:lineRule="auto" w:before="0" w:after="0"/>
        <w:ind w:firstLine="480"/>
        <w:jc w:val="both"/>
      </w:pPr>
      <w:r>
        <w:t>在算法研究的同时，本课题还完成了以下工程基础设施的搭建：</w:t>
        <w:br/>
        <w:t>（1）分布式训练环境。 搭建了4×NVIDIA GeForce RTX 3090 GPU（各24GB显存）的DDP分布式训练环境，支持2卡和4卡两种配置。训练采用Adam优化器（β₁=0.9, β₂=0.999），初始学习率2×10⁻⁴，CosineAnnealing学习率调度（含3 epoch线性warmup），训练周期500 epoch，批处理大小每卡1（总批大小2或4）。4卡训练相比2卡在梯度稳定性方面具有明显优势，实测4卡训练Best PSNR高于2卡约0.01 dB。</w:t>
        <w:br/>
        <w:t>（2）训练监控与日志管理。 集成SwanLab在线训练监控系统（https://swanlab.cn），实现训练过程中epoch loss（含Charbonnier/FFT/Edge/L1/HAFL各项）、验证PSNR、学习率、训练时间等关键参数的实时云端可视化追踪，同时采用TensorBoard进行本地日志记录。</w:t>
        <w:br/>
        <w:t>（3）一体化测评脚本。 开发了集推理与评估于一体的测评脚本（test_and_evaluate.py），支持模型推理、RGB→YCbCr转换、Y通道PSNR/SSIM评估的端到端流程，评估流程与Matlab参考实现严格对齐（采用skimage的img_as_ubyte转换+utils.PSNR计算）。</w:t>
        <w:br/>
        <w:t>（4）多阶段续训体系。 建立了系统的学习率递减续训流程（lr: 1e-4→7e-5→4e-5→5e-5→2e-5→1e-5），通过从best checkpoint恢复权重、重新初始化optimizer的方式实现平稳续训，累计将PSNR从41.83 dB提升至41.93 dB（+0.10 dB的续训增益）。</w:t>
      </w:r>
    </w:p>
    <w:p>
      <w:pPr>
        <w:spacing w:line="360" w:lineRule="auto" w:before="0" w:after="0"/>
        <w:ind w:firstLine="480"/>
        <w:jc w:val="both"/>
      </w:pPr>
      <w:r/>
    </w:p>
    <w:p>
      <w:pPr>
        <w:spacing w:line="360" w:lineRule="auto" w:before="120" w:after="60"/>
        <w:jc w:val="left"/>
      </w:pPr>
      <w:r>
        <w:rPr>
          <w:rFonts w:ascii="Times New Roman" w:hAnsi="Times New Roman" w:eastAsia="黑体"/>
          <w:b/>
          <w:sz w:val="28"/>
        </w:rPr>
        <w:t>2. 课题二进展：基于状态空间模型的图像超分辨率</w:t>
      </w:r>
    </w:p>
    <w:p>
      <w:pPr>
        <w:spacing w:line="360" w:lineRule="auto" w:before="60" w:after="60"/>
        <w:jc w:val="left"/>
      </w:pPr>
      <w:r>
        <w:rPr>
          <w:rFonts w:ascii="Times New Roman" w:hAnsi="Times New Roman" w:eastAsia="黑体"/>
          <w:b/>
          <w:sz w:val="24"/>
        </w:rPr>
        <w:t>2.1 文献调研</w:t>
      </w:r>
    </w:p>
    <w:p>
      <w:pPr>
        <w:spacing w:line="360" w:lineRule="auto" w:before="0" w:after="0"/>
        <w:ind w:firstLine="480"/>
        <w:jc w:val="both"/>
      </w:pPr>
      <w:r>
        <w:rPr>
          <w:rFonts w:ascii="Times New Roman" w:hAnsi="Times New Roman" w:eastAsia="宋体"/>
          <w:b w:val="0"/>
          <w:sz w:val="24"/>
        </w:rPr>
        <w:t>在课题二的研究中，对图像超分辨率领域进行了系统的文献调研，累计阅读了28篇相关论文。调研内容涵盖以下几个方向：（1）基于CNN的经典超分辨率方法（SRCNN、EDSR、RCAN等）；（2）基于Transformer的先进方法（SwinIR、HAT等），利用自注意力机制实现全局信息建模；（3）基于频域的图像恢复方法（FADformer等），探索频域信息在超分辨率中的作用；（4）基于状态空间模型的最新方法（MambaIR、MambaIRv2等），研究SSM在图像恢复中的应用潜力和局限性。</w:t>
      </w:r>
    </w:p>
    <w:p>
      <w:pPr>
        <w:spacing w:line="360" w:lineRule="auto" w:before="0" w:after="0"/>
        <w:ind w:firstLine="480"/>
        <w:jc w:val="both"/>
      </w:pPr>
      <w:r>
        <w:rPr>
          <w:rFonts w:ascii="Times New Roman" w:hAnsi="Times New Roman" w:eastAsia="宋体"/>
          <w:b w:val="0"/>
          <w:sz w:val="24"/>
        </w:rPr>
        <w:t>通过对上述文献的深入分析，确定了以MambaIRv2（CVPR 2025）作为课题二的基线模型。MambaIRv2采用非因果全局状态空间模型，在保持线性计算复杂度的同时实现了全局范围的序列建模，在图像超分辨率任务上展现了优异的性能。</w:t>
      </w:r>
    </w:p>
    <w:p>
      <w:pPr>
        <w:spacing w:line="360" w:lineRule="auto" w:before="60" w:after="60"/>
        <w:jc w:val="left"/>
      </w:pPr>
      <w:r>
        <w:rPr>
          <w:rFonts w:ascii="Times New Roman" w:hAnsi="Times New Roman" w:eastAsia="黑体"/>
          <w:b/>
          <w:sz w:val="24"/>
        </w:rPr>
        <w:t>2.2 基线选定与代码框架搭建</w:t>
      </w:r>
    </w:p>
    <w:p>
      <w:pPr>
        <w:spacing w:line="360" w:lineRule="auto" w:before="0" w:after="0"/>
        <w:ind w:firstLine="480"/>
        <w:jc w:val="both"/>
      </w:pPr>
      <w:r>
        <w:rPr>
          <w:rFonts w:ascii="Times New Roman" w:hAnsi="Times New Roman" w:eastAsia="宋体"/>
          <w:b w:val="0"/>
          <w:sz w:val="24"/>
        </w:rPr>
        <w:t>在确定基线模型后，完成了以下基础工作：（1）搭建了基于BasicSR的训练框架，配置了多任务训练环境，支持不同超分辨率任务的统一训练与评估流程；（2）配置了多数据集实验环境，包括DIV2K、Flickr2K等训练数据集和Set5、Set14、B100、Urban100、Manga109等标准测试数据集；（3）复现了MambaIRv2基线模型的性能，验证了训练环境的正确性和实验流程的可靠性。</w:t>
      </w:r>
    </w:p>
    <w:p>
      <w:pPr>
        <w:spacing w:line="360" w:lineRule="auto" w:before="60" w:after="60"/>
        <w:jc w:val="left"/>
      </w:pPr>
      <w:r>
        <w:rPr>
          <w:rFonts w:ascii="Times New Roman" w:hAnsi="Times New Roman" w:eastAsia="黑体"/>
          <w:b/>
          <w:sz w:val="24"/>
        </w:rPr>
        <w:t>2.3 创新方案设计（已完成详细规划）</w:t>
      </w:r>
    </w:p>
    <w:p>
      <w:pPr>
        <w:spacing w:line="360" w:lineRule="auto" w:before="0" w:after="0"/>
        <w:ind w:firstLine="480"/>
        <w:jc w:val="both"/>
      </w:pPr>
      <w:r>
        <w:rPr>
          <w:rFonts w:ascii="Times New Roman" w:hAnsi="Times New Roman" w:eastAsia="宋体"/>
          <w:b/>
          <w:sz w:val="24"/>
        </w:rPr>
        <w:t>创新方向1——MFAMambaIR（多尺度频域感知）。</w:t>
      </w:r>
      <w:r>
        <w:rPr>
          <w:rFonts w:ascii="Times New Roman" w:hAnsi="Times New Roman" w:eastAsia="宋体"/>
          <w:b w:val="0"/>
          <w:sz w:val="24"/>
        </w:rPr>
        <w:t xml:space="preserve"> 该方案的核心思想是在SSM架构中引入多尺度频域感知分支。具体而言，利用离散小波变换（DWT）将输入特征分解为不同频率子带，同时通过快速傅里叶变换（FFT）捕获全局频域信息，设计频域-空域融合门控（Frequency-Spatial Fusion Gate）自适应地整合双域特征。该方案预期可带来+0.15~0.25 dB的PSNR提升。目前，MFAMambaIR的初步代码实现已基本完成，正在进行模块调试。</w:t>
      </w:r>
    </w:p>
    <w:p>
      <w:pPr>
        <w:spacing w:line="360" w:lineRule="auto" w:before="0" w:after="0"/>
        <w:ind w:firstLine="480"/>
        <w:jc w:val="both"/>
      </w:pPr>
      <w:r>
        <w:rPr>
          <w:rFonts w:ascii="Times New Roman" w:hAnsi="Times New Roman" w:eastAsia="宋体"/>
          <w:b/>
          <w:sz w:val="24"/>
        </w:rPr>
        <w:t>创新方向2——DRMambaIR（退化感知动态路由）。</w:t>
      </w:r>
      <w:r>
        <w:rPr>
          <w:rFonts w:ascii="Times New Roman" w:hAnsi="Times New Roman" w:eastAsia="宋体"/>
          <w:b w:val="0"/>
          <w:sz w:val="24"/>
        </w:rPr>
        <w:t xml:space="preserve"> 该方案设计退化感知的自适应深度调节机制，通过轻量级的退化评估模块判断输入图像的退化类型和程度，据此动态选择网络的处理深度。对于轻度退化图像，网络可通过早退（Early Exit）机制在较浅层直接输出结果，减少不必要的计算；对于重度退化图像，则充分利用全部网络层进行精细恢复。该方案预期在保持恢复质量的前提下可减少30%~40%的计算量。</w:t>
      </w:r>
    </w:p>
    <w:p>
      <w:pPr>
        <w:spacing w:line="360" w:lineRule="auto" w:before="0" w:after="0"/>
        <w:ind w:firstLine="480"/>
        <w:jc w:val="both"/>
      </w:pPr>
      <w:r>
        <w:rPr>
          <w:rFonts w:ascii="Times New Roman" w:hAnsi="Times New Roman" w:eastAsia="宋体"/>
          <w:b/>
          <w:sz w:val="24"/>
        </w:rPr>
        <w:t>创新方向3——LGMambaIR（局部-全局协同注意力增强）。</w:t>
      </w:r>
      <w:r>
        <w:rPr>
          <w:rFonts w:ascii="Times New Roman" w:hAnsi="Times New Roman" w:eastAsia="宋体"/>
          <w:b w:val="0"/>
          <w:sz w:val="24"/>
        </w:rPr>
        <w:t xml:space="preserve"> 该方案针对SSM全局扫描对局部精细结构建模相对薄弱的问题，在SSM全局序列建模的基础上引入窗口级局部注意力（Window-based Local Attention）机制，设计交叉门控融合（Cross-Gated Fusion）策略，实现局部精细特征与全局上下文信息的高效协同。该方案预期可带来+0.10~0.20 dB的PSNR提升。</w:t>
      </w:r>
    </w:p>
    <w:p>
      <w:pPr>
        <w:spacing w:line="360" w:lineRule="auto" w:before="240" w:after="120"/>
        <w:jc w:val="left"/>
      </w:pPr>
      <w:r>
        <w:rPr>
          <w:rFonts w:ascii="Times New Roman" w:hAnsi="Times New Roman" w:eastAsia="黑体"/>
          <w:b/>
          <w:sz w:val="30"/>
        </w:rPr>
        <w:t>三、下一步的工作计划</w:t>
      </w:r>
    </w:p>
    <w:p>
      <w:pPr>
        <w:spacing w:line="360" w:lineRule="auto" w:before="0" w:after="0"/>
        <w:ind w:firstLine="480"/>
        <w:jc w:val="both"/>
      </w:pPr>
      <w:r>
        <w:rPr>
          <w:rFonts w:ascii="Times New Roman" w:hAnsi="Times New Roman" w:eastAsia="宋体"/>
          <w:b w:val="0"/>
          <w:sz w:val="24"/>
        </w:rPr>
        <w:t>基于当前的研究进展，下一阶段的工作计划按照课题一和课题二分别安排如下：</w:t>
      </w:r>
    </w:p>
    <w:p>
      <w:pPr>
        <w:spacing w:line="360" w:lineRule="auto" w:before="0" w:after="0"/>
        <w:ind w:firstLine="480"/>
        <w:jc w:val="both"/>
      </w:pPr>
      <w:r>
        <w:t>课题一（图像去雨）方面， 首要任务是完成SFStar模块的训练验证（exp4，预计约4天），确认创新点2的优化效果，验证SFStar的独立贡献是否能达到+0.1 dB以上，总PSNR是否能突破42.0 dB。在此基础上，将验证范围从Rain200L数据集扩展至Rain200H（重度降雨场景）、SPA-Data（真实降雨数据）、DID-Data和DDN-Data等多个基准数据集，全面评估所提方法在不同降雨条件和不同数据分布下的泛化能力。随后，将与Restormer、DRSformer、DeRainMamba等当前最优方法进行全面的性能对比实验，并进行详细的可视化分析（包括去雨结果对比图、频域响应对比、特征图可视化等），为论文撰写提供充分的实验支撑。论文撰写工作预计于9月启动，目标投稿至CVPR/ECCV/AAAI等顶级学术会议。</w:t>
      </w:r>
    </w:p>
    <w:p>
      <w:pPr>
        <w:spacing w:line="360" w:lineRule="auto" w:before="0" w:after="0"/>
        <w:ind w:firstLine="480"/>
        <w:jc w:val="both"/>
      </w:pPr>
      <w:r>
        <w:rPr>
          <w:rFonts w:ascii="Times New Roman" w:hAnsi="Times New Roman" w:eastAsia="宋体"/>
          <w:b/>
          <w:sz w:val="24"/>
        </w:rPr>
        <w:t>课题二（图像超分辨率）方面，</w:t>
      </w:r>
      <w:r>
        <w:rPr>
          <w:rFonts w:ascii="Times New Roman" w:hAnsi="Times New Roman" w:eastAsia="宋体"/>
          <w:b w:val="0"/>
          <w:sz w:val="24"/>
        </w:rPr>
        <w:t xml:space="preserve"> 将按照规划依次推进三个创新方向的实现与验证。7月份重点完成MFAMambaIR的代码实现与基础实验验证，并通过消融实验优化频域分支结构和融合门控机制的设计。8月份推进DRMambaIR的实现，重点攻克退化评估模块和动态路由策略的设计与实现。9月份完成LGMambaIR的实现与验证，探索局部注意力与全局SSM的最优融合方式。10月份启动论文撰写工作，11至12月进行投稿与修改。</w:t>
      </w:r>
    </w:p>
    <w:p>
      <w:pPr>
        <w:spacing w:line="360" w:lineRule="auto" w:before="0" w:after="0"/>
        <w:ind w:firstLine="480"/>
        <w:jc w:val="both"/>
      </w:pPr>
      <w:r>
        <w:rPr>
          <w:rFonts w:ascii="Times New Roman" w:hAnsi="Times New Roman" w:eastAsia="宋体"/>
          <w:b w:val="0"/>
          <w:sz w:val="24"/>
        </w:rPr>
        <w:t>具体时间安排如表2所示。</w:t>
      </w:r>
    </w:p>
    <w:p>
      <w:pPr>
        <w:spacing w:line="360" w:lineRule="auto" w:before="0" w:after="0"/>
        <w:ind w:firstLine="480"/>
        <w:jc w:val="both"/>
      </w:pPr>
      <w:r>
        <w:rPr>
          <w:rFonts w:ascii="Times New Roman" w:hAnsi="Times New Roman" w:eastAsia="宋体"/>
          <w:b/>
          <w:sz w:val="24"/>
        </w:rPr>
        <w:t>表2 下一阶段工作计划时间表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pPr>
              <w:spacing w:line="288" w:lineRule="auto" w:before="20" w:after="20"/>
              <w:jc w:val="center"/>
            </w:pPr>
            <w:r/>
            <w:r>
              <w:rPr>
                <w:rFonts w:ascii="Times New Roman" w:hAnsi="Times New Roman" w:eastAsia="宋体"/>
                <w:b/>
                <w:sz w:val="20"/>
              </w:rPr>
              <w:t>时间</w:t>
            </w:r>
          </w:p>
        </w:tc>
        <w:tc>
          <w:tcPr>
            <w:tcW w:type="dxa" w:w="2771"/>
          </w:tcPr>
          <w:p>
            <w:pPr>
              <w:spacing w:line="288" w:lineRule="auto" w:before="20" w:after="20"/>
              <w:jc w:val="center"/>
            </w:pPr>
            <w:r/>
            <w:r>
              <w:rPr>
                <w:rFonts w:ascii="Times New Roman" w:hAnsi="Times New Roman" w:eastAsia="宋体"/>
                <w:b/>
                <w:sz w:val="20"/>
              </w:rPr>
              <w:t>课题一（图像去雨）</w:t>
            </w:r>
          </w:p>
        </w:tc>
        <w:tc>
          <w:tcPr>
            <w:tcW w:type="dxa" w:w="2771"/>
          </w:tcPr>
          <w:p>
            <w:pPr>
              <w:spacing w:line="288" w:lineRule="auto" w:before="20" w:after="20"/>
              <w:jc w:val="center"/>
            </w:pPr>
            <w:r/>
            <w:r>
              <w:rPr>
                <w:rFonts w:ascii="Times New Roman" w:hAnsi="Times New Roman" w:eastAsia="宋体"/>
                <w:b/>
                <w:sz w:val="20"/>
              </w:rPr>
              <w:t>课题二（图像超分辨率）</w:t>
            </w:r>
          </w:p>
        </w:tc>
      </w:tr>
      <w:tr>
        <w:tc>
          <w:tcPr>
            <w:tcW w:type="dxa" w:w="2771"/>
          </w:tcPr>
          <w:p>
            <w:r>
              <w:t>2026年7月上旬</w:t>
            </w:r>
          </w:p>
        </w:tc>
        <w:tc>
          <w:tcPr>
            <w:tcW w:type="dxa" w:w="2771"/>
          </w:tcPr>
          <w:p>
            <w:r>
              <w:t>完成exp4（SFStar）训练，确认创新点2优化效果</w:t>
            </w:r>
          </w:p>
        </w:tc>
        <w:tc>
          <w:tcPr>
            <w:tcW w:type="dxa" w:w="2771"/>
          </w:tcPr>
          <w:p>
            <w:r>
              <w:t>完成MFAMambaIR实现与基础实验</w:t>
            </w:r>
          </w:p>
        </w:tc>
      </w:tr>
      <w:tr>
        <w:tc>
          <w:tcPr>
            <w:tcW w:type="dxa" w:w="2771"/>
          </w:tcPr>
          <w:p>
            <w:pPr>
              <w:spacing w:line="288" w:lineRule="auto" w:before="20" w:after="20"/>
              <w:jc w:val="center"/>
            </w:pPr>
            <w:r/>
            <w:r>
              <w:rPr>
                <w:rFonts w:ascii="Times New Roman" w:hAnsi="Times New Roman" w:eastAsia="宋体"/>
                <w:b w:val="0"/>
                <w:sz w:val="19"/>
              </w:rPr>
              <w:t>2026年7月中-下旬</w:t>
            </w:r>
          </w:p>
        </w:tc>
        <w:tc>
          <w:tcPr>
            <w:tcW w:type="dxa" w:w="2771"/>
          </w:tcPr>
          <w:p>
            <w:pPr>
              <w:spacing w:line="288" w:lineRule="auto" w:before="20" w:after="20"/>
              <w:jc w:val="left"/>
            </w:pPr>
            <w:r/>
            <w:r>
              <w:rPr>
                <w:rFonts w:ascii="Times New Roman" w:hAnsi="Times New Roman" w:eastAsia="宋体"/>
                <w:b w:val="0"/>
                <w:sz w:val="19"/>
              </w:rPr>
              <w:t>Rain200H、SPA-Data等多数据集验证</w:t>
            </w:r>
          </w:p>
        </w:tc>
        <w:tc>
          <w:tcPr>
            <w:tcW w:type="dxa" w:w="2771"/>
          </w:tcPr>
          <w:p>
            <w:pPr>
              <w:spacing w:line="288" w:lineRule="auto" w:before="20" w:after="20"/>
              <w:jc w:val="left"/>
            </w:pPr>
            <w:r/>
            <w:r>
              <w:rPr>
                <w:rFonts w:ascii="Times New Roman" w:hAnsi="Times New Roman" w:eastAsia="宋体"/>
                <w:b w:val="0"/>
                <w:sz w:val="19"/>
              </w:rPr>
              <w:t>MFAMambaIR消融实验与调优</w:t>
            </w:r>
          </w:p>
        </w:tc>
      </w:tr>
      <w:tr>
        <w:tc>
          <w:tcPr>
            <w:tcW w:type="dxa" w:w="2771"/>
          </w:tcPr>
          <w:p>
            <w:pPr>
              <w:spacing w:line="288" w:lineRule="auto" w:before="20" w:after="20"/>
              <w:jc w:val="center"/>
            </w:pPr>
            <w:r/>
            <w:r>
              <w:rPr>
                <w:rFonts w:ascii="Times New Roman" w:hAnsi="Times New Roman" w:eastAsia="宋体"/>
                <w:b w:val="0"/>
                <w:sz w:val="19"/>
              </w:rPr>
              <w:t>2026年8月</w:t>
            </w:r>
          </w:p>
        </w:tc>
        <w:tc>
          <w:tcPr>
            <w:tcW w:type="dxa" w:w="2771"/>
          </w:tcPr>
          <w:p>
            <w:pPr>
              <w:spacing w:line="288" w:lineRule="auto" w:before="20" w:after="20"/>
              <w:jc w:val="left"/>
            </w:pPr>
            <w:r/>
            <w:r>
              <w:rPr>
                <w:rFonts w:ascii="Times New Roman" w:hAnsi="Times New Roman" w:eastAsia="宋体"/>
                <w:b w:val="0"/>
                <w:sz w:val="19"/>
              </w:rPr>
              <w:t>与SOTA方法全面对比，可视化分析</w:t>
            </w:r>
          </w:p>
        </w:tc>
        <w:tc>
          <w:tcPr>
            <w:tcW w:type="dxa" w:w="2771"/>
          </w:tcPr>
          <w:p>
            <w:pPr>
              <w:spacing w:line="288" w:lineRule="auto" w:before="20" w:after="20"/>
              <w:jc w:val="left"/>
            </w:pPr>
            <w:r/>
            <w:r>
              <w:rPr>
                <w:rFonts w:ascii="Times New Roman" w:hAnsi="Times New Roman" w:eastAsia="宋体"/>
                <w:b w:val="0"/>
                <w:sz w:val="19"/>
              </w:rPr>
              <w:t>DRMambaIR实现与验证</w:t>
            </w:r>
          </w:p>
        </w:tc>
      </w:tr>
      <w:tr>
        <w:tc>
          <w:tcPr>
            <w:tcW w:type="dxa" w:w="2771"/>
          </w:tcPr>
          <w:p>
            <w:pPr>
              <w:spacing w:line="288" w:lineRule="auto" w:before="20" w:after="20"/>
              <w:jc w:val="center"/>
            </w:pPr>
            <w:r/>
            <w:r>
              <w:rPr>
                <w:rFonts w:ascii="Times New Roman" w:hAnsi="Times New Roman" w:eastAsia="宋体"/>
                <w:b w:val="0"/>
                <w:sz w:val="19"/>
              </w:rPr>
              <w:t>2026年9月</w:t>
            </w:r>
          </w:p>
        </w:tc>
        <w:tc>
          <w:tcPr>
            <w:tcW w:type="dxa" w:w="2771"/>
          </w:tcPr>
          <w:p>
            <w:pPr>
              <w:spacing w:line="288" w:lineRule="auto" w:before="20" w:after="20"/>
              <w:jc w:val="left"/>
            </w:pPr>
            <w:r/>
            <w:r>
              <w:rPr>
                <w:rFonts w:ascii="Times New Roman" w:hAnsi="Times New Roman" w:eastAsia="宋体"/>
                <w:b w:val="0"/>
                <w:sz w:val="19"/>
              </w:rPr>
              <w:t>论文撰写（去雨部分）</w:t>
            </w:r>
          </w:p>
        </w:tc>
        <w:tc>
          <w:tcPr>
            <w:tcW w:type="dxa" w:w="2771"/>
          </w:tcPr>
          <w:p>
            <w:pPr>
              <w:spacing w:line="288" w:lineRule="auto" w:before="20" w:after="20"/>
              <w:jc w:val="left"/>
            </w:pPr>
            <w:r/>
            <w:r>
              <w:rPr>
                <w:rFonts w:ascii="Times New Roman" w:hAnsi="Times New Roman" w:eastAsia="宋体"/>
                <w:b w:val="0"/>
                <w:sz w:val="19"/>
              </w:rPr>
              <w:t>LGMambaIR实现与验证</w:t>
            </w:r>
          </w:p>
        </w:tc>
      </w:tr>
      <w:tr>
        <w:tc>
          <w:tcPr>
            <w:tcW w:type="dxa" w:w="2771"/>
          </w:tcPr>
          <w:p>
            <w:pPr>
              <w:spacing w:line="288" w:lineRule="auto" w:before="20" w:after="20"/>
              <w:jc w:val="center"/>
            </w:pPr>
            <w:r/>
            <w:r>
              <w:rPr>
                <w:rFonts w:ascii="Times New Roman" w:hAnsi="Times New Roman" w:eastAsia="宋体"/>
                <w:b w:val="0"/>
                <w:sz w:val="19"/>
              </w:rPr>
              <w:t>2026年10月</w:t>
            </w:r>
          </w:p>
        </w:tc>
        <w:tc>
          <w:tcPr>
            <w:tcW w:type="dxa" w:w="2771"/>
          </w:tcPr>
          <w:p>
            <w:pPr>
              <w:spacing w:line="288" w:lineRule="auto" w:before="20" w:after="20"/>
              <w:jc w:val="left"/>
            </w:pPr>
            <w:r/>
            <w:r>
              <w:rPr>
                <w:rFonts w:ascii="Times New Roman" w:hAnsi="Times New Roman" w:eastAsia="宋体"/>
                <w:b w:val="0"/>
                <w:sz w:val="19"/>
              </w:rPr>
              <w:t>投稿（目标：CVPR/ECCV/AAAI）</w:t>
            </w:r>
          </w:p>
        </w:tc>
        <w:tc>
          <w:tcPr>
            <w:tcW w:type="dxa" w:w="2771"/>
          </w:tcPr>
          <w:p>
            <w:pPr>
              <w:spacing w:line="288" w:lineRule="auto" w:before="20" w:after="20"/>
              <w:jc w:val="left"/>
            </w:pPr>
            <w:r/>
            <w:r>
              <w:rPr>
                <w:rFonts w:ascii="Times New Roman" w:hAnsi="Times New Roman" w:eastAsia="宋体"/>
                <w:b w:val="0"/>
                <w:sz w:val="19"/>
              </w:rPr>
              <w:t>论文撰写（超分部分）</w:t>
            </w:r>
          </w:p>
        </w:tc>
      </w:tr>
      <w:tr>
        <w:tc>
          <w:tcPr>
            <w:tcW w:type="dxa" w:w="2771"/>
          </w:tcPr>
          <w:p>
            <w:pPr>
              <w:spacing w:line="288" w:lineRule="auto" w:before="20" w:after="20"/>
              <w:jc w:val="center"/>
            </w:pPr>
            <w:r/>
            <w:r>
              <w:rPr>
                <w:rFonts w:ascii="Times New Roman" w:hAnsi="Times New Roman" w:eastAsia="宋体"/>
                <w:b w:val="0"/>
                <w:sz w:val="19"/>
              </w:rPr>
              <w:t>2026年11-12月</w:t>
            </w:r>
          </w:p>
        </w:tc>
        <w:tc>
          <w:tcPr>
            <w:tcW w:type="dxa" w:w="2771"/>
          </w:tcPr>
          <w:p>
            <w:pPr>
              <w:spacing w:line="288" w:lineRule="auto" w:before="20" w:after="20"/>
              <w:jc w:val="left"/>
            </w:pPr>
            <w:r/>
            <w:r>
              <w:rPr>
                <w:rFonts w:ascii="Times New Roman" w:hAnsi="Times New Roman" w:eastAsia="宋体"/>
                <w:b w:val="0"/>
                <w:sz w:val="19"/>
              </w:rPr>
              <w:t>论文修改与完善</w:t>
            </w:r>
          </w:p>
        </w:tc>
        <w:tc>
          <w:tcPr>
            <w:tcW w:type="dxa" w:w="2771"/>
          </w:tcPr>
          <w:p>
            <w:pPr>
              <w:spacing w:line="288" w:lineRule="auto" w:before="20" w:after="20"/>
              <w:jc w:val="left"/>
            </w:pPr>
            <w:r/>
            <w:r>
              <w:rPr>
                <w:rFonts w:ascii="Times New Roman" w:hAnsi="Times New Roman" w:eastAsia="宋体"/>
                <w:b w:val="0"/>
                <w:sz w:val="19"/>
              </w:rPr>
              <w:t>投稿与修改</w:t>
            </w:r>
          </w:p>
        </w:tc>
      </w:tr>
    </w:tbl>
    <w:p>
      <w:pPr>
        <w:spacing w:line="360" w:lineRule="auto" w:before="0" w:after="0"/>
        <w:ind w:firstLine="480"/>
        <w:jc w:val="both"/>
      </w:pPr>
    </w:p>
    <w:p>
      <w:pPr>
        <w:spacing w:line="360" w:lineRule="auto" w:before="240" w:after="120"/>
        <w:jc w:val="left"/>
      </w:pPr>
      <w:r>
        <w:rPr>
          <w:rFonts w:ascii="Times New Roman" w:hAnsi="Times New Roman" w:eastAsia="黑体"/>
          <w:b/>
          <w:sz w:val="30"/>
        </w:rPr>
        <w:t>四、指导教师评语</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jc w:val="left"/>
      </w:pPr>
      <w:r>
        <w:rPr>
          <w:rFonts w:ascii="Times New Roman" w:hAnsi="Times New Roman" w:eastAsia="宋体"/>
          <w:b w:val="0"/>
          <w:sz w:val="28"/>
        </w:rPr>
        <w:t>签名：                     日期：      年     月     日</w:t>
      </w:r>
    </w:p>
    <w:p>
      <w:pPr>
        <w:spacing w:line="360" w:lineRule="auto" w:before="240" w:after="120"/>
        <w:jc w:val="left"/>
      </w:pPr>
      <w:r>
        <w:rPr>
          <w:rFonts w:ascii="Times New Roman" w:hAnsi="Times New Roman" w:eastAsia="黑体"/>
          <w:b/>
          <w:sz w:val="30"/>
        </w:rPr>
        <w:t>五、中期考核结果</w:t>
      </w:r>
    </w:p>
    <w:p>
      <w:pPr>
        <w:spacing w:line="360" w:lineRule="auto" w:before="0" w:after="0"/>
        <w:jc w:val="both"/>
      </w:pPr>
      <w:r>
        <w:rPr>
          <w:rFonts w:ascii="Times New Roman" w:hAnsi="Times New Roman" w:eastAsia="宋体"/>
          <w:b w:val="0"/>
          <w:sz w:val="24"/>
        </w:rPr>
        <w:t>考核结果：   优秀（  ）;     合格（  ）;   不合格（  ）</w:t>
      </w:r>
    </w:p>
    <w:p>
      <w:pPr>
        <w:spacing w:line="360" w:lineRule="auto" w:before="0" w:after="0"/>
        <w:jc w:val="both"/>
      </w:pPr>
      <w:r>
        <w:rPr>
          <w:rFonts w:ascii="Times New Roman" w:hAnsi="Times New Roman" w:eastAsia="宋体"/>
          <w:b w:val="0"/>
          <w:sz w:val="24"/>
        </w:rPr>
        <w:t>评语：</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r>
        <w:rPr>
          <w:rFonts w:ascii="Times New Roman" w:hAnsi="Times New Roman" w:eastAsia="宋体"/>
          <w:b w:val="0"/>
          <w:sz w:val="24"/>
        </w:rPr>
        <w:t>修改意见：</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r>
        <w:rPr>
          <w:rFonts w:ascii="Times New Roman" w:hAnsi="Times New Roman" w:eastAsia="宋体"/>
          <w:b w:val="0"/>
          <w:sz w:val="24"/>
        </w:rPr>
        <w:t>中期考核专家小组签名：</w:t>
      </w:r>
    </w:p>
    <w:p>
      <w:pPr>
        <w:spacing w:line="360" w:lineRule="auto" w:before="0" w:after="0"/>
        <w:jc w:val="both"/>
      </w:pPr>
      <w:r>
        <w:rPr>
          <w:rFonts w:ascii="Times New Roman" w:hAnsi="Times New Roman" w:eastAsia="宋体"/>
          <w:b w:val="0"/>
          <w:sz w:val="24"/>
        </w:rPr>
        <w:t>组长</w:t>
      </w:r>
    </w:p>
    <w:p>
      <w:pPr>
        <w:spacing w:line="360" w:lineRule="auto" w:before="0" w:after="0"/>
        <w:jc w:val="both"/>
      </w:pPr>
      <w:r>
        <w:rPr>
          <w:rFonts w:ascii="Times New Roman" w:hAnsi="Times New Roman" w:eastAsia="宋体"/>
          <w:b w:val="0"/>
          <w:sz w:val="24"/>
        </w:rPr>
        <w:t>成员</w:t>
      </w:r>
    </w:p>
    <w:p>
      <w:pPr>
        <w:spacing w:line="360" w:lineRule="auto" w:before="0" w:after="0"/>
        <w:jc w:val="both"/>
      </w:pPr>
      <w:r>
        <w:rPr>
          <w:rFonts w:ascii="Times New Roman" w:hAnsi="Times New Roman" w:eastAsia="宋体"/>
          <w:b w:val="0"/>
          <w:sz w:val="24"/>
        </w:rPr>
        <w:t>时间：        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