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Solid Desert — Staff User Guide</w:t>
      </w:r>
    </w:p>
    <w:p>
      <w:pPr>
        <w:spacing w:after="200"/>
        <w:jc w:val="center"/>
      </w:pPr>
      <w:r>
        <w:rPr>
          <w:i/>
          <w:iCs/>
          <w:color w:val="666666"/>
        </w:rPr>
        <w:t xml:space="preserve">A complete guide to using the loan management and HR system. Covers every module in the left-hand navigation menu.</w:t>
      </w:r>
    </w:p>
    <w:p>
      <w:pPr>
        <w:pBdr>
          <w:bottom w:val="single" w:color="AAAAAA" w:sz="6"/>
        </w:pBdr>
        <w:spacing w:after="200"/>
      </w:pPr>
    </w:p>
    <w:p>
      <w:pPr>
        <w:pStyle w:val="Heading1"/>
        <w:spacing w:after="150" w:before="300"/>
      </w:pPr>
      <w:r>
        <w:t xml:space="preserve">How this guide is organized</w:t>
      </w:r>
    </w:p>
    <w:p>
      <w:pPr>
        <w:spacing w:after="150"/>
      </w:pPr>
      <w:r>
        <w:t xml:space="preserve">The system's menu is grouped into sections (Borrowers, Loans, Collections, Accounting, HR, Recruitment, Settings, and so on). This guide follows the same grouping and order as the menu, so you can jump straight to the section you need. Screens you use every day (Borrowers, Loans, Payments, Debit Orders) are covered step-by-step. Screens used less often, or only by admins (deep HR configuration, Recruitment, Training, Accounting setup) are covered at overview level — enough to know what the screen is for and how to get to it, with the day-to-day fields you'll actually fill in.</w:t>
      </w:r>
    </w:p>
    <w:p>
      <w:pPr>
        <w:spacing w:after="150"/>
      </w:pPr>
      <w:r>
        <w:t xml:space="preserve">Anything you see in the menu depends on your </w:t>
      </w:r>
      <w:r>
        <w:rPr>
          <w:b/>
          <w:bCs/>
        </w:rPr>
        <w:t xml:space="preserve">role and permissions</w:t>
      </w:r>
      <w:r>
        <w:t xml:space="preserve">. If a section mentioned here isn't visible to you, you don't have access to it — ask an administrator if you believe you need it.</w:t>
      </w:r>
    </w:p>
    <w:p>
      <w:pPr>
        <w:pBdr>
          <w:bottom w:val="single" w:color="AAAAAA" w:sz="6"/>
        </w:pBdr>
        <w:spacing w:after="200"/>
      </w:pPr>
    </w:p>
    <w:p>
      <w:pPr>
        <w:pStyle w:val="Heading1"/>
        <w:spacing w:after="150" w:before="300"/>
      </w:pPr>
      <w:r>
        <w:t xml:space="preserve">1. Logging In and the Dashboard</w:t>
      </w:r>
    </w:p>
    <w:p>
      <w:pPr>
        <w:spacing w:after="150"/>
      </w:pPr>
      <w:r>
        <w:t xml:space="preserve">Log in with the username/email and password given to you by an administrator. After login you land on the </w:t>
      </w:r>
      <w:r>
        <w:rPr>
          <w:b/>
          <w:bCs/>
        </w:rPr>
        <w:t xml:space="preserve">Dashboard</w:t>
      </w:r>
      <w:r>
        <w:t xml:space="preserve">, which shows key numbers at a glance — active loans, amounts disbursed, arrears, upcoming collections, and similar summary widgets — plus quick links into the modules you use most.</w:t>
      </w:r>
    </w:p>
    <w:p>
      <w:pPr>
        <w:spacing w:after="150"/>
      </w:pPr>
      <w:r>
        <w:t xml:space="preserve">The top bar shows your company/brand name (set under Settings → Company Settings) and your user menu (top right) for logging out or changing your own password.</w:t>
      </w:r>
    </w:p>
    <w:p>
      <w:pPr>
        <w:pBdr>
          <w:bottom w:val="single" w:color="AAAAAA" w:sz="6"/>
        </w:pBdr>
        <w:spacing w:after="200"/>
      </w:pPr>
    </w:p>
    <w:p>
      <w:pPr>
        <w:pStyle w:val="Heading1"/>
        <w:spacing w:after="150" w:before="300"/>
      </w:pPr>
      <w:r>
        <w:t xml:space="preserve">2. Borrowers</w:t>
      </w:r>
    </w:p>
    <w:p>
      <w:pPr>
        <w:pStyle w:val="Heading2"/>
        <w:spacing w:after="100" w:before="200"/>
      </w:pPr>
      <w:r>
        <w:t xml:space="preserve">Borrower List (`Borrowers → Borrower List`)</w:t>
      </w:r>
    </w:p>
    <w:p>
      <w:pPr>
        <w:spacing w:after="150"/>
      </w:pPr>
      <w:r>
        <w:t xml:space="preserve">A searchable, filterable table of every borrower in the system, with borrower number, name, status (Pending, Approved, Rejected, Blacklisted, Inactive), and branch. Click any row to open the borrower's profile.</w:t>
      </w:r>
    </w:p>
    <w:p>
      <w:pPr>
        <w:pStyle w:val="Heading2"/>
        <w:spacing w:after="100" w:before="200"/>
      </w:pPr>
      <w:r>
        <w:t xml:space="preserve">Add Borrower (`Borrowers → Add Borrower`)</w:t>
      </w:r>
    </w:p>
    <w:p>
      <w:pPr>
        <w:spacing w:after="150"/>
      </w:pPr>
      <w:r>
        <w:t xml:space="preserve">A multi-tab form for capturing a new borrower:</w:t>
      </w:r>
    </w:p>
    <w:p>
      <w:pPr>
        <w:pStyle w:val="ListParagraph"/>
        <w:numPr>
          <w:ilvl w:val="0"/>
          <w:numId w:val="1"/>
        </w:numPr>
        <w:spacing w:after="60"/>
      </w:pPr>
      <w:r>
        <w:rPr>
          <w:b/>
          <w:bCs/>
        </w:rPr>
        <w:t xml:space="preserve">Personal</w:t>
      </w:r>
      <w:r>
        <w:t xml:space="preserve"> — name, ID number, date of birth, etc.</w:t>
      </w:r>
    </w:p>
    <w:p>
      <w:pPr>
        <w:pStyle w:val="ListParagraph"/>
        <w:numPr>
          <w:ilvl w:val="0"/>
          <w:numId w:val="1"/>
        </w:numPr>
        <w:spacing w:after="60"/>
      </w:pPr>
      <w:r>
        <w:rPr>
          <w:b/>
          <w:bCs/>
        </w:rPr>
        <w:t xml:space="preserve">Address &amp; Contact</w:t>
      </w:r>
      <w:r>
        <w:t xml:space="preserve"> — phone, email, physical address.</w:t>
      </w:r>
    </w:p>
    <w:p>
      <w:pPr>
        <w:pStyle w:val="ListParagraph"/>
        <w:numPr>
          <w:ilvl w:val="0"/>
          <w:numId w:val="1"/>
        </w:numPr>
        <w:spacing w:after="60"/>
      </w:pPr>
      <w:r>
        <w:rPr>
          <w:b/>
          <w:bCs/>
        </w:rPr>
        <w:t xml:space="preserve">Employment</w:t>
      </w:r>
      <w:r>
        <w:t xml:space="preserve"> — employer name, job title, employment type, gross/net salary, employee number, start date, employer contact details.</w:t>
      </w:r>
    </w:p>
    <w:p>
      <w:pPr>
        <w:pStyle w:val="ListParagraph"/>
        <w:numPr>
          <w:ilvl w:val="0"/>
          <w:numId w:val="1"/>
        </w:numPr>
        <w:spacing w:after="60"/>
      </w:pPr>
      <w:r>
        <w:rPr>
          <w:b/>
          <w:bCs/>
        </w:rPr>
        <w:t xml:space="preserve">Financial</w:t>
      </w:r>
      <w:r>
        <w:t xml:space="preserve"> — income/expense details used for affordability assessment.</w:t>
      </w:r>
    </w:p>
    <w:p>
      <w:pPr>
        <w:pStyle w:val="ListParagraph"/>
        <w:numPr>
          <w:ilvl w:val="0"/>
          <w:numId w:val="1"/>
        </w:numPr>
        <w:spacing w:after="60"/>
      </w:pPr>
      <w:r>
        <w:rPr>
          <w:b/>
          <w:bCs/>
        </w:rPr>
        <w:t xml:space="preserve">Banking</w:t>
      </w:r>
      <w:r>
        <w:t xml:space="preserve"> — bank name, account name/number, account type, branch name/code (used later for debit order registration).</w:t>
      </w:r>
    </w:p>
    <w:p>
      <w:pPr>
        <w:pStyle w:val="ListParagraph"/>
        <w:numPr>
          <w:ilvl w:val="0"/>
          <w:numId w:val="1"/>
        </w:numPr>
        <w:spacing w:after="60"/>
      </w:pPr>
      <w:r>
        <w:rPr>
          <w:b/>
          <w:bCs/>
        </w:rPr>
        <w:t xml:space="preserve">Next of Kin</w:t>
      </w:r>
      <w:r>
        <w:t xml:space="preserve"> — one or more contacts (name, relationship, phone, email).</w:t>
      </w:r>
    </w:p>
    <w:p>
      <w:pPr>
        <w:pStyle w:val="ListParagraph"/>
        <w:numPr>
          <w:ilvl w:val="0"/>
          <w:numId w:val="1"/>
        </w:numPr>
        <w:spacing w:after="60"/>
      </w:pPr>
      <w:r>
        <w:rPr>
          <w:b/>
          <w:bCs/>
        </w:rPr>
        <w:t xml:space="preserve">Documents</w:t>
      </w:r>
      <w:r>
        <w:t xml:space="preserve"> — upload supporting documents (ID copy, payslip, proof of residence, etc.), each tagged with a document type and starting in a "Pending" verification status.</w:t>
      </w:r>
    </w:p>
    <w:p>
      <w:pPr>
        <w:spacing w:after="150"/>
      </w:pPr>
      <w:r>
        <w:t xml:space="preserve">Save at the end of the form to create the borrower record.</w:t>
      </w:r>
    </w:p>
    <w:p>
      <w:pPr>
        <w:pStyle w:val="Heading2"/>
        <w:spacing w:after="100" w:before="200"/>
      </w:pPr>
      <w:r>
        <w:t xml:space="preserve">Borrower Profile (click a borrower from the list)</w:t>
      </w:r>
    </w:p>
    <w:p>
      <w:pPr>
        <w:spacing w:after="150"/>
      </w:pPr>
      <w:r>
        <w:t xml:space="preserve">Shows, in one place:</w:t>
      </w:r>
    </w:p>
    <w:p>
      <w:pPr>
        <w:pStyle w:val="ListParagraph"/>
        <w:numPr>
          <w:ilvl w:val="0"/>
          <w:numId w:val="1"/>
        </w:numPr>
        <w:spacing w:after="60"/>
      </w:pPr>
      <w:r>
        <w:t xml:space="preserve">Core details, status badge, and quick actions: </w:t>
      </w:r>
      <w:r>
        <w:rPr>
          <w:b/>
          <w:bCs/>
        </w:rPr>
        <w:t xml:space="preserve">Edit</w:t>
      </w:r>
      <w:r>
        <w:t xml:space="preserve">, </w:t>
      </w:r>
      <w:r>
        <w:rPr>
          <w:b/>
          <w:bCs/>
        </w:rPr>
        <w:t xml:space="preserve">New Loan</w:t>
      </w:r>
      <w:r>
        <w:t xml:space="preserve">, </w:t>
      </w:r>
      <w:r>
        <w:rPr>
          <w:b/>
          <w:bCs/>
        </w:rPr>
        <w:t xml:space="preserve">Notify Borrower</w:t>
      </w:r>
      <w:r>
        <w:t xml:space="preserve">.</w:t>
      </w:r>
    </w:p>
    <w:p>
      <w:pPr>
        <w:pStyle w:val="ListParagraph"/>
        <w:numPr>
          <w:ilvl w:val="0"/>
          <w:numId w:val="1"/>
        </w:numPr>
        <w:spacing w:after="60"/>
      </w:pPr>
      <w:r>
        <w:rPr>
          <w:b/>
          <w:bCs/>
        </w:rPr>
        <w:t xml:space="preserve">Borrower Portal Access</w:t>
      </w:r>
      <w:r>
        <w:t xml:space="preserve"> — create or reset the borrower's own login to the self-service portal, see their last login, and (if you have the `borrowers.login_as_portal` permission) log in </w:t>
      </w:r>
      <w:r>
        <w:rPr>
          <w:i/>
          <w:iCs/>
        </w:rPr>
        <w:t xml:space="preserve">as</w:t>
      </w:r>
      <w:r>
        <w:t xml:space="preserve"> the borrower to see what they see.</w:t>
      </w:r>
    </w:p>
    <w:p>
      <w:pPr>
        <w:pStyle w:val="ListParagraph"/>
        <w:numPr>
          <w:ilvl w:val="0"/>
          <w:numId w:val="1"/>
        </w:numPr>
        <w:spacing w:after="60"/>
      </w:pPr>
      <w:r>
        <w:rPr>
          <w:b/>
          <w:bCs/>
        </w:rPr>
        <w:t xml:space="preserve">Loans</w:t>
      </w:r>
      <w:r>
        <w:t xml:space="preserve"> — every loan this borrower has ever had, with a link into each.</w:t>
      </w:r>
    </w:p>
    <w:p>
      <w:pPr>
        <w:pStyle w:val="ListParagraph"/>
        <w:numPr>
          <w:ilvl w:val="0"/>
          <w:numId w:val="1"/>
        </w:numPr>
        <w:spacing w:after="60"/>
      </w:pPr>
      <w:r>
        <w:rPr>
          <w:b/>
          <w:bCs/>
        </w:rPr>
        <w:t xml:space="preserve">Employment</w:t>
      </w:r>
      <w:r>
        <w:t xml:space="preserve"> and </w:t>
      </w:r>
      <w:r>
        <w:rPr>
          <w:b/>
          <w:bCs/>
        </w:rPr>
        <w:t xml:space="preserve">Banking Details</w:t>
      </w:r>
      <w:r>
        <w:t xml:space="preserve"> — as captured on the Add Borrower form, editable via </w:t>
      </w:r>
      <w:r>
        <w:rPr>
          <w:b/>
          <w:bCs/>
        </w:rPr>
        <w:t xml:space="preserve">Edit</w:t>
      </w:r>
      <w:r>
        <w:t xml:space="preserve">.</w:t>
      </w:r>
    </w:p>
    <w:p>
      <w:pPr>
        <w:pStyle w:val="ListParagraph"/>
        <w:numPr>
          <w:ilvl w:val="0"/>
          <w:numId w:val="1"/>
        </w:numPr>
        <w:spacing w:after="60"/>
      </w:pPr>
      <w:r>
        <w:rPr>
          <w:b/>
          <w:bCs/>
        </w:rPr>
        <w:t xml:space="preserve">Next of Kin / Contacts</w:t>
      </w:r>
      <w:r>
        <w:t xml:space="preserve"> table.</w:t>
      </w:r>
    </w:p>
    <w:p>
      <w:pPr>
        <w:pStyle w:val="ListParagraph"/>
        <w:numPr>
          <w:ilvl w:val="0"/>
          <w:numId w:val="1"/>
        </w:numPr>
        <w:spacing w:after="60"/>
      </w:pPr>
      <w:r>
        <w:rPr>
          <w:b/>
          <w:bCs/>
        </w:rPr>
        <w:t xml:space="preserve">Documents</w:t>
      </w:r>
      <w:r>
        <w:t xml:space="preserve"> — list of uploaded documents with verification status and a download link.</w:t>
      </w:r>
    </w:p>
    <w:p>
      <w:pPr>
        <w:pBdr>
          <w:bottom w:val="single" w:color="AAAAAA" w:sz="6"/>
        </w:pBdr>
        <w:spacing w:after="200"/>
      </w:pPr>
    </w:p>
    <w:p>
      <w:pPr>
        <w:pStyle w:val="Heading1"/>
        <w:spacing w:after="150" w:before="300"/>
      </w:pPr>
      <w:r>
        <w:t xml:space="preserve">3. Loans</w:t>
      </w:r>
    </w:p>
    <w:p>
      <w:pPr>
        <w:pStyle w:val="Heading2"/>
        <w:spacing w:after="100" w:before="200"/>
      </w:pPr>
      <w:r>
        <w:t xml:space="preserve">Loan List (`Loans → Loan List`)</w:t>
      </w:r>
    </w:p>
    <w:p>
      <w:pPr>
        <w:spacing w:after="150"/>
      </w:pPr>
      <w:r>
        <w:t xml:space="preserve">All loans with loan number, borrower, product, principal, term, and status. Click through to a loan's detail page.</w:t>
      </w:r>
    </w:p>
    <w:p>
      <w:pPr>
        <w:pStyle w:val="Heading2"/>
        <w:spacing w:after="100" w:before="200"/>
      </w:pPr>
      <w:r>
        <w:t xml:space="preserve">New Loan (`Loans → New Loan`)</w:t>
      </w:r>
    </w:p>
    <w:p>
      <w:pPr>
        <w:spacing w:after="150"/>
      </w:pPr>
      <w:r>
        <w:t xml:space="preserve">Start a new loan for an existing borrower (or a new one, via the borrower picker). You'll choose a </w:t>
      </w:r>
      <w:r>
        <w:rPr>
          <w:b/>
          <w:bCs/>
        </w:rPr>
        <w:t xml:space="preserve">loan product</w:t>
      </w:r>
      <w:r>
        <w:t xml:space="preserve">, enter the </w:t>
      </w:r>
      <w:r>
        <w:rPr>
          <w:b/>
          <w:bCs/>
        </w:rPr>
        <w:t xml:space="preserve">principal amount</w:t>
      </w:r>
      <w:r>
        <w:t xml:space="preserve"> and </w:t>
      </w:r>
      <w:r>
        <w:rPr>
          <w:b/>
          <w:bCs/>
        </w:rPr>
        <w:t xml:space="preserve">term</w:t>
      </w:r>
      <w:r>
        <w:t xml:space="preserve">, and the system builds the repayment schedule and fees (including NAMFISA levy) according to the product's rules.</w:t>
      </w:r>
    </w:p>
    <w:p>
      <w:pPr>
        <w:pStyle w:val="Heading2"/>
        <w:spacing w:after="100" w:before="200"/>
      </w:pPr>
      <w:r>
        <w:t xml:space="preserve">Loan Detail Page</w:t>
      </w:r>
    </w:p>
    <w:p>
      <w:pPr>
        <w:spacing w:after="150"/>
      </w:pPr>
      <w:r>
        <w:t xml:space="preserve">The hub for everything about one loan. Along the top you'll typically find:</w:t>
      </w:r>
    </w:p>
    <w:p>
      <w:pPr>
        <w:pStyle w:val="ListParagraph"/>
        <w:numPr>
          <w:ilvl w:val="0"/>
          <w:numId w:val="1"/>
        </w:numPr>
        <w:spacing w:after="60"/>
      </w:pPr>
      <w:r>
        <w:rPr>
          <w:b/>
          <w:bCs/>
        </w:rPr>
        <w:t xml:space="preserve">Statement of Account</w:t>
      </w:r>
      <w:r>
        <w:t xml:space="preserve"> — a printable/downloadable statement of everything charged and paid on the loan.</w:t>
      </w:r>
    </w:p>
    <w:p>
      <w:pPr>
        <w:pStyle w:val="ListParagraph"/>
        <w:numPr>
          <w:ilvl w:val="0"/>
          <w:numId w:val="1"/>
        </w:numPr>
        <w:spacing w:after="60"/>
      </w:pPr>
      <w:r>
        <w:rPr>
          <w:b/>
          <w:bCs/>
        </w:rPr>
        <w:t xml:space="preserve">Notify Borrower</w:t>
      </w:r>
      <w:r>
        <w:t xml:space="preserve"> — send an SMS/email to the borrower about this loan.</w:t>
      </w:r>
    </w:p>
    <w:p>
      <w:pPr>
        <w:pStyle w:val="ListParagraph"/>
        <w:numPr>
          <w:ilvl w:val="0"/>
          <w:numId w:val="1"/>
        </w:numPr>
        <w:spacing w:after="60"/>
      </w:pPr>
      <w:r>
        <w:rPr>
          <w:b/>
          <w:bCs/>
        </w:rPr>
        <w:t xml:space="preserve">Reschedule</w:t>
      </w:r>
      <w:r>
        <w:t xml:space="preserve"> — restructure the remaining schedule (see Loan Reschedules below).</w:t>
      </w:r>
    </w:p>
    <w:p>
      <w:pPr>
        <w:pStyle w:val="ListParagraph"/>
        <w:numPr>
          <w:ilvl w:val="0"/>
          <w:numId w:val="1"/>
        </w:numPr>
        <w:spacing w:after="60"/>
      </w:pPr>
      <w:r>
        <w:rPr>
          <w:b/>
          <w:bCs/>
        </w:rPr>
        <w:t xml:space="preserve">Register Debit Order</w:t>
      </w:r>
      <w:r>
        <w:t xml:space="preserve"> — set up recurring debit-order collection for this loan (see Debit Orders below).</w:t>
      </w:r>
    </w:p>
    <w:p>
      <w:pPr>
        <w:pStyle w:val="ListParagraph"/>
        <w:numPr>
          <w:ilvl w:val="0"/>
          <w:numId w:val="1"/>
        </w:numPr>
        <w:spacing w:after="60"/>
      </w:pPr>
      <w:r>
        <w:rPr>
          <w:b/>
          <w:bCs/>
        </w:rPr>
        <w:t xml:space="preserve">Top Up This Loan</w:t>
      </w:r>
      <w:r>
        <w:t xml:space="preserve"> — issue additional funds against an existing loan rather than opening a brand-new one.</w:t>
      </w:r>
    </w:p>
    <w:p>
      <w:pPr>
        <w:pStyle w:val="ListParagraph"/>
        <w:numPr>
          <w:ilvl w:val="0"/>
          <w:numId w:val="1"/>
        </w:numPr>
        <w:spacing w:after="60"/>
      </w:pPr>
      <w:r>
        <w:rPr>
          <w:b/>
          <w:bCs/>
        </w:rPr>
        <w:t xml:space="preserve">Record Payment</w:t>
      </w:r>
      <w:r>
        <w:t xml:space="preserve"> — jump straight to recording a payment against this loan's schedule.</w:t>
      </w:r>
    </w:p>
    <w:p>
      <w:pPr>
        <w:spacing w:after="150"/>
      </w:pPr>
      <w:r>
        <w:t xml:space="preserve">Below that sits the </w:t>
      </w:r>
      <w:r>
        <w:rPr>
          <w:b/>
          <w:bCs/>
        </w:rPr>
        <w:t xml:space="preserve">amortization schedule</w:t>
      </w:r>
      <w:r>
        <w:t xml:space="preserve"> — every installment due, its due date, amount, amount paid, and status (Pending, Paid, Partially Paid, Overdue, etc.).</w:t>
      </w:r>
    </w:p>
    <w:p>
      <w:pPr>
        <w:pStyle w:val="Heading2"/>
        <w:spacing w:after="100" w:before="200"/>
      </w:pPr>
      <w:r>
        <w:t xml:space="preserve">Loan Products &amp; Plans (`Loans → Loan Products &amp; Plans`)</w:t>
      </w:r>
    </w:p>
    <w:p>
      <w:pPr>
        <w:spacing w:after="150"/>
      </w:pPr>
      <w:r>
        <w:t xml:space="preserve">Where admins define the products staff choose from on the New Loan screen — interest rate, term options, fee structure, and NAMFISA levy rate. Day-to-day staff generally only need to </w:t>
      </w:r>
      <w:r>
        <w:rPr>
          <w:i/>
          <w:iCs/>
        </w:rPr>
        <w:t xml:space="preserve">select</w:t>
      </w:r>
      <w:r>
        <w:t xml:space="preserve"> a product; editing products is an admin task.</w:t>
      </w:r>
    </w:p>
    <w:p>
      <w:pPr>
        <w:pStyle w:val="Heading2"/>
        <w:spacing w:after="100" w:before="200"/>
      </w:pPr>
      <w:r>
        <w:t xml:space="preserve">Portal Loan Requests (`Loans → Portal Loan Requests`)</w:t>
      </w:r>
    </w:p>
    <w:p>
      <w:pPr>
        <w:spacing w:after="150"/>
      </w:pPr>
      <w:r>
        <w:t xml:space="preserve">Loan top-up/new-loan requests submitted by borrowers themselves through the self-service portal, waiting for staff review and conversion into an actual loan.</w:t>
      </w:r>
    </w:p>
    <w:p>
      <w:pPr>
        <w:pStyle w:val="Heading2"/>
        <w:spacing w:after="100" w:before="200"/>
      </w:pPr>
      <w:r>
        <w:t xml:space="preserve">Loan Reschedules (`Loans → Loan Reschedules`)</w:t>
      </w:r>
    </w:p>
    <w:p>
      <w:pPr>
        <w:spacing w:after="150"/>
      </w:pPr>
      <w:r>
        <w:t xml:space="preserve">A log of every reschedule ever performed, letting you review what changed and when, separate from doing a reschedule from a loan's own page.</w:t>
      </w:r>
    </w:p>
    <w:p>
      <w:pPr>
        <w:pBdr>
          <w:bottom w:val="single" w:color="AAAAAA" w:sz="6"/>
        </w:pBdr>
        <w:spacing w:after="200"/>
      </w:pPr>
    </w:p>
    <w:p>
      <w:pPr>
        <w:pStyle w:val="Heading1"/>
        <w:spacing w:after="150" w:before="300"/>
      </w:pPr>
      <w:r>
        <w:t xml:space="preserve">4. Collections</w:t>
      </w:r>
    </w:p>
    <w:p>
      <w:pPr>
        <w:spacing w:after="150"/>
      </w:pPr>
      <w:r>
        <w:t xml:space="preserve">This is the largest group of day-to-day screens — everything to do with getting money in.</w:t>
      </w:r>
    </w:p>
    <w:p>
      <w:pPr>
        <w:pStyle w:val="Heading2"/>
        <w:spacing w:after="100" w:before="200"/>
      </w:pPr>
      <w:r>
        <w:t xml:space="preserve">Payments (`Collections → Payments`)</w:t>
      </w:r>
    </w:p>
    <w:p>
      <w:pPr>
        <w:spacing w:after="150"/>
      </w:pPr>
      <w:r>
        <w:t xml:space="preserve">The list of every payment recorded in the system.</w:t>
      </w:r>
    </w:p>
    <w:p>
      <w:pPr>
        <w:spacing w:after="150"/>
      </w:pPr>
      <w:r>
        <w:rPr>
          <w:b/>
          <w:bCs/>
        </w:rPr>
        <w:t xml:space="preserve">Record Payment</w:t>
      </w:r>
      <w:r>
        <w:t xml:space="preserve">: a form with:</w:t>
      </w:r>
    </w:p>
    <w:p>
      <w:pPr>
        <w:pStyle w:val="ListParagraph"/>
        <w:numPr>
          <w:ilvl w:val="0"/>
          <w:numId w:val="1"/>
        </w:numPr>
        <w:spacing w:after="60"/>
      </w:pPr>
      <w:r>
        <w:rPr>
          <w:b/>
          <w:bCs/>
        </w:rPr>
        <w:t xml:space="preserve">Amount Received</w:t>
      </w:r>
    </w:p>
    <w:p>
      <w:pPr>
        <w:pStyle w:val="ListParagraph"/>
        <w:numPr>
          <w:ilvl w:val="0"/>
          <w:numId w:val="1"/>
        </w:numPr>
        <w:spacing w:after="60"/>
      </w:pPr>
      <w:r>
        <w:rPr>
          <w:b/>
          <w:bCs/>
        </w:rPr>
        <w:t xml:space="preserve">Payment Date</w:t>
      </w:r>
    </w:p>
    <w:p>
      <w:pPr>
        <w:pStyle w:val="ListParagraph"/>
        <w:numPr>
          <w:ilvl w:val="0"/>
          <w:numId w:val="1"/>
        </w:numPr>
        <w:spacing w:after="60"/>
      </w:pPr>
      <w:r>
        <w:rPr>
          <w:b/>
          <w:bCs/>
        </w:rPr>
        <w:t xml:space="preserve">Payment Source</w:t>
      </w:r>
      <w:r>
        <w:t xml:space="preserve"> — Cash, Debit Order, Bank Transfer, Wallet, Manual Adjustment, or Other</w:t>
      </w:r>
    </w:p>
    <w:p>
      <w:pPr>
        <w:pStyle w:val="ListParagraph"/>
        <w:numPr>
          <w:ilvl w:val="0"/>
          <w:numId w:val="1"/>
        </w:numPr>
        <w:spacing w:after="60"/>
      </w:pPr>
      <w:r>
        <w:rPr>
          <w:b/>
          <w:bCs/>
        </w:rPr>
        <w:t xml:space="preserve">Deposited Into</w:t>
      </w:r>
      <w:r>
        <w:t xml:space="preserve"> (which bank/cash account it landed in)</w:t>
      </w:r>
    </w:p>
    <w:p>
      <w:pPr>
        <w:pStyle w:val="ListParagraph"/>
        <w:numPr>
          <w:ilvl w:val="0"/>
          <w:numId w:val="1"/>
        </w:numPr>
        <w:spacing w:after="60"/>
      </w:pPr>
      <w:r>
        <w:rPr>
          <w:b/>
          <w:bCs/>
        </w:rPr>
        <w:t xml:space="preserve">Payer Name</w:t>
      </w:r>
      <w:r>
        <w:t xml:space="preserve">, </w:t>
      </w:r>
      <w:r>
        <w:rPr>
          <w:b/>
          <w:bCs/>
        </w:rPr>
        <w:t xml:space="preserve">Reference No.</w:t>
      </w:r>
      <w:r>
        <w:t xml:space="preserve">, </w:t>
      </w:r>
      <w:r>
        <w:rPr>
          <w:b/>
          <w:bCs/>
        </w:rPr>
        <w:t xml:space="preserve">Notes</w:t>
      </w:r>
    </w:p>
    <w:p>
      <w:pPr>
        <w:pStyle w:val="ListParagraph"/>
        <w:numPr>
          <w:ilvl w:val="0"/>
          <w:numId w:val="1"/>
        </w:numPr>
        <w:spacing w:after="60"/>
      </w:pPr>
      <w:r>
        <w:t xml:space="preserve">An </w:t>
      </w:r>
      <w:r>
        <w:rPr>
          <w:b/>
          <w:bCs/>
        </w:rPr>
        <w:t xml:space="preserve">Outstanding Schedule</w:t>
      </w:r>
      <w:r>
        <w:t xml:space="preserve"> table showing the loan's unpaid installments, so you can see exactly what the payment will settle before you submit.</w:t>
      </w:r>
    </w:p>
    <w:p>
      <w:pPr>
        <w:spacing w:after="150"/>
      </w:pPr>
      <w:r>
        <w:t xml:space="preserve">By default, a payment is allocated automatically to the oldest unpaid installment(s) first (FIFO). Payments coming in through Debit Orders (see below) can instead be targeted at one specific installment, which matters when an installment has been split.</w:t>
      </w:r>
    </w:p>
    <w:p>
      <w:pPr>
        <w:pStyle w:val="Heading2"/>
        <w:spacing w:after="100" w:before="200"/>
      </w:pPr>
      <w:r>
        <w:t xml:space="preserve">Refund Claims (`Collections → Refund Claims`)</w:t>
      </w:r>
    </w:p>
    <w:p>
      <w:pPr>
        <w:spacing w:after="150"/>
      </w:pPr>
      <w:r>
        <w:t xml:space="preserve">Tracks money owed </w:t>
      </w:r>
      <w:r>
        <w:rPr>
          <w:i/>
          <w:iCs/>
        </w:rPr>
        <w:t xml:space="preserve">back</w:t>
      </w:r>
      <w:r>
        <w:t xml:space="preserve"> to a borrower (e.g. an overpayment). Each claim has a claim number, borrower, linked loan, type, amount, and status (Pending → Under Review → Approved/Rejected → Paid, or Cancelled).</w:t>
      </w:r>
    </w:p>
    <w:p>
      <w:pPr>
        <w:pStyle w:val="ListParagraph"/>
        <w:numPr>
          <w:ilvl w:val="0"/>
          <w:numId w:val="1"/>
        </w:numPr>
        <w:spacing w:after="60"/>
      </w:pPr>
      <w:r>
        <w:rPr>
          <w:b/>
          <w:bCs/>
        </w:rPr>
        <w:t xml:space="preserve">Approve</w:t>
      </w:r>
      <w:r>
        <w:t xml:space="preserve">: enter the approved amount and confirm.</w:t>
      </w:r>
    </w:p>
    <w:p>
      <w:pPr>
        <w:pStyle w:val="ListParagraph"/>
        <w:numPr>
          <w:ilvl w:val="0"/>
          <w:numId w:val="1"/>
        </w:numPr>
        <w:spacing w:after="60"/>
      </w:pPr>
      <w:r>
        <w:rPr>
          <w:b/>
          <w:bCs/>
        </w:rPr>
        <w:t xml:space="preserve">Reject</w:t>
      </w:r>
      <w:r>
        <w:t xml:space="preserve">: records a reason.</w:t>
      </w:r>
    </w:p>
    <w:p>
      <w:pPr>
        <w:pStyle w:val="ListParagraph"/>
        <w:numPr>
          <w:ilvl w:val="0"/>
          <w:numId w:val="1"/>
        </w:numPr>
        <w:spacing w:after="60"/>
      </w:pPr>
      <w:r>
        <w:rPr>
          <w:b/>
          <w:bCs/>
        </w:rPr>
        <w:t xml:space="preserve">Mark Paid</w:t>
      </w:r>
      <w:r>
        <w:t xml:space="preserve">: choose the bank/cash account the refund is paid from — this posts the payout to the accounting journal automatically. Once paid, a </w:t>
      </w:r>
      <w:r>
        <w:rPr>
          <w:b/>
          <w:bCs/>
        </w:rPr>
        <w:t xml:space="preserve">View Journal</w:t>
      </w:r>
      <w:r>
        <w:t xml:space="preserve"> link shows the resulting ledger entry.</w:t>
      </w:r>
    </w:p>
    <w:p>
      <w:pPr>
        <w:pStyle w:val="ListParagraph"/>
        <w:numPr>
          <w:ilvl w:val="0"/>
          <w:numId w:val="1"/>
        </w:numPr>
        <w:spacing w:after="60"/>
      </w:pPr>
      <w:r>
        <w:rPr>
          <w:b/>
          <w:bCs/>
        </w:rPr>
        <w:t xml:space="preserve">Generate</w:t>
      </w:r>
      <w:r>
        <w:t xml:space="preserve">: produces a Claim Form or a Letter to Client from the claim.</w:t>
      </w:r>
    </w:p>
    <w:p>
      <w:pPr>
        <w:pStyle w:val="ListParagraph"/>
        <w:numPr>
          <w:ilvl w:val="0"/>
          <w:numId w:val="1"/>
        </w:numPr>
        <w:spacing w:after="60"/>
      </w:pPr>
      <w:r>
        <w:t xml:space="preserve">A bell icon lets you notify the borrower directly about the claim.</w:t>
      </w:r>
    </w:p>
    <w:p>
      <w:pPr>
        <w:pStyle w:val="Heading2"/>
        <w:spacing w:after="100" w:before="200"/>
      </w:pPr>
      <w:r>
        <w:t xml:space="preserve">Collections Worklist (`Collections → Collections Worklist`)</w:t>
      </w:r>
    </w:p>
    <w:p>
      <w:pPr>
        <w:spacing w:after="150"/>
      </w:pPr>
      <w:r>
        <w:t xml:space="preserve">A prioritized, filterable view for collectors — loans/installments that are due or overdue, meant as a daily working list rather than the full loan or payment tables.</w:t>
      </w:r>
    </w:p>
    <w:p>
      <w:pPr>
        <w:pStyle w:val="Heading2"/>
        <w:spacing w:after="100" w:before="200"/>
      </w:pPr>
      <w:r>
        <w:t xml:space="preserve">Debit Orders (`Collections → Debit Orders`)</w:t>
      </w:r>
    </w:p>
    <w:p>
      <w:pPr>
        <w:spacing w:after="150"/>
      </w:pPr>
      <w:r>
        <w:t xml:space="preserve">Recurring, automated collection registered against a loan (through the Collexia mandate integration — see below). From a loan's page, </w:t>
      </w:r>
      <w:r>
        <w:rPr>
          <w:b/>
          <w:bCs/>
        </w:rPr>
        <w:t xml:space="preserve">Register Debit Order</w:t>
      </w:r>
      <w:r>
        <w:t xml:space="preserve"> starts one; from the Debit Orders list you can review, edit, or cancel existing ones, and place/cancel the underlying mandate.</w:t>
      </w:r>
    </w:p>
    <w:p>
      <w:pPr>
        <w:spacing w:after="200"/>
        <w:jc w:val="center"/>
      </w:pPr>
      <w:r>
        <w:rPr>
          <w:i/>
          <w:iCs/>
          <w:color w:val="666666"/>
        </w:rPr>
        <w:t xml:space="preserve">*Splitting an installment into multiple debit orders*</w:t>
      </w:r>
    </w:p>
    <w:p>
      <w:pPr>
        <w:spacing w:after="150"/>
      </w:pPr>
      <w:r>
        <w:t xml:space="preserve">When registering (or editing) a debit order, you can split a single installment's debit amount into up to </w:t>
      </w:r>
      <w:r>
        <w:rPr>
          <w:b/>
          <w:bCs/>
        </w:rPr>
        <w:t xml:space="preserve">10 separate transactions</w:t>
      </w:r>
      <w:r>
        <w:t xml:space="preserve"> instead of collecting it as one debit. Turn on the split option, choose how many parts (1–10), and enter each part's amount — the form shows a live "remaining to allocate" total so the parts always add up exactly to the full installment amount before you can save.</w:t>
      </w:r>
    </w:p>
    <w:p>
      <w:pPr>
        <w:spacing w:after="200"/>
        <w:jc w:val="center"/>
      </w:pPr>
      <w:r>
        <w:rPr>
          <w:i/>
          <w:iCs/>
          <w:color w:val="666666"/>
        </w:rPr>
        <w:t xml:space="preserve">*Viewing a split's transactions*</w:t>
      </w:r>
    </w:p>
    <w:p>
      <w:pPr>
        <w:spacing w:after="150"/>
      </w:pPr>
      <w:r>
        <w:t xml:space="preserve">On the Debit Orders list, any split-enabled order shows a small split icon — click it to open </w:t>
      </w:r>
      <w:r>
        <w:rPr>
          <w:b/>
          <w:bCs/>
        </w:rPr>
        <w:t xml:space="preserve">View Split Transactions</w:t>
      </w:r>
      <w:r>
        <w:t xml:space="preserve">, a dedicated page listing every part of that split (reference, "split N of M", amount, collection date, status, created date), the same way clicking a General Ledger journal takes you into its full transaction detail. Merged-away parts stay visible here, clearly labeled with which parts they were merged from, so the full history is never lost.</w:t>
      </w:r>
    </w:p>
    <w:p>
      <w:pPr>
        <w:spacing w:after="200"/>
        <w:jc w:val="center"/>
      </w:pPr>
      <w:r>
        <w:rPr>
          <w:i/>
          <w:iCs/>
          <w:color w:val="666666"/>
        </w:rPr>
        <w:t xml:space="preserve">*Merging split transactions*</w:t>
      </w:r>
    </w:p>
    <w:p>
      <w:pPr>
        <w:spacing w:after="150"/>
      </w:pPr>
      <w:r>
        <w:t xml:space="preserve">From the split transactions page, tick the checkbox next to two or more parts that are still eligible to merge (not yet collected, not already merged, and not currently active with the bank), then click </w:t>
      </w:r>
      <w:r>
        <w:rPr>
          <w:b/>
          <w:bCs/>
        </w:rPr>
        <w:t xml:space="preserve">Merge Selected</w:t>
      </w:r>
      <w:r>
        <w:t xml:space="preserve">. A confirmation dialog lists exactly which parts you selected and the combined amount before you confirm. Once confirmed:</w:t>
      </w:r>
    </w:p>
    <w:p>
      <w:pPr>
        <w:pStyle w:val="ListParagraph"/>
        <w:numPr>
          <w:ilvl w:val="0"/>
          <w:numId w:val="1"/>
        </w:numPr>
        <w:spacing w:after="60"/>
      </w:pPr>
      <w:r>
        <w:t xml:space="preserve">Any of the selected parts that already had a live mandate with the bank are cancelled first.</w:t>
      </w:r>
    </w:p>
    <w:p>
      <w:pPr>
        <w:pStyle w:val="ListParagraph"/>
        <w:numPr>
          <w:ilvl w:val="0"/>
          <w:numId w:val="1"/>
        </w:numPr>
        <w:spacing w:after="60"/>
      </w:pPr>
      <w:r>
        <w:t xml:space="preserve">The selected parts are combined into one new part.</w:t>
      </w:r>
    </w:p>
    <w:p>
      <w:pPr>
        <w:pStyle w:val="ListParagraph"/>
        <w:numPr>
          <w:ilvl w:val="0"/>
          <w:numId w:val="1"/>
        </w:numPr>
        <w:spacing w:after="60"/>
      </w:pPr>
      <w:r>
        <w:t xml:space="preserve">The old parts are marked Cancelled and linked to the new combined part (nothing is ever deleted).</w:t>
      </w:r>
    </w:p>
    <w:p>
      <w:pPr>
        <w:pStyle w:val="ListParagraph"/>
        <w:numPr>
          <w:ilvl w:val="0"/>
          <w:numId w:val="1"/>
        </w:numPr>
        <w:spacing w:after="60"/>
      </w:pPr>
      <w:r>
        <w:t xml:space="preserve">The new combined part starts as "Not Placed" — you place its mandate the same way you would any other, from the debit order's own page.</w:t>
      </w:r>
    </w:p>
    <w:p>
      <w:pPr>
        <w:spacing w:after="150"/>
      </w:pPr>
      <w:r>
        <w:t xml:space="preserve">Every split, edit, cancel, and merge is written to the audit log (who did it, before/after amounts and status, references involved).</w:t>
      </w:r>
    </w:p>
    <w:p>
      <w:pPr>
        <w:pStyle w:val="Heading2"/>
        <w:spacing w:after="100" w:before="200"/>
      </w:pPr>
      <w:r>
        <w:t xml:space="preserve">Debit Order Runs (`Collections → Debit Order Runs`)</w:t>
      </w:r>
    </w:p>
    <w:p>
      <w:pPr>
        <w:spacing w:after="150"/>
      </w:pPr>
      <w:r>
        <w:t xml:space="preserve">The older, separate collection method: exporting a batch of installments as a file, sending it to the bank outside the system, and then importing the bank's response file back in. This does </w:t>
      </w:r>
      <w:r>
        <w:rPr>
          <w:b/>
          <w:bCs/>
        </w:rPr>
        <w:t xml:space="preserve">not</w:t>
      </w:r>
      <w:r>
        <w:t xml:space="preserve"> use the Collexia API integration at all — it's a manual Excel-based workflow that predates it, kept for banks or scenarios not on the API integration.</w:t>
      </w:r>
    </w:p>
    <w:p>
      <w:pPr>
        <w:pStyle w:val="Heading2"/>
        <w:spacing w:after="100" w:before="200"/>
      </w:pPr>
      <w:r>
        <w:t xml:space="preserve">Collection Reports (`Collections → Collection Reports`)</w:t>
      </w:r>
    </w:p>
    <w:p>
      <w:pPr>
        <w:spacing w:after="150"/>
      </w:pPr>
      <w:r>
        <w:t xml:space="preserve">Two ways results get into the system:</w:t>
      </w:r>
    </w:p>
    <w:p>
      <w:pPr>
        <w:pStyle w:val="ListParagraph"/>
        <w:numPr>
          <w:ilvl w:val="0"/>
          <w:numId w:val="1"/>
        </w:numPr>
        <w:spacing w:after="60"/>
      </w:pPr>
      <w:r>
        <w:rPr>
          <w:b/>
          <w:bCs/>
        </w:rPr>
        <w:t xml:space="preserve">Download Payments from Collexia</w:t>
      </w:r>
      <w:r>
        <w:t xml:space="preserve"> — pulls results directly via the API (optionally scoped to one bank account). Only enabled once the Collexia integration is configured and switched on under Debit Order API Settings.</w:t>
      </w:r>
    </w:p>
    <w:p>
      <w:pPr>
        <w:pStyle w:val="ListParagraph"/>
        <w:numPr>
          <w:ilvl w:val="0"/>
          <w:numId w:val="1"/>
        </w:numPr>
        <w:spacing w:after="60"/>
      </w:pPr>
      <w:r>
        <w:rPr>
          <w:b/>
          <w:bCs/>
        </w:rPr>
        <w:t xml:space="preserve">Import Report</w:t>
      </w:r>
      <w:r>
        <w:t xml:space="preserve"> — manually upload a Successful Transactions, Unsuccessful Transactions, or Scheduled Installments export; the system detects the file type automatically. Matched "Successful" rows are posted as real payments right away.</w:t>
      </w:r>
    </w:p>
    <w:p>
      <w:pPr>
        <w:spacing w:after="150"/>
      </w:pPr>
      <w:r>
        <w:t xml:space="preserve">Click into any imported report to see its rows: contract number, split number (if applicable), loan, installment number, scheduled date/amount, status, payment date/amount, and the result (Payment Posted / No Matching Mandate / Already Posted Previously / Not Yet Collected).</w:t>
      </w:r>
    </w:p>
    <w:p>
      <w:pPr>
        <w:pStyle w:val="Heading2"/>
        <w:spacing w:after="100" w:before="200"/>
      </w:pPr>
      <w:r>
        <w:t xml:space="preserve">Debit Order Cancellations (`Collections → Debit Order Cancellations`)</w:t>
      </w:r>
    </w:p>
    <w:p>
      <w:pPr>
        <w:spacing w:after="150"/>
      </w:pPr>
      <w:r>
        <w:t xml:space="preserve">A dedicated log/queue for cancellation actions on debit order mandates, separate from cancelling one order from its own page.</w:t>
      </w:r>
    </w:p>
    <w:p>
      <w:pPr>
        <w:pStyle w:val="Heading2"/>
        <w:spacing w:after="100" w:before="200"/>
      </w:pPr>
      <w:r>
        <w:t xml:space="preserve">Debit Order API Settings (`Collections → Debit Order API Settings`)</w:t>
      </w:r>
    </w:p>
    <w:p>
      <w:pPr>
        <w:spacing w:after="150"/>
      </w:pPr>
      <w:r>
        <w:t xml:space="preserve">Admin screen for the Collexia API credentials and the on/off switch for the whole integration. Until this is configured, mandate placement, cancellation, and payment download all stay gracefully disabled with an explanatory message rather than failing.</w:t>
      </w:r>
    </w:p>
    <w:p>
      <w:pPr>
        <w:pBdr>
          <w:bottom w:val="single" w:color="AAAAAA" w:sz="6"/>
        </w:pBdr>
        <w:spacing w:after="200"/>
      </w:pPr>
    </w:p>
    <w:p>
      <w:pPr>
        <w:pStyle w:val="Heading1"/>
        <w:spacing w:after="150" w:before="300"/>
      </w:pPr>
      <w:r>
        <w:t xml:space="preserve">5. Fixed Assets (`Fixed Assets`)</w:t>
      </w:r>
    </w:p>
    <w:p>
      <w:pPr>
        <w:spacing w:after="150"/>
      </w:pPr>
      <w:r>
        <w:rPr>
          <w:b/>
          <w:bCs/>
        </w:rPr>
        <w:t xml:space="preserve">Asset Register</w:t>
      </w:r>
      <w:r>
        <w:t xml:space="preserve"> lists company assets (equipment, vehicles, etc.); </w:t>
      </w:r>
      <w:r>
        <w:rPr>
          <w:b/>
          <w:bCs/>
        </w:rPr>
        <w:t xml:space="preserve">Register Asset</w:t>
      </w:r>
      <w:r>
        <w:t xml:space="preserve"> adds a new one with its cost, category, and acquisition details, for depreciation and accounting purposes.</w:t>
      </w:r>
    </w:p>
    <w:p>
      <w:pPr>
        <w:pBdr>
          <w:bottom w:val="single" w:color="AAAAAA" w:sz="6"/>
        </w:pBdr>
        <w:spacing w:after="200"/>
      </w:pPr>
    </w:p>
    <w:p>
      <w:pPr>
        <w:pStyle w:val="Heading1"/>
        <w:spacing w:after="150" w:before="300"/>
      </w:pPr>
      <w:r>
        <w:t xml:space="preserve">6. Support (`Support`)</w:t>
      </w:r>
    </w:p>
    <w:p>
      <w:pPr>
        <w:spacing w:after="150"/>
      </w:pPr>
      <w:r>
        <w:rPr>
          <w:b/>
          <w:bCs/>
        </w:rPr>
        <w:t xml:space="preserve">Support Tickets</w:t>
      </w:r>
      <w:r>
        <w:t xml:space="preserve"> lists issues raised by staff or borrowers; </w:t>
      </w:r>
      <w:r>
        <w:rPr>
          <w:b/>
          <w:bCs/>
        </w:rPr>
        <w:t xml:space="preserve">Raise Ticket</w:t>
      </w:r>
      <w:r>
        <w:t xml:space="preserve"> logs a new one. Use this for internal issue tracking rather than the notification/messaging tools.</w:t>
      </w:r>
    </w:p>
    <w:p>
      <w:pPr>
        <w:pBdr>
          <w:bottom w:val="single" w:color="AAAAAA" w:sz="6"/>
        </w:pBdr>
        <w:spacing w:after="200"/>
      </w:pPr>
    </w:p>
    <w:p>
      <w:pPr>
        <w:pStyle w:val="Heading1"/>
        <w:spacing w:after="150" w:before="300"/>
      </w:pPr>
      <w:r>
        <w:t xml:space="preserve">7. Applications</w:t>
      </w:r>
    </w:p>
    <w:p>
      <w:pPr>
        <w:spacing w:after="150"/>
      </w:pPr>
      <w:r>
        <w:t xml:space="preserve">The pipeline for loan applications before they become live loans: </w:t>
      </w:r>
      <w:r>
        <w:rPr>
          <w:b/>
          <w:bCs/>
        </w:rPr>
        <w:t xml:space="preserve">All</w:t>
      </w:r>
      <w:r>
        <w:t xml:space="preserve">, </w:t>
      </w:r>
      <w:r>
        <w:rPr>
          <w:b/>
          <w:bCs/>
        </w:rPr>
        <w:t xml:space="preserve">New</w:t>
      </w:r>
      <w:r>
        <w:t xml:space="preserve">, </w:t>
      </w:r>
      <w:r>
        <w:rPr>
          <w:b/>
          <w:bCs/>
        </w:rPr>
        <w:t xml:space="preserve">Screening</w:t>
      </w:r>
      <w:r>
        <w:t xml:space="preserve">, and </w:t>
      </w:r>
      <w:r>
        <w:rPr>
          <w:b/>
          <w:bCs/>
        </w:rPr>
        <w:t xml:space="preserve">Rejected</w:t>
      </w:r>
      <w:r>
        <w:t xml:space="preserve"> views let you see applications at each stage and move them forward.</w:t>
      </w:r>
    </w:p>
    <w:p>
      <w:pPr>
        <w:pBdr>
          <w:bottom w:val="single" w:color="AAAAAA" w:sz="6"/>
        </w:pBdr>
        <w:spacing w:after="200"/>
      </w:pPr>
    </w:p>
    <w:p>
      <w:pPr>
        <w:pStyle w:val="Heading1"/>
        <w:spacing w:after="150" w:before="300"/>
      </w:pPr>
      <w:r>
        <w:t xml:space="preserve">8. Accounting</w:t>
      </w:r>
    </w:p>
    <w:p>
      <w:pPr>
        <w:spacing w:after="150"/>
      </w:pPr>
      <w:r>
        <w:t xml:space="preserve">A full double-entry accounting suite sits under this section. Day-to-day loan/collections staff generally won't touch most of it; it's covered here at overview level.</w:t>
      </w:r>
    </w:p>
    <w:p>
      <w:pPr>
        <w:pStyle w:val="ListParagraph"/>
        <w:numPr>
          <w:ilvl w:val="0"/>
          <w:numId w:val="1"/>
        </w:numPr>
        <w:spacing w:after="60"/>
      </w:pPr>
      <w:r>
        <w:rPr>
          <w:b/>
          <w:bCs/>
        </w:rPr>
        <w:t xml:space="preserve">Chart of Accounts</w:t>
      </w:r>
      <w:r>
        <w:t xml:space="preserve"> — the list of every ledger account (assets, liabilities, income, expense).</w:t>
      </w:r>
    </w:p>
    <w:p>
      <w:pPr>
        <w:pStyle w:val="ListParagraph"/>
        <w:numPr>
          <w:ilvl w:val="0"/>
          <w:numId w:val="1"/>
        </w:numPr>
        <w:spacing w:after="60"/>
      </w:pPr>
      <w:r>
        <w:rPr>
          <w:b/>
          <w:bCs/>
        </w:rPr>
        <w:t xml:space="preserve">Bank Accounts</w:t>
      </w:r>
      <w:r>
        <w:t xml:space="preserve"> — the company's own bank accounts, used throughout the system wherever a payment/payout needs a "deposited into" or "paid from" account.</w:t>
      </w:r>
    </w:p>
    <w:p>
      <w:pPr>
        <w:pStyle w:val="ListParagraph"/>
        <w:numPr>
          <w:ilvl w:val="0"/>
          <w:numId w:val="1"/>
        </w:numPr>
        <w:spacing w:after="60"/>
      </w:pPr>
      <w:r>
        <w:rPr>
          <w:b/>
          <w:bCs/>
        </w:rPr>
        <w:t xml:space="preserve">General Journal</w:t>
      </w:r>
      <w:r>
        <w:t xml:space="preserve"> / </w:t>
      </w:r>
      <w:r>
        <w:rPr>
          <w:b/>
          <w:bCs/>
        </w:rPr>
        <w:t xml:space="preserve">New Manual Journal</w:t>
      </w:r>
      <w:r>
        <w:t xml:space="preserve"> / </w:t>
      </w:r>
      <w:r>
        <w:rPr>
          <w:b/>
          <w:bCs/>
        </w:rPr>
        <w:t xml:space="preserve">Adjustment Journals</w:t>
      </w:r>
      <w:r>
        <w:t xml:space="preserve"> — journal entries; most are posted automatically by the system (payments, refunds, disbursements), but manual/adjustment journals can be entered directly here.</w:t>
      </w:r>
    </w:p>
    <w:p>
      <w:pPr>
        <w:pStyle w:val="ListParagraph"/>
        <w:numPr>
          <w:ilvl w:val="0"/>
          <w:numId w:val="1"/>
        </w:numPr>
        <w:spacing w:after="60"/>
      </w:pPr>
      <w:r>
        <w:rPr>
          <w:b/>
          <w:bCs/>
        </w:rPr>
        <w:t xml:space="preserve">General Ledger</w:t>
      </w:r>
      <w:r>
        <w:t xml:space="preserve"> — the posted transaction history per account. This is what the "View Journal" links from Payments/Refund Claims take you into.</w:t>
      </w:r>
    </w:p>
    <w:p>
      <w:pPr>
        <w:pStyle w:val="ListParagraph"/>
        <w:numPr>
          <w:ilvl w:val="0"/>
          <w:numId w:val="1"/>
        </w:numPr>
        <w:spacing w:after="60"/>
      </w:pPr>
      <w:r>
        <w:rPr>
          <w:b/>
          <w:bCs/>
        </w:rPr>
        <w:t xml:space="preserve">Disbursement Accrual Restatement</w:t>
      </w:r>
      <w:r>
        <w:t xml:space="preserve"> and </w:t>
      </w:r>
      <w:r>
        <w:rPr>
          <w:b/>
          <w:bCs/>
        </w:rPr>
        <w:t xml:space="preserve">Recurring Journals</w:t>
      </w:r>
      <w:r>
        <w:t xml:space="preserve"> — accounting maintenance tools for accrual corrections and journals that repeat on a schedule.</w:t>
      </w:r>
    </w:p>
    <w:p>
      <w:pPr>
        <w:pStyle w:val="ListParagraph"/>
        <w:numPr>
          <w:ilvl w:val="0"/>
          <w:numId w:val="1"/>
        </w:numPr>
        <w:spacing w:after="60"/>
      </w:pPr>
      <w:r>
        <w:rPr>
          <w:b/>
          <w:bCs/>
        </w:rPr>
        <w:t xml:space="preserve">Fiscal Years &amp; Periods</w:t>
      </w:r>
      <w:r>
        <w:t xml:space="preserve"> — defines the accounting calendar and period locking.</w:t>
      </w:r>
    </w:p>
    <w:p>
      <w:pPr>
        <w:pStyle w:val="ListParagraph"/>
        <w:numPr>
          <w:ilvl w:val="0"/>
          <w:numId w:val="1"/>
        </w:numPr>
        <w:spacing w:after="60"/>
      </w:pPr>
      <w:r>
        <w:rPr>
          <w:b/>
          <w:bCs/>
        </w:rPr>
        <w:t xml:space="preserve">Trial Balance</w:t>
      </w:r>
      <w:r>
        <w:t xml:space="preserve"> — the standard summary report of all account balances.</w:t>
      </w:r>
    </w:p>
    <w:p>
      <w:pPr>
        <w:pStyle w:val="ListParagraph"/>
        <w:numPr>
          <w:ilvl w:val="0"/>
          <w:numId w:val="1"/>
        </w:numPr>
        <w:spacing w:after="60"/>
      </w:pPr>
      <w:r>
        <w:rPr>
          <w:b/>
          <w:bCs/>
        </w:rPr>
        <w:t xml:space="preserve">Cash Book</w:t>
      </w:r>
      <w:r>
        <w:t xml:space="preserve"> — a running cash ledger view.</w:t>
      </w:r>
    </w:p>
    <w:p>
      <w:pPr>
        <w:pStyle w:val="ListParagraph"/>
        <w:numPr>
          <w:ilvl w:val="0"/>
          <w:numId w:val="1"/>
        </w:numPr>
        <w:spacing w:after="60"/>
      </w:pPr>
      <w:r>
        <w:rPr>
          <w:b/>
          <w:bCs/>
        </w:rPr>
        <w:t xml:space="preserve">AFS Export</w:t>
      </w:r>
      <w:r>
        <w:t xml:space="preserve"> — exports data formatted for Annual Financial Statements.</w:t>
      </w:r>
    </w:p>
    <w:p>
      <w:pPr>
        <w:pStyle w:val="ListParagraph"/>
        <w:numPr>
          <w:ilvl w:val="0"/>
          <w:numId w:val="1"/>
        </w:numPr>
        <w:spacing w:after="60"/>
      </w:pPr>
      <w:r>
        <w:rPr>
          <w:b/>
          <w:bCs/>
        </w:rPr>
        <w:t xml:space="preserve">Bad Debt Provisioning</w:t>
      </w:r>
      <w:r>
        <w:t xml:space="preserve">, </w:t>
      </w:r>
      <w:r>
        <w:rPr>
          <w:b/>
          <w:bCs/>
        </w:rPr>
        <w:t xml:space="preserve">Bad Debts &amp; Write-Offs</w:t>
      </w:r>
      <w:r>
        <w:t xml:space="preserve">, </w:t>
      </w:r>
      <w:r>
        <w:rPr>
          <w:b/>
          <w:bCs/>
        </w:rPr>
        <w:t xml:space="preserve">Loan Write-Offs</w:t>
      </w:r>
      <w:r>
        <w:t xml:space="preserve"> — the tools for provisioning against and writing off uncollectable loans.</w:t>
      </w:r>
    </w:p>
    <w:p>
      <w:pPr>
        <w:pStyle w:val="ListParagraph"/>
        <w:numPr>
          <w:ilvl w:val="0"/>
          <w:numId w:val="1"/>
        </w:numPr>
        <w:spacing w:after="60"/>
      </w:pPr>
      <w:r>
        <w:rPr>
          <w:b/>
          <w:bCs/>
        </w:rPr>
        <w:t xml:space="preserve">Penalty Accruals</w:t>
      </w:r>
      <w:r>
        <w:t xml:space="preserve"> — accrues late-payment penalties into the ledger.</w:t>
      </w:r>
    </w:p>
    <w:p>
      <w:pPr>
        <w:pStyle w:val="ListParagraph"/>
        <w:numPr>
          <w:ilvl w:val="0"/>
          <w:numId w:val="1"/>
        </w:numPr>
        <w:spacing w:after="60"/>
      </w:pPr>
      <w:r>
        <w:rPr>
          <w:b/>
          <w:bCs/>
        </w:rPr>
        <w:t xml:space="preserve">Bank Reconciliation</w:t>
      </w:r>
      <w:r>
        <w:t xml:space="preserve"> / </w:t>
      </w:r>
      <w:r>
        <w:rPr>
          <w:b/>
          <w:bCs/>
        </w:rPr>
        <w:t xml:space="preserve">Reconciliation History</w:t>
      </w:r>
      <w:r>
        <w:t xml:space="preserve"> — matching the company's bank statement against the system's records.</w:t>
      </w:r>
    </w:p>
    <w:p>
      <w:pPr>
        <w:pStyle w:val="ListParagraph"/>
        <w:numPr>
          <w:ilvl w:val="0"/>
          <w:numId w:val="1"/>
        </w:numPr>
        <w:spacing w:after="60"/>
      </w:pPr>
      <w:r>
        <w:rPr>
          <w:b/>
          <w:bCs/>
        </w:rPr>
        <w:t xml:space="preserve">Expenses</w:t>
      </w:r>
      <w:r>
        <w:t xml:space="preserve"> / </w:t>
      </w:r>
      <w:r>
        <w:rPr>
          <w:b/>
          <w:bCs/>
        </w:rPr>
        <w:t xml:space="preserve">Expense Categories</w:t>
      </w:r>
      <w:r>
        <w:t xml:space="preserve"> — recording and categorizing company expenses.</w:t>
      </w:r>
    </w:p>
    <w:p>
      <w:pPr>
        <w:pBdr>
          <w:bottom w:val="single" w:color="AAAAAA" w:sz="6"/>
        </w:pBdr>
        <w:spacing w:after="200"/>
      </w:pPr>
    </w:p>
    <w:p>
      <w:pPr>
        <w:pStyle w:val="Heading1"/>
        <w:spacing w:after="150" w:before="300"/>
      </w:pPr>
      <w:r>
        <w:t xml:space="preserve">9. Reports (`Reports`)</w:t>
      </w:r>
    </w:p>
    <w:p>
      <w:pPr>
        <w:spacing w:after="150"/>
      </w:pPr>
      <w:r>
        <w:t xml:space="preserve">Grouped into </w:t>
      </w:r>
      <w:r>
        <w:rPr>
          <w:b/>
          <w:bCs/>
        </w:rPr>
        <w:t xml:space="preserve">Operational</w:t>
      </w:r>
      <w:r>
        <w:t xml:space="preserve">, </w:t>
      </w:r>
      <w:r>
        <w:rPr>
          <w:b/>
          <w:bCs/>
        </w:rPr>
        <w:t xml:space="preserve">Financial</w:t>
      </w:r>
      <w:r>
        <w:t xml:space="preserve">, and </w:t>
      </w:r>
      <w:r>
        <w:rPr>
          <w:b/>
          <w:bCs/>
        </w:rPr>
        <w:t xml:space="preserve">Regulatory</w:t>
      </w:r>
      <w:r>
        <w:t xml:space="preserve"> reports — pre-built reports for day-to-day monitoring, financial statements, and compliance reporting respectively. Open the group to see the specific reports available and any date/branch filters they support.</w:t>
      </w:r>
    </w:p>
    <w:p>
      <w:pPr>
        <w:pBdr>
          <w:bottom w:val="single" w:color="AAAAAA" w:sz="6"/>
        </w:pBdr>
        <w:spacing w:after="200"/>
      </w:pPr>
    </w:p>
    <w:p>
      <w:pPr>
        <w:pStyle w:val="Heading1"/>
        <w:spacing w:after="150" w:before="300"/>
      </w:pPr>
      <w:r>
        <w:t xml:space="preserve">10. Documents (`Documents`)</w:t>
      </w:r>
    </w:p>
    <w:p>
      <w:pPr>
        <w:pStyle w:val="ListParagraph"/>
        <w:numPr>
          <w:ilvl w:val="0"/>
          <w:numId w:val="1"/>
        </w:numPr>
        <w:spacing w:after="60"/>
      </w:pPr>
      <w:r>
        <w:rPr>
          <w:b/>
          <w:bCs/>
        </w:rPr>
        <w:t xml:space="preserve">Templates</w:t>
      </w:r>
      <w:r>
        <w:t xml:space="preserve"> — the master templates (loan agreements, letters, claim forms, etc.) used by "Generate" actions throughout the system (e.g. on Refund Claims).</w:t>
      </w:r>
    </w:p>
    <w:p>
      <w:pPr>
        <w:pStyle w:val="ListParagraph"/>
        <w:numPr>
          <w:ilvl w:val="0"/>
          <w:numId w:val="1"/>
        </w:numPr>
        <w:spacing w:after="60"/>
      </w:pPr>
      <w:r>
        <w:rPr>
          <w:b/>
          <w:bCs/>
        </w:rPr>
        <w:t xml:space="preserve">Generated Documents</w:t>
      </w:r>
      <w:r>
        <w:t xml:space="preserve"> — every document actually generated from a template, per borrower/loan, with a download link.</w:t>
      </w:r>
    </w:p>
    <w:p>
      <w:pPr>
        <w:pStyle w:val="ListParagraph"/>
        <w:numPr>
          <w:ilvl w:val="0"/>
          <w:numId w:val="1"/>
        </w:numPr>
        <w:spacing w:after="60"/>
      </w:pPr>
      <w:r>
        <w:rPr>
          <w:b/>
          <w:bCs/>
        </w:rPr>
        <w:t xml:space="preserve">Letters</w:t>
      </w:r>
      <w:r>
        <w:t xml:space="preserve"> — a library of correspondence, also reachable from action buttons elsewhere (e.g. the download icon on Refund Claims).</w:t>
      </w:r>
    </w:p>
    <w:p>
      <w:pPr>
        <w:pBdr>
          <w:bottom w:val="single" w:color="AAAAAA" w:sz="6"/>
        </w:pBdr>
        <w:spacing w:after="200"/>
      </w:pPr>
    </w:p>
    <w:p>
      <w:pPr>
        <w:pStyle w:val="Heading1"/>
        <w:spacing w:after="150" w:before="300"/>
      </w:pPr>
      <w:r>
        <w:t xml:space="preserve">11. Compliance (`Compliance`)</w:t>
      </w:r>
    </w:p>
    <w:p>
      <w:pPr>
        <w:pStyle w:val="ListParagraph"/>
        <w:numPr>
          <w:ilvl w:val="0"/>
          <w:numId w:val="1"/>
        </w:numPr>
        <w:spacing w:after="60"/>
      </w:pPr>
      <w:r>
        <w:rPr>
          <w:b/>
          <w:bCs/>
        </w:rPr>
        <w:t xml:space="preserve">NAMFISA Reports</w:t>
      </w:r>
      <w:r>
        <w:t xml:space="preserve"> — the regulator-facing reports required for Namibia's financial services authority.</w:t>
      </w:r>
    </w:p>
    <w:p>
      <w:pPr>
        <w:pStyle w:val="ListParagraph"/>
        <w:numPr>
          <w:ilvl w:val="0"/>
          <w:numId w:val="1"/>
        </w:numPr>
        <w:spacing w:after="60"/>
      </w:pPr>
      <w:r>
        <w:rPr>
          <w:b/>
          <w:bCs/>
        </w:rPr>
        <w:t xml:space="preserve">Duty Stamps</w:t>
      </w:r>
      <w:r>
        <w:t xml:space="preserve"> — tracking of duty stamp requirements/usage on loan agreements.</w:t>
      </w:r>
    </w:p>
    <w:p>
      <w:pPr>
        <w:pStyle w:val="ListParagraph"/>
        <w:numPr>
          <w:ilvl w:val="0"/>
          <w:numId w:val="1"/>
        </w:numPr>
        <w:spacing w:after="60"/>
      </w:pPr>
      <w:r>
        <w:rPr>
          <w:b/>
          <w:bCs/>
        </w:rPr>
        <w:t xml:space="preserve">Payment Methods</w:t>
      </w:r>
      <w:r>
        <w:t xml:space="preserve"> — the list of payment method types recognized system-wide.</w:t>
      </w:r>
    </w:p>
    <w:p>
      <w:pPr>
        <w:pStyle w:val="ListParagraph"/>
        <w:numPr>
          <w:ilvl w:val="0"/>
          <w:numId w:val="1"/>
        </w:numPr>
        <w:spacing w:after="60"/>
      </w:pPr>
      <w:r>
        <w:rPr>
          <w:b/>
          <w:bCs/>
        </w:rPr>
        <w:t xml:space="preserve">Quarterly Reports</w:t>
      </w:r>
      <w:r>
        <w:t xml:space="preserve"> — periodic compliance submissions.</w:t>
      </w:r>
    </w:p>
    <w:p>
      <w:pPr>
        <w:pBdr>
          <w:bottom w:val="single" w:color="AAAAAA" w:sz="6"/>
        </w:pBdr>
        <w:spacing w:after="200"/>
      </w:pPr>
    </w:p>
    <w:p>
      <w:pPr>
        <w:pStyle w:val="Heading1"/>
        <w:spacing w:after="150" w:before="300"/>
      </w:pPr>
      <w:r>
        <w:t xml:space="preserve">12. Notifications (`Notifications`)</w:t>
      </w:r>
    </w:p>
    <w:p>
      <w:pPr>
        <w:pStyle w:val="ListParagraph"/>
        <w:numPr>
          <w:ilvl w:val="0"/>
          <w:numId w:val="1"/>
        </w:numPr>
        <w:spacing w:after="60"/>
      </w:pPr>
      <w:r>
        <w:rPr>
          <w:b/>
          <w:bCs/>
        </w:rPr>
        <w:t xml:space="preserve">SMS Queue</w:t>
      </w:r>
      <w:r>
        <w:t xml:space="preserve"> and </w:t>
      </w:r>
      <w:r>
        <w:rPr>
          <w:b/>
          <w:bCs/>
        </w:rPr>
        <w:t xml:space="preserve">Email Queue</w:t>
      </w:r>
      <w:r>
        <w:t xml:space="preserve"> — outgoing messages, their status, and delivery history. This is where "Notify Borrower" buttons elsewhere in the system ultimately send from.</w:t>
      </w:r>
    </w:p>
    <w:p>
      <w:pPr>
        <w:pStyle w:val="ListParagraph"/>
        <w:numPr>
          <w:ilvl w:val="0"/>
          <w:numId w:val="1"/>
        </w:numPr>
        <w:spacing w:after="60"/>
      </w:pPr>
      <w:r>
        <w:rPr>
          <w:b/>
          <w:bCs/>
        </w:rPr>
        <w:t xml:space="preserve">Templates</w:t>
      </w:r>
      <w:r>
        <w:t xml:space="preserve"> — the message templates used when composing notifications.</w:t>
      </w:r>
    </w:p>
    <w:p>
      <w:pPr>
        <w:pStyle w:val="ListParagraph"/>
        <w:numPr>
          <w:ilvl w:val="0"/>
          <w:numId w:val="1"/>
        </w:numPr>
        <w:spacing w:after="60"/>
      </w:pPr>
      <w:r>
        <w:rPr>
          <w:b/>
          <w:bCs/>
        </w:rPr>
        <w:t xml:space="preserve">Settings</w:t>
      </w:r>
      <w:r>
        <w:t xml:space="preserve"> — provider/configuration settings for SMS and email sending.</w:t>
      </w:r>
    </w:p>
    <w:p>
      <w:pPr>
        <w:pBdr>
          <w:bottom w:val="single" w:color="AAAAAA" w:sz="6"/>
        </w:pBdr>
        <w:spacing w:after="200"/>
      </w:pPr>
    </w:p>
    <w:p>
      <w:pPr>
        <w:pStyle w:val="Heading1"/>
        <w:spacing w:after="150" w:before="300"/>
      </w:pPr>
      <w:r>
        <w:t xml:space="preserve">13. Commissions (`Commissions`)</w:t>
      </w:r>
    </w:p>
    <w:p>
      <w:pPr>
        <w:spacing w:after="150"/>
      </w:pPr>
      <w:r>
        <w:rPr>
          <w:b/>
          <w:bCs/>
        </w:rPr>
        <w:t xml:space="preserve">Agent Commissions</w:t>
      </w:r>
      <w:r>
        <w:t xml:space="preserve"> shows commission calculated per agent; </w:t>
      </w:r>
      <w:r>
        <w:rPr>
          <w:b/>
          <w:bCs/>
        </w:rPr>
        <w:t xml:space="preserve">Agent Submissions</w:t>
      </w:r>
      <w:r>
        <w:t xml:space="preserve"> is where agent-sourced business gets logged/submitted for commission calculation.</w:t>
      </w:r>
    </w:p>
    <w:p>
      <w:pPr>
        <w:pBdr>
          <w:bottom w:val="single" w:color="AAAAAA" w:sz="6"/>
        </w:pBdr>
        <w:spacing w:after="200"/>
      </w:pPr>
    </w:p>
    <w:p>
      <w:pPr>
        <w:pStyle w:val="Heading1"/>
        <w:spacing w:after="150" w:before="300"/>
      </w:pPr>
      <w:r>
        <w:t xml:space="preserve">14. My Referrals</w:t>
      </w:r>
    </w:p>
    <w:p>
      <w:pPr>
        <w:spacing w:after="150"/>
      </w:pPr>
      <w:r>
        <w:t xml:space="preserve">Visible only to staff with the agent role — their own referral activity and resulting commissions.</w:t>
      </w:r>
    </w:p>
    <w:p>
      <w:pPr>
        <w:pBdr>
          <w:bottom w:val="single" w:color="AAAAAA" w:sz="6"/>
        </w:pBdr>
        <w:spacing w:after="200"/>
      </w:pPr>
    </w:p>
    <w:p>
      <w:pPr>
        <w:pStyle w:val="Heading1"/>
        <w:spacing w:after="150" w:before="300"/>
      </w:pPr>
      <w:r>
        <w:t xml:space="preserve">15. My HR (self-service — visible to every staff member)</w:t>
      </w:r>
    </w:p>
    <w:p>
      <w:pPr>
        <w:spacing w:after="150"/>
      </w:pPr>
      <w:r>
        <w:t xml:space="preserve">Your own personal HR record, separate from any admin HR screens:</w:t>
      </w:r>
    </w:p>
    <w:p>
      <w:pPr>
        <w:pStyle w:val="ListParagraph"/>
        <w:numPr>
          <w:ilvl w:val="0"/>
          <w:numId w:val="1"/>
        </w:numPr>
        <w:spacing w:after="60"/>
      </w:pPr>
      <w:r>
        <w:rPr>
          <w:b/>
          <w:bCs/>
        </w:rPr>
        <w:t xml:space="preserve">My Leave</w:t>
      </w:r>
      <w:r>
        <w:t xml:space="preserve"> — apply for leave and track your applications' approval status.</w:t>
      </w:r>
    </w:p>
    <w:p>
      <w:pPr>
        <w:pStyle w:val="ListParagraph"/>
        <w:numPr>
          <w:ilvl w:val="0"/>
          <w:numId w:val="1"/>
        </w:numPr>
        <w:spacing w:after="60"/>
      </w:pPr>
      <w:r>
        <w:rPr>
          <w:b/>
          <w:bCs/>
        </w:rPr>
        <w:t xml:space="preserve">My Leave Balance</w:t>
      </w:r>
      <w:r>
        <w:t xml:space="preserve"> — how many days of each leave type you have left.</w:t>
      </w:r>
    </w:p>
    <w:p>
      <w:pPr>
        <w:pStyle w:val="ListParagraph"/>
        <w:numPr>
          <w:ilvl w:val="0"/>
          <w:numId w:val="1"/>
        </w:numPr>
        <w:spacing w:after="60"/>
      </w:pPr>
      <w:r>
        <w:rPr>
          <w:b/>
          <w:bCs/>
        </w:rPr>
        <w:t xml:space="preserve">My Payslips</w:t>
      </w:r>
      <w:r>
        <w:t xml:space="preserve"> — your own payslip history.</w:t>
      </w:r>
    </w:p>
    <w:p>
      <w:pPr>
        <w:pStyle w:val="ListParagraph"/>
        <w:numPr>
          <w:ilvl w:val="0"/>
          <w:numId w:val="1"/>
        </w:numPr>
        <w:spacing w:after="60"/>
      </w:pPr>
      <w:r>
        <w:rPr>
          <w:b/>
          <w:bCs/>
        </w:rPr>
        <w:t xml:space="preserve">My Attendance</w:t>
      </w:r>
      <w:r>
        <w:t xml:space="preserve"> — your own clock-in/out or attendance record.</w:t>
      </w:r>
    </w:p>
    <w:p>
      <w:pPr>
        <w:pBdr>
          <w:bottom w:val="single" w:color="AAAAAA" w:sz="6"/>
        </w:pBdr>
        <w:spacing w:after="200"/>
      </w:pPr>
    </w:p>
    <w:p>
      <w:pPr>
        <w:pStyle w:val="Heading1"/>
        <w:spacing w:after="150" w:before="300"/>
      </w:pPr>
      <w:r>
        <w:t xml:space="preserve">16. Employees (HR admin)</w:t>
      </w:r>
    </w:p>
    <w:p>
      <w:pPr>
        <w:pStyle w:val="ListParagraph"/>
        <w:numPr>
          <w:ilvl w:val="0"/>
          <w:numId w:val="1"/>
        </w:numPr>
        <w:spacing w:after="60"/>
      </w:pPr>
      <w:r>
        <w:rPr>
          <w:b/>
          <w:bCs/>
        </w:rPr>
        <w:t xml:space="preserve">Employees</w:t>
      </w:r>
      <w:r>
        <w:t xml:space="preserve"> / </w:t>
      </w:r>
      <w:r>
        <w:rPr>
          <w:b/>
          <w:bCs/>
        </w:rPr>
        <w:t xml:space="preserve">Add Employee</w:t>
      </w:r>
      <w:r>
        <w:t xml:space="preserve"> — the staff master list and onboarding form (personal details, employment details, documents).</w:t>
      </w:r>
    </w:p>
    <w:p>
      <w:pPr>
        <w:pStyle w:val="ListParagraph"/>
        <w:numPr>
          <w:ilvl w:val="0"/>
          <w:numId w:val="1"/>
        </w:numPr>
        <w:spacing w:after="60"/>
      </w:pPr>
      <w:r>
        <w:rPr>
          <w:b/>
          <w:bCs/>
        </w:rPr>
        <w:t xml:space="preserve">Departments</w:t>
      </w:r>
      <w:r>
        <w:t xml:space="preserve">, </w:t>
      </w:r>
      <w:r>
        <w:rPr>
          <w:b/>
          <w:bCs/>
        </w:rPr>
        <w:t xml:space="preserve">Designations</w:t>
      </w:r>
      <w:r>
        <w:t xml:space="preserve">, </w:t>
      </w:r>
      <w:r>
        <w:rPr>
          <w:b/>
          <w:bCs/>
        </w:rPr>
        <w:t xml:space="preserve">Shifts</w:t>
      </w:r>
      <w:r>
        <w:t xml:space="preserve">, </w:t>
      </w:r>
      <w:r>
        <w:rPr>
          <w:b/>
          <w:bCs/>
        </w:rPr>
        <w:t xml:space="preserve">Document Types</w:t>
      </w:r>
      <w:r>
        <w:t xml:space="preserve"> — the reference lists used to configure employee records (which department/role/shift an employee belongs to, and what document types can be uploaded to their file).</w:t>
      </w:r>
    </w:p>
    <w:p>
      <w:pPr>
        <w:pBdr>
          <w:bottom w:val="single" w:color="AAAAAA" w:sz="6"/>
        </w:pBdr>
        <w:spacing w:after="200"/>
      </w:pPr>
    </w:p>
    <w:p>
      <w:pPr>
        <w:pStyle w:val="Heading1"/>
        <w:spacing w:after="150" w:before="300"/>
      </w:pPr>
      <w:r>
        <w:t xml:space="preserve">17. Attendance &amp; Leave (admin)</w:t>
      </w:r>
    </w:p>
    <w:p>
      <w:pPr>
        <w:pStyle w:val="ListParagraph"/>
        <w:numPr>
          <w:ilvl w:val="0"/>
          <w:numId w:val="1"/>
        </w:numPr>
        <w:spacing w:after="60"/>
      </w:pPr>
      <w:r>
        <w:rPr>
          <w:b/>
          <w:bCs/>
        </w:rPr>
        <w:t xml:space="preserve">Attendance Report</w:t>
      </w:r>
      <w:r>
        <w:t xml:space="preserve"> and </w:t>
      </w:r>
      <w:r>
        <w:rPr>
          <w:b/>
          <w:bCs/>
        </w:rPr>
        <w:t xml:space="preserve">Attendance Records</w:t>
      </w:r>
      <w:r>
        <w:t xml:space="preserve"> — company-wide attendance, as opposed to the self-service "My Attendance."</w:t>
      </w:r>
    </w:p>
    <w:p>
      <w:pPr>
        <w:pStyle w:val="ListParagraph"/>
        <w:numPr>
          <w:ilvl w:val="0"/>
          <w:numId w:val="1"/>
        </w:numPr>
        <w:spacing w:after="60"/>
      </w:pPr>
      <w:r>
        <w:rPr>
          <w:b/>
          <w:bCs/>
        </w:rPr>
        <w:t xml:space="preserve">Leave Applications</w:t>
      </w:r>
      <w:r>
        <w:t xml:space="preserve"> — approve/reject leave requests submitted via My Leave.</w:t>
      </w:r>
    </w:p>
    <w:p>
      <w:pPr>
        <w:pStyle w:val="ListParagraph"/>
        <w:numPr>
          <w:ilvl w:val="0"/>
          <w:numId w:val="1"/>
        </w:numPr>
        <w:spacing w:after="60"/>
      </w:pPr>
      <w:r>
        <w:rPr>
          <w:b/>
          <w:bCs/>
        </w:rPr>
        <w:t xml:space="preserve">Leave Balance</w:t>
      </w:r>
      <w:r>
        <w:t xml:space="preserve"> — admin view/adjustment of everyone's leave balances.</w:t>
      </w:r>
    </w:p>
    <w:p>
      <w:pPr>
        <w:pStyle w:val="ListParagraph"/>
        <w:numPr>
          <w:ilvl w:val="0"/>
          <w:numId w:val="1"/>
        </w:numPr>
        <w:spacing w:after="60"/>
      </w:pPr>
      <w:r>
        <w:rPr>
          <w:b/>
          <w:bCs/>
        </w:rPr>
        <w:t xml:space="preserve">Leave Types</w:t>
      </w:r>
      <w:r>
        <w:t xml:space="preserve"> and </w:t>
      </w:r>
      <w:r>
        <w:rPr>
          <w:b/>
          <w:bCs/>
        </w:rPr>
        <w:t xml:space="preserve">Holidays</w:t>
      </w:r>
      <w:r>
        <w:t xml:space="preserve"> — configuration: what kinds of leave exist, and the public holiday calendar used when calculating working days.</w:t>
      </w:r>
    </w:p>
    <w:p>
      <w:pPr>
        <w:pBdr>
          <w:bottom w:val="single" w:color="AAAAAA" w:sz="6"/>
        </w:pBdr>
        <w:spacing w:after="200"/>
      </w:pPr>
    </w:p>
    <w:p>
      <w:pPr>
        <w:pStyle w:val="Heading1"/>
        <w:spacing w:after="150" w:before="300"/>
      </w:pPr>
      <w:r>
        <w:t xml:space="preserve">18. Payroll</w:t>
      </w:r>
    </w:p>
    <w:p>
      <w:pPr>
        <w:pStyle w:val="ListParagraph"/>
        <w:numPr>
          <w:ilvl w:val="0"/>
          <w:numId w:val="1"/>
        </w:numPr>
        <w:spacing w:after="60"/>
      </w:pPr>
      <w:r>
        <w:rPr>
          <w:b/>
          <w:bCs/>
        </w:rPr>
        <w:t xml:space="preserve">Payroll</w:t>
      </w:r>
      <w:r>
        <w:t xml:space="preserve"> — running and reviewing payroll for a period, producing payslips.</w:t>
      </w:r>
    </w:p>
    <w:p>
      <w:pPr>
        <w:pStyle w:val="ListParagraph"/>
        <w:numPr>
          <w:ilvl w:val="0"/>
          <w:numId w:val="1"/>
        </w:numPr>
        <w:spacing w:after="60"/>
      </w:pPr>
      <w:r>
        <w:rPr>
          <w:b/>
          <w:bCs/>
        </w:rPr>
        <w:t xml:space="preserve">Allowances</w:t>
      </w:r>
      <w:r>
        <w:t xml:space="preserve"> / </w:t>
      </w:r>
      <w:r>
        <w:rPr>
          <w:b/>
          <w:bCs/>
        </w:rPr>
        <w:t xml:space="preserve">Deductions</w:t>
      </w:r>
      <w:r>
        <w:t xml:space="preserve"> — per-employee allowance and deduction line items.</w:t>
      </w:r>
    </w:p>
    <w:p>
      <w:pPr>
        <w:pStyle w:val="ListParagraph"/>
        <w:numPr>
          <w:ilvl w:val="0"/>
          <w:numId w:val="1"/>
        </w:numPr>
        <w:spacing w:after="60"/>
      </w:pPr>
      <w:r>
        <w:rPr>
          <w:b/>
          <w:bCs/>
        </w:rPr>
        <w:t xml:space="preserve">Allowance Types</w:t>
      </w:r>
      <w:r>
        <w:t xml:space="preserve"> / </w:t>
      </w:r>
      <w:r>
        <w:rPr>
          <w:b/>
          <w:bCs/>
        </w:rPr>
        <w:t xml:space="preserve">Deduction Types</w:t>
      </w:r>
      <w:r>
        <w:t xml:space="preserve"> — the configurable categories those line items are drawn from.</w:t>
      </w:r>
    </w:p>
    <w:p>
      <w:pPr>
        <w:pStyle w:val="ListParagraph"/>
        <w:numPr>
          <w:ilvl w:val="0"/>
          <w:numId w:val="1"/>
        </w:numPr>
        <w:spacing w:after="60"/>
      </w:pPr>
      <w:r>
        <w:rPr>
          <w:b/>
          <w:bCs/>
        </w:rPr>
        <w:t xml:space="preserve">Staff Loans</w:t>
      </w:r>
      <w:r>
        <w:t xml:space="preserve"> / </w:t>
      </w:r>
      <w:r>
        <w:rPr>
          <w:b/>
          <w:bCs/>
        </w:rPr>
        <w:t xml:space="preserve">Staff Loan Types</w:t>
      </w:r>
      <w:r>
        <w:t xml:space="preserve"> — internal loans to employees (distinct from borrower loans), repaid via payroll deduction.</w:t>
      </w:r>
    </w:p>
    <w:p>
      <w:pPr>
        <w:spacing w:after="150"/>
      </w:pPr>
      <w:r>
        <w:t xml:space="preserve">Note: </w:t>
      </w:r>
      <w:r>
        <w:rPr>
          <w:b/>
          <w:bCs/>
        </w:rPr>
        <w:t xml:space="preserve">Company Settings</w:t>
      </w:r>
      <w:r>
        <w:t xml:space="preserve"> (Settings section) has a </w:t>
      </w:r>
      <w:r>
        <w:rPr>
          <w:b/>
          <w:bCs/>
        </w:rPr>
        <w:t xml:space="preserve">Payroll Settings</w:t>
      </w:r>
      <w:r>
        <w:t xml:space="preserve"> panel defining which weekdays count toward each employee's per-day salary rate — worth checking if payroll figures look off for a part-week employee.</w:t>
      </w:r>
    </w:p>
    <w:p>
      <w:pPr>
        <w:pBdr>
          <w:bottom w:val="single" w:color="AAAAAA" w:sz="6"/>
        </w:pBdr>
        <w:spacing w:after="200"/>
      </w:pPr>
    </w:p>
    <w:p>
      <w:pPr>
        <w:pStyle w:val="Heading1"/>
        <w:spacing w:after="150" w:before="300"/>
      </w:pPr>
      <w:r>
        <w:t xml:space="preserve">19. Recognition &amp; Discipline</w:t>
      </w:r>
    </w:p>
    <w:p>
      <w:pPr>
        <w:pStyle w:val="ListParagraph"/>
        <w:numPr>
          <w:ilvl w:val="0"/>
          <w:numId w:val="1"/>
        </w:numPr>
        <w:spacing w:after="60"/>
      </w:pPr>
      <w:r>
        <w:rPr>
          <w:b/>
          <w:bCs/>
        </w:rPr>
        <w:t xml:space="preserve">Awards</w:t>
      </w:r>
      <w:r>
        <w:t xml:space="preserve"> / </w:t>
      </w:r>
      <w:r>
        <w:rPr>
          <w:b/>
          <w:bCs/>
        </w:rPr>
        <w:t xml:space="preserve">Complaints</w:t>
      </w:r>
      <w:r>
        <w:t xml:space="preserve"> / </w:t>
      </w:r>
      <w:r>
        <w:rPr>
          <w:b/>
          <w:bCs/>
        </w:rPr>
        <w:t xml:space="preserve">Warnings</w:t>
      </w:r>
      <w:r>
        <w:t xml:space="preserve"> and their </w:t>
      </w:r>
      <w:r>
        <w:rPr>
          <w:b/>
          <w:bCs/>
        </w:rPr>
        <w:t xml:space="preserve">Types</w:t>
      </w:r>
      <w:r>
        <w:t xml:space="preserve"> — the tools for logging positive recognition and disciplinary actions against an employee's record, each with a configurable set of types (e.g. warning categories).</w:t>
      </w:r>
    </w:p>
    <w:p>
      <w:pPr>
        <w:pBdr>
          <w:bottom w:val="single" w:color="AAAAAA" w:sz="6"/>
        </w:pBdr>
        <w:spacing w:after="200"/>
      </w:pPr>
    </w:p>
    <w:p>
      <w:pPr>
        <w:pStyle w:val="Heading1"/>
        <w:spacing w:after="150" w:before="300"/>
      </w:pPr>
      <w:r>
        <w:t xml:space="preserve">20. Career Movement</w:t>
      </w:r>
    </w:p>
    <w:p>
      <w:pPr>
        <w:pStyle w:val="ListParagraph"/>
        <w:numPr>
          <w:ilvl w:val="0"/>
          <w:numId w:val="1"/>
        </w:numPr>
        <w:spacing w:after="60"/>
      </w:pPr>
      <w:r>
        <w:rPr>
          <w:b/>
          <w:bCs/>
        </w:rPr>
        <w:t xml:space="preserve">Terminations</w:t>
      </w:r>
      <w:r>
        <w:t xml:space="preserve">, </w:t>
      </w:r>
      <w:r>
        <w:rPr>
          <w:b/>
          <w:bCs/>
        </w:rPr>
        <w:t xml:space="preserve">Promotions</w:t>
      </w:r>
      <w:r>
        <w:t xml:space="preserve">, </w:t>
      </w:r>
      <w:r>
        <w:rPr>
          <w:b/>
          <w:bCs/>
        </w:rPr>
        <w:t xml:space="preserve">Transfers</w:t>
      </w:r>
      <w:r>
        <w:t xml:space="preserve">, and </w:t>
      </w:r>
      <w:r>
        <w:rPr>
          <w:b/>
          <w:bCs/>
        </w:rPr>
        <w:t xml:space="preserve">Termination Types</w:t>
      </w:r>
      <w:r>
        <w:t xml:space="preserve"> — formal employment-status changes, kept as a permanent record on the employee's file.</w:t>
      </w:r>
    </w:p>
    <w:p>
      <w:pPr>
        <w:pBdr>
          <w:bottom w:val="single" w:color="AAAAAA" w:sz="6"/>
        </w:pBdr>
        <w:spacing w:after="200"/>
      </w:pPr>
    </w:p>
    <w:p>
      <w:pPr>
        <w:pStyle w:val="Heading1"/>
        <w:spacing w:after="150" w:before="300"/>
      </w:pPr>
      <w:r>
        <w:t xml:space="preserve">21. Announcements &amp; Events</w:t>
      </w:r>
    </w:p>
    <w:p>
      <w:pPr>
        <w:pStyle w:val="ListParagraph"/>
        <w:numPr>
          <w:ilvl w:val="0"/>
          <w:numId w:val="1"/>
        </w:numPr>
        <w:spacing w:after="60"/>
      </w:pPr>
      <w:r>
        <w:rPr>
          <w:b/>
          <w:bCs/>
        </w:rPr>
        <w:t xml:space="preserve">Announcements</w:t>
      </w:r>
      <w:r>
        <w:t xml:space="preserve"> and </w:t>
      </w:r>
      <w:r>
        <w:rPr>
          <w:b/>
          <w:bCs/>
        </w:rPr>
        <w:t xml:space="preserve">Events</w:t>
      </w:r>
      <w:r>
        <w:t xml:space="preserve">, each with their own </w:t>
      </w:r>
      <w:r>
        <w:rPr>
          <w:b/>
          <w:bCs/>
        </w:rPr>
        <w:t xml:space="preserve">Categories/Types</w:t>
      </w:r>
      <w:r>
        <w:t xml:space="preserve">, for company-wide communication.</w:t>
      </w:r>
    </w:p>
    <w:p>
      <w:pPr>
        <w:pStyle w:val="ListParagraph"/>
        <w:numPr>
          <w:ilvl w:val="0"/>
          <w:numId w:val="1"/>
        </w:numPr>
        <w:spacing w:after="60"/>
      </w:pPr>
      <w:r>
        <w:rPr>
          <w:b/>
          <w:bCs/>
        </w:rPr>
        <w:t xml:space="preserve">Zoom Meetings</w:t>
      </w:r>
      <w:r>
        <w:t xml:space="preserve"> — scheduling/tracking Zoom-based meetings or events directly from the system.</w:t>
      </w:r>
    </w:p>
    <w:p>
      <w:pPr>
        <w:pBdr>
          <w:bottom w:val="single" w:color="AAAAAA" w:sz="6"/>
        </w:pBdr>
        <w:spacing w:after="200"/>
      </w:pPr>
    </w:p>
    <w:p>
      <w:pPr>
        <w:pStyle w:val="Heading1"/>
        <w:spacing w:after="150" w:before="300"/>
      </w:pPr>
      <w:r>
        <w:t xml:space="preserve">22. Performance</w:t>
      </w:r>
    </w:p>
    <w:p>
      <w:pPr>
        <w:pStyle w:val="ListParagraph"/>
        <w:numPr>
          <w:ilvl w:val="0"/>
          <w:numId w:val="1"/>
        </w:numPr>
        <w:spacing w:after="60"/>
      </w:pPr>
      <w:r>
        <w:rPr>
          <w:b/>
          <w:bCs/>
        </w:rPr>
        <w:t xml:space="preserve">Employee Goals</w:t>
      </w:r>
      <w:r>
        <w:t xml:space="preserve"> — individual goals, tracked against </w:t>
      </w:r>
      <w:r>
        <w:rPr>
          <w:b/>
          <w:bCs/>
        </w:rPr>
        <w:t xml:space="preserve">Goal Types</w:t>
      </w:r>
      <w:r>
        <w:t xml:space="preserve">.</w:t>
      </w:r>
    </w:p>
    <w:p>
      <w:pPr>
        <w:pStyle w:val="ListParagraph"/>
        <w:numPr>
          <w:ilvl w:val="0"/>
          <w:numId w:val="1"/>
        </w:numPr>
        <w:spacing w:after="60"/>
      </w:pPr>
      <w:r>
        <w:rPr>
          <w:b/>
          <w:bCs/>
        </w:rPr>
        <w:t xml:space="preserve">Employee Reviews</w:t>
      </w:r>
      <w:r>
        <w:t xml:space="preserve"> — formal review records, run through </w:t>
      </w:r>
      <w:r>
        <w:rPr>
          <w:b/>
          <w:bCs/>
        </w:rPr>
        <w:t xml:space="preserve">Review Cycles</w:t>
      </w:r>
      <w:r>
        <w:t xml:space="preserve"> and scored against configured </w:t>
      </w:r>
      <w:r>
        <w:rPr>
          <w:b/>
          <w:bCs/>
        </w:rPr>
        <w:t xml:space="preserve">Indicator Categories</w:t>
      </w:r>
      <w:r>
        <w:t xml:space="preserve">/</w:t>
      </w:r>
      <w:r>
        <w:rPr>
          <w:b/>
          <w:bCs/>
        </w:rPr>
        <w:t xml:space="preserve">Indicators</w:t>
      </w:r>
      <w:r>
        <w:t xml:space="preserve">.</w:t>
      </w:r>
    </w:p>
    <w:p>
      <w:pPr>
        <w:pBdr>
          <w:bottom w:val="single" w:color="AAAAAA" w:sz="6"/>
        </w:pBdr>
        <w:spacing w:after="200"/>
      </w:pPr>
    </w:p>
    <w:p>
      <w:pPr>
        <w:pStyle w:val="Heading1"/>
        <w:spacing w:after="150" w:before="300"/>
      </w:pPr>
      <w:r>
        <w:t xml:space="preserve">23. Recruitment</w:t>
      </w:r>
    </w:p>
    <w:p>
      <w:pPr>
        <w:spacing w:after="150"/>
      </w:pPr>
      <w:r>
        <w:t xml:space="preserve">A full hiring pipeline:</w:t>
      </w:r>
    </w:p>
    <w:p>
      <w:pPr>
        <w:pStyle w:val="ListParagraph"/>
        <w:numPr>
          <w:ilvl w:val="0"/>
          <w:numId w:val="1"/>
        </w:numPr>
        <w:spacing w:after="60"/>
      </w:pPr>
      <w:r>
        <w:rPr>
          <w:b/>
          <w:bCs/>
        </w:rPr>
        <w:t xml:space="preserve">Job Postings</w:t>
      </w:r>
      <w:r>
        <w:t xml:space="preserve"> — vacancies, each optionally published to the public careers pages.</w:t>
      </w:r>
    </w:p>
    <w:p>
      <w:pPr>
        <w:pStyle w:val="ListParagraph"/>
        <w:numPr>
          <w:ilvl w:val="0"/>
          <w:numId w:val="1"/>
        </w:numPr>
        <w:spacing w:after="60"/>
      </w:pPr>
      <w:r>
        <w:rPr>
          <w:b/>
          <w:bCs/>
        </w:rPr>
        <w:t xml:space="preserve">Candidates</w:t>
      </w:r>
      <w:r>
        <w:t xml:space="preserve"> — applicants, with resume/document uploads.</w:t>
      </w:r>
    </w:p>
    <w:p>
      <w:pPr>
        <w:pStyle w:val="ListParagraph"/>
        <w:numPr>
          <w:ilvl w:val="0"/>
          <w:numId w:val="1"/>
        </w:numPr>
        <w:spacing w:after="60"/>
      </w:pPr>
      <w:r>
        <w:rPr>
          <w:b/>
          <w:bCs/>
        </w:rPr>
        <w:t xml:space="preserve">Interview Rounds</w:t>
      </w:r>
      <w:r>
        <w:t xml:space="preserve">, </w:t>
      </w:r>
      <w:r>
        <w:rPr>
          <w:b/>
          <w:bCs/>
        </w:rPr>
        <w:t xml:space="preserve">Interviews</w:t>
      </w:r>
      <w:r>
        <w:t xml:space="preserve">, and </w:t>
      </w:r>
      <w:r>
        <w:rPr>
          <w:b/>
          <w:bCs/>
        </w:rPr>
        <w:t xml:space="preserve">Interview Feedback</w:t>
      </w:r>
      <w:r>
        <w:t xml:space="preserve"> — scheduling and recording interview outcomes per candidate.</w:t>
      </w:r>
    </w:p>
    <w:p>
      <w:pPr>
        <w:pStyle w:val="ListParagraph"/>
        <w:numPr>
          <w:ilvl w:val="0"/>
          <w:numId w:val="1"/>
        </w:numPr>
        <w:spacing w:after="60"/>
      </w:pPr>
      <w:r>
        <w:rPr>
          <w:b/>
          <w:bCs/>
        </w:rPr>
        <w:t xml:space="preserve">Candidate Assessments</w:t>
      </w:r>
      <w:r>
        <w:t xml:space="preserve"> — any structured assessment scoring attached to a candidate.</w:t>
      </w:r>
    </w:p>
    <w:p>
      <w:pPr>
        <w:pStyle w:val="ListParagraph"/>
        <w:numPr>
          <w:ilvl w:val="0"/>
          <w:numId w:val="1"/>
        </w:numPr>
        <w:spacing w:after="60"/>
      </w:pPr>
      <w:r>
        <w:rPr>
          <w:b/>
          <w:bCs/>
        </w:rPr>
        <w:t xml:space="preserve">Offers</w:t>
      </w:r>
      <w:r>
        <w:t xml:space="preserve"> — offer letters and their acceptance/decline status; accepted offers typically feed into onboarding.</w:t>
      </w:r>
    </w:p>
    <w:p>
      <w:pPr>
        <w:pStyle w:val="ListParagraph"/>
        <w:numPr>
          <w:ilvl w:val="0"/>
          <w:numId w:val="1"/>
        </w:numPr>
        <w:spacing w:after="60"/>
      </w:pPr>
      <w:r>
        <w:rPr>
          <w:b/>
          <w:bCs/>
        </w:rPr>
        <w:t xml:space="preserve">Checklist Items</w:t>
      </w:r>
      <w:r>
        <w:t xml:space="preserve">, </w:t>
      </w:r>
      <w:r>
        <w:rPr>
          <w:b/>
          <w:bCs/>
        </w:rPr>
        <w:t xml:space="preserve">Onboarding</w:t>
      </w:r>
      <w:r>
        <w:t xml:space="preserve">, </w:t>
      </w:r>
      <w:r>
        <w:rPr>
          <w:b/>
          <w:bCs/>
        </w:rPr>
        <w:t xml:space="preserve">Onboarding Checklists</w:t>
      </w:r>
      <w:r>
        <w:t xml:space="preserve"> — the new-hire onboarding process and its checklist templates.</w:t>
      </w:r>
    </w:p>
    <w:p>
      <w:pPr>
        <w:pStyle w:val="ListParagraph"/>
        <w:numPr>
          <w:ilvl w:val="0"/>
          <w:numId w:val="1"/>
        </w:numPr>
        <w:spacing w:after="60"/>
      </w:pPr>
      <w:r>
        <w:rPr>
          <w:b/>
          <w:bCs/>
        </w:rPr>
        <w:t xml:space="preserve">Offer Letter Templates</w:t>
      </w:r>
      <w:r>
        <w:t xml:space="preserve"> — templates used when generating an offer.</w:t>
      </w:r>
    </w:p>
    <w:p>
      <w:pPr>
        <w:pStyle w:val="ListParagraph"/>
        <w:numPr>
          <w:ilvl w:val="0"/>
          <w:numId w:val="1"/>
        </w:numPr>
        <w:spacing w:after="60"/>
      </w:pPr>
      <w:r>
        <w:rPr>
          <w:b/>
          <w:bCs/>
        </w:rPr>
        <w:t xml:space="preserve">Job Types</w:t>
      </w:r>
      <w:r>
        <w:t xml:space="preserve">, </w:t>
      </w:r>
      <w:r>
        <w:rPr>
          <w:b/>
          <w:bCs/>
        </w:rPr>
        <w:t xml:space="preserve">Job Locations</w:t>
      </w:r>
      <w:r>
        <w:t xml:space="preserve">, </w:t>
      </w:r>
      <w:r>
        <w:rPr>
          <w:b/>
          <w:bCs/>
        </w:rPr>
        <w:t xml:space="preserve">Candidate Sources</w:t>
      </w:r>
      <w:r>
        <w:t xml:space="preserve">, </w:t>
      </w:r>
      <w:r>
        <w:rPr>
          <w:b/>
          <w:bCs/>
        </w:rPr>
        <w:t xml:space="preserve">Interview Types</w:t>
      </w:r>
      <w:r>
        <w:t xml:space="preserve">, </w:t>
      </w:r>
      <w:r>
        <w:rPr>
          <w:b/>
          <w:bCs/>
        </w:rPr>
        <w:t xml:space="preserve">Application Questions</w:t>
      </w:r>
      <w:r>
        <w:t xml:space="preserve"> — configuration lists used throughout the pipeline above.</w:t>
      </w:r>
    </w:p>
    <w:p>
      <w:pPr>
        <w:pStyle w:val="ListParagraph"/>
        <w:numPr>
          <w:ilvl w:val="0"/>
          <w:numId w:val="1"/>
        </w:numPr>
        <w:spacing w:after="60"/>
      </w:pPr>
      <w:r>
        <w:rPr>
          <w:b/>
          <w:bCs/>
        </w:rPr>
        <w:t xml:space="preserve">System Setup</w:t>
      </w:r>
      <w:r>
        <w:t xml:space="preserve"> — recruitment-module-wide settings.</w:t>
      </w:r>
    </w:p>
    <w:p>
      <w:pPr>
        <w:pBdr>
          <w:bottom w:val="single" w:color="AAAAAA" w:sz="6"/>
        </w:pBdr>
        <w:spacing w:after="200"/>
      </w:pPr>
    </w:p>
    <w:p>
      <w:pPr>
        <w:pStyle w:val="Heading1"/>
        <w:spacing w:after="150" w:before="300"/>
      </w:pPr>
      <w:r>
        <w:t xml:space="preserve">24. Training</w:t>
      </w:r>
    </w:p>
    <w:p>
      <w:pPr>
        <w:pStyle w:val="ListParagraph"/>
        <w:numPr>
          <w:ilvl w:val="0"/>
          <w:numId w:val="1"/>
        </w:numPr>
        <w:spacing w:after="60"/>
      </w:pPr>
      <w:r>
        <w:rPr>
          <w:b/>
          <w:bCs/>
        </w:rPr>
        <w:t xml:space="preserve">Trainings</w:t>
      </w:r>
      <w:r>
        <w:t xml:space="preserve"> — training sessions/courses, who's enrolled, and completion tracking.</w:t>
      </w:r>
    </w:p>
    <w:p>
      <w:pPr>
        <w:pStyle w:val="ListParagraph"/>
        <w:numPr>
          <w:ilvl w:val="0"/>
          <w:numId w:val="1"/>
        </w:numPr>
        <w:spacing w:after="60"/>
      </w:pPr>
      <w:r>
        <w:rPr>
          <w:b/>
          <w:bCs/>
        </w:rPr>
        <w:t xml:space="preserve">Trainers</w:t>
      </w:r>
      <w:r>
        <w:t xml:space="preserve"> and </w:t>
      </w:r>
      <w:r>
        <w:rPr>
          <w:b/>
          <w:bCs/>
        </w:rPr>
        <w:t xml:space="preserve">Training Types</w:t>
      </w:r>
      <w:r>
        <w:t xml:space="preserve"> — the people who deliver training and the categories used to classify it.</w:t>
      </w:r>
    </w:p>
    <w:p>
      <w:pPr>
        <w:pBdr>
          <w:bottom w:val="single" w:color="AAAAAA" w:sz="6"/>
        </w:pBdr>
        <w:spacing w:after="200"/>
      </w:pPr>
    </w:p>
    <w:p>
      <w:pPr>
        <w:pStyle w:val="Heading1"/>
        <w:spacing w:after="150" w:before="300"/>
      </w:pPr>
      <w:r>
        <w:t xml:space="preserve">25. Marketing</w:t>
      </w:r>
    </w:p>
    <w:p>
      <w:pPr>
        <w:pStyle w:val="ListParagraph"/>
        <w:numPr>
          <w:ilvl w:val="0"/>
          <w:numId w:val="1"/>
        </w:numPr>
        <w:spacing w:after="60"/>
      </w:pPr>
      <w:r>
        <w:rPr>
          <w:b/>
          <w:bCs/>
        </w:rPr>
        <w:t xml:space="preserve">Social &amp; Web Analytics</w:t>
      </w:r>
      <w:r>
        <w:t xml:space="preserve"> — a dashboard of marketing/traffic metrics.</w:t>
      </w:r>
    </w:p>
    <w:p>
      <w:pPr>
        <w:pStyle w:val="ListParagraph"/>
        <w:numPr>
          <w:ilvl w:val="0"/>
          <w:numId w:val="1"/>
        </w:numPr>
        <w:spacing w:after="60"/>
      </w:pPr>
      <w:r>
        <w:rPr>
          <w:b/>
          <w:bCs/>
        </w:rPr>
        <w:t xml:space="preserve">Analytics Settings</w:t>
      </w:r>
      <w:r>
        <w:t xml:space="preserve"> — configuration for where that data comes from.</w:t>
      </w:r>
    </w:p>
    <w:p>
      <w:pPr>
        <w:pBdr>
          <w:bottom w:val="single" w:color="AAAAAA" w:sz="6"/>
        </w:pBdr>
        <w:spacing w:after="200"/>
      </w:pPr>
    </w:p>
    <w:p>
      <w:pPr>
        <w:pStyle w:val="Heading1"/>
        <w:spacing w:after="150" w:before="300"/>
      </w:pPr>
      <w:r>
        <w:t xml:space="preserve">26. Settings (admin)</w:t>
      </w:r>
    </w:p>
    <w:p>
      <w:pPr>
        <w:pStyle w:val="ListParagraph"/>
        <w:numPr>
          <w:ilvl w:val="0"/>
          <w:numId w:val="1"/>
        </w:numPr>
        <w:spacing w:after="60"/>
      </w:pPr>
      <w:r>
        <w:rPr>
          <w:b/>
          <w:bCs/>
        </w:rPr>
        <w:t xml:space="preserve">Users</w:t>
      </w:r>
      <w:r>
        <w:t xml:space="preserve"> — staff login accounts: create, edit, deactivate, and assign a role.</w:t>
      </w:r>
    </w:p>
    <w:p>
      <w:pPr>
        <w:pStyle w:val="ListParagraph"/>
        <w:numPr>
          <w:ilvl w:val="0"/>
          <w:numId w:val="1"/>
        </w:numPr>
        <w:spacing w:after="60"/>
      </w:pPr>
      <w:r>
        <w:rPr>
          <w:b/>
          <w:bCs/>
        </w:rPr>
        <w:t xml:space="preserve">Roles</w:t>
      </w:r>
      <w:r>
        <w:t xml:space="preserve"> — the list of roles (Admin, Accountant, Cashier, Collector, HR, Developer, Borrower-portal, etc.), each showing how many users hold it and how many permissions it has, with a </w:t>
      </w:r>
      <w:r>
        <w:rPr>
          <w:b/>
          <w:bCs/>
        </w:rPr>
        <w:t xml:space="preserve">Permissions</w:t>
      </w:r>
      <w:r>
        <w:t xml:space="preserve"> action per role to fine-tune exactly what that role can see and do.</w:t>
      </w:r>
    </w:p>
    <w:p>
      <w:pPr>
        <w:pStyle w:val="ListParagraph"/>
        <w:numPr>
          <w:ilvl w:val="0"/>
          <w:numId w:val="1"/>
        </w:numPr>
        <w:spacing w:after="60"/>
      </w:pPr>
      <w:r>
        <w:rPr>
          <w:b/>
          <w:bCs/>
        </w:rPr>
        <w:t xml:space="preserve">Permissions</w:t>
      </w:r>
      <w:r>
        <w:t xml:space="preserve"> — the master list of individual permissions that roles are built from.</w:t>
      </w:r>
    </w:p>
    <w:p>
      <w:pPr>
        <w:pStyle w:val="ListParagraph"/>
        <w:numPr>
          <w:ilvl w:val="0"/>
          <w:numId w:val="1"/>
        </w:numPr>
        <w:spacing w:after="60"/>
      </w:pPr>
      <w:r>
        <w:rPr>
          <w:b/>
          <w:bCs/>
        </w:rPr>
        <w:t xml:space="preserve">Company Settings</w:t>
      </w:r>
      <w:r>
        <w:t xml:space="preserve"> — legal company details (name, registration/NAMFISA license numbers, tax number, contact details), white-label branding (brand name, primary color, footer tagline, sidebar color, logo/favicon), and Payroll Settings (which weekdays count as working days).</w:t>
      </w:r>
    </w:p>
    <w:p>
      <w:pPr>
        <w:pStyle w:val="ListParagraph"/>
        <w:numPr>
          <w:ilvl w:val="0"/>
          <w:numId w:val="1"/>
        </w:numPr>
        <w:spacing w:after="60"/>
      </w:pPr>
      <w:r>
        <w:rPr>
          <w:b/>
          <w:bCs/>
        </w:rPr>
        <w:t xml:space="preserve">Branches</w:t>
      </w:r>
      <w:r>
        <w:t xml:space="preserve"> — the company's branches; borrowers, loans, and users are all scoped to a branch.</w:t>
      </w:r>
    </w:p>
    <w:p>
      <w:pPr>
        <w:pStyle w:val="ListParagraph"/>
        <w:numPr>
          <w:ilvl w:val="0"/>
          <w:numId w:val="1"/>
        </w:numPr>
        <w:spacing w:after="60"/>
      </w:pPr>
      <w:r>
        <w:rPr>
          <w:b/>
          <w:bCs/>
        </w:rPr>
        <w:t xml:space="preserve">AI Settings</w:t>
      </w:r>
      <w:r>
        <w:t xml:space="preserve"> — configuration for any AI-assisted features in the system.</w:t>
      </w:r>
    </w:p>
    <w:p>
      <w:pPr>
        <w:pStyle w:val="ListParagraph"/>
        <w:numPr>
          <w:ilvl w:val="0"/>
          <w:numId w:val="1"/>
        </w:numPr>
        <w:spacing w:after="60"/>
      </w:pPr>
      <w:r>
        <w:rPr>
          <w:b/>
          <w:bCs/>
        </w:rPr>
        <w:t xml:space="preserve">Intake Sources</w:t>
      </w:r>
      <w:r>
        <w:t xml:space="preserve"> — the list of "how did this borrower/lead find us" sources, used for reporting.</w:t>
      </w:r>
    </w:p>
    <w:p>
      <w:pPr>
        <w:pStyle w:val="ListParagraph"/>
        <w:numPr>
          <w:ilvl w:val="0"/>
          <w:numId w:val="1"/>
        </w:numPr>
        <w:spacing w:after="60"/>
      </w:pPr>
      <w:r>
        <w:rPr>
          <w:b/>
          <w:bCs/>
        </w:rPr>
        <w:t xml:space="preserve">Branch Login IP Restrictions</w:t>
      </w:r>
      <w:r>
        <w:t xml:space="preserve"> — restrict which IP addresses can log in for a given branch, for added security.</w:t>
      </w:r>
    </w:p>
    <w:p>
      <w:pPr>
        <w:pBdr>
          <w:bottom w:val="single" w:color="AAAAAA" w:sz="6"/>
        </w:pBdr>
        <w:spacing w:after="200"/>
      </w:pPr>
    </w:p>
    <w:p>
      <w:pPr>
        <w:pStyle w:val="Heading1"/>
        <w:spacing w:after="150" w:before="300"/>
      </w:pPr>
      <w:r>
        <w:t xml:space="preserve">Appendix: Quick reference for the most common tasks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CCCCCC" w:sz="4"/>
              <w:left w:val="single" w:color="CCCCCC" w:sz="4"/>
              <w:bottom w:val="single" w:color="CCCCCC" w:sz="4"/>
              <w:right w:val="single" w:color="CCCCCC" w:sz="4"/>
            </w:tcBorders>
            <w:shd w:fill="2F5233" w:val="clear"/>
            <w:tcMar>
              <w:top w:type="dxa" w:w="80"/>
              <w:left w:type="dxa" w:w="120"/>
              <w:bottom w:type="dxa" w:w="80"/>
              <w:right w:type="dxa" w:w="120"/>
            </w:tcMar>
          </w:tcPr>
          <w:p>
            <w:r>
              <w:rPr>
                <w:b/>
                <w:bCs/>
                <w:color w:val="FFFFFF"/>
              </w:rPr>
              <w:t xml:space="preserve">I want to...</w:t>
            </w:r>
          </w:p>
        </w:tc>
        <w:tc>
          <w:tcPr>
            <w:tcBorders>
              <w:top w:val="single" w:color="CCCCCC" w:sz="4"/>
              <w:left w:val="single" w:color="CCCCCC" w:sz="4"/>
              <w:bottom w:val="single" w:color="CCCCCC" w:sz="4"/>
              <w:right w:val="single" w:color="CCCCCC" w:sz="4"/>
            </w:tcBorders>
            <w:shd w:fill="2F5233" w:val="clear"/>
            <w:tcMar>
              <w:top w:type="dxa" w:w="80"/>
              <w:left w:type="dxa" w:w="120"/>
              <w:bottom w:type="dxa" w:w="80"/>
              <w:right w:type="dxa" w:w="120"/>
            </w:tcMar>
          </w:tcPr>
          <w:p>
            <w:r>
              <w:rPr>
                <w:b/>
                <w:bCs/>
                <w:color w:val="FFFFFF"/>
              </w:rPr>
              <w:t xml:space="preserve">Go to...</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Add a new borrower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Borrowers → Add Borrower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Start a new loan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Loans → New Loan (or "New Loan" from a borrower's profile)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See a loan's full schedule and take actions on it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Loans → Loan List → click the loan</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Record a cash/bank/wallet payment</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Collections → Payments → Record Payment</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 up automatic bank collection on a loan</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Open the loan → Register Debit Order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Split one installment into several smaller debits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Debit Orders → register/edit → turn on splitting</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See/merge the parts of a split debit order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Debit Orders list → click the split icon on that order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Pull in the latest debit order results from the bank</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Collections → Collection Reports → Download Payments from Collexia (or Import Report for a manual file)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Process money owed back to a borrower</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Collections → Refund Claims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Apply for my own leave / see my payslips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My HR</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Approve someone else's leave</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Attendance &amp; Leave → Leave Applications</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Change what a role can access</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Settings → Roles → Permissions (next to the role)</w:t>
            </w:r>
          </w:p>
        </w:tc>
      </w:tr>
      <w:tr>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Update the company logo/branding</w:t>
            </w:r>
          </w:p>
        </w:tc>
        <w:tc>
          <w:tcPr>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Settings → Company Settings</w:t>
            </w:r>
          </w:p>
        </w:tc>
      </w:tr>
    </w:tbl>
    <w:p>
      <w:pPr>
        <w:spacing w:after="200"/>
      </w:pPr>
    </w:p>
    <w:p>
      <w:pPr>
        <w:pBdr>
          <w:bottom w:val="single" w:color="AAAAAA" w:sz="6"/>
        </w:pBdr>
        <w:spacing w:after="200"/>
      </w:pPr>
    </w:p>
    <w:p>
      <w:pPr>
        <w:spacing w:after="200"/>
        <w:jc w:val="center"/>
      </w:pPr>
      <w:r>
        <w:rPr>
          <w:i/>
          <w:iCs/>
          <w:color w:val="666666"/>
        </w:rPr>
        <w:t xml:space="preserve">This guide reflects the system as configured in this environment. Some modules may be hidden for your account depending on your assigned role — contact an administrator if you believe you're missing access you need.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2026-08-25T07:15:09.772Z</dcterms:created>
  <dcterms:modified xsi:type="dcterms:W3CDTF">2026-08-25T07:15:09.801Z</dcterms:modified>
</cp:coreProperties>
</file>

<file path=docProps/custom.xml><?xml version="1.0" encoding="utf-8"?>
<Properties xmlns="http://schemas.openxmlformats.org/officeDocument/2006/custom-properties" xmlns:vt="http://schemas.openxmlformats.org/officeDocument/2006/docPropsVTypes"/>
</file>