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1"/>
          <w:trHeight w:val="1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before="60" w:line="360" w:lineRule="auto"/>
              <w:ind w:hanging="142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066800" cy="10668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before="60" w:line="360" w:lineRule="auto"/>
              <w:ind w:firstLine="567"/>
              <w:jc w:val="center"/>
              <w:rPr>
                <w:rFonts w:ascii="Times New Roman" w:cs="Times New Roman" w:eastAsia="Times New Roman" w:hAnsi="Times New Roman"/>
                <w:smallCaps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rtl w:val="0"/>
              </w:rPr>
              <w:t xml:space="preserve">МИНОБРНАУКИ РОССИИ</w:t>
            </w:r>
          </w:p>
        </w:tc>
      </w:tr>
      <w:tr>
        <w:trPr>
          <w:cantSplit w:val="1"/>
          <w:trHeight w:val="141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16" w:lineRule="auto"/>
              <w:ind w:left="0" w:right="0" w:firstLine="567"/>
              <w:jc w:val="center"/>
              <w:rPr>
                <w:rFonts w:ascii="Liberation Serif" w:cs="Liberation Serif" w:eastAsia="Liberation Serif" w:hAnsi="Liberation Serif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«МИРЭА </w:t>
            </w:r>
            <w:r w:rsidDel="00000000" w:rsidR="00000000" w:rsidRPr="00000000">
              <w:rPr>
                <w:rFonts w:ascii="Symbol" w:cs="Symbol" w:eastAsia="Symbol" w:hAnsi="Symbo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−</w:t>
            </w: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Российский технологический университет»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360" w:lineRule="auto"/>
              <w:ind w:firstLine="567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 РТУ 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  <mc:AlternateContent>
                <mc:Choice Requires="wpg">
                  <w:drawing>
                    <wp:inline distB="0" distT="0" distL="0" distR="0">
                      <wp:extent cx="5600700" cy="381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dbl" w="381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5600700" cy="38100"/>
                      <wp:effectExtent b="0" l="0" r="0" t="0"/>
                      <wp:docPr id="1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0070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Институт информационных технологий (ИИТ)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практической и прикладной информатики (ППИ)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ПРАКТИЧЕСКОЙ РАБОТЕ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«Моделирование бизнес-процессов»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Практическое занятие № 5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47"/>
        <w:gridCol w:w="4819"/>
        <w:gridCol w:w="1106"/>
        <w:gridCol w:w="560"/>
        <w:gridCol w:w="1106"/>
        <w:tblGridChange w:id="0">
          <w:tblGrid>
            <w:gridCol w:w="2547"/>
            <w:gridCol w:w="4819"/>
            <w:gridCol w:w="1106"/>
            <w:gridCol w:w="560"/>
            <w:gridCol w:w="11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группы </w:t>
            </w:r>
            <w:r w:rsidDel="00000000" w:rsidR="00000000" w:rsidRPr="00000000">
              <w:rPr>
                <w:color w:val="ffffff"/>
                <w:rtl w:val="0"/>
              </w:rPr>
              <w:t xml:space="preserve">ИНБО-01-17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ИКБО-20-21 Алинбеков А.Т.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 w14:paraId="0000001A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Ахмедова Х.Г.</w:t>
            </w:r>
          </w:p>
          <w:p w:rsidR="00000000" w:rsidDel="00000000" w:rsidP="00000000" w:rsidRDefault="00000000" w:rsidRPr="00000000" w14:paraId="0000001C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bottom w:color="000000" w:space="1" w:sz="12" w:val="single"/>
              </w:pBd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ind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Отчет представлен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«___»________202__г.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Москва 202_ г.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занятия: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Самостоятельное моделирование бизнес-процесса согласно выданному варианту в методологии IDEF0.</w:t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5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выданного преподавателем варианта построить контекстную диаграмму, детализацию контекстной диаграммы, детализацию одного из подпроцессов.</w:t>
      </w:r>
    </w:p>
    <w:p w:rsidR="00000000" w:rsidDel="00000000" w:rsidP="00000000" w:rsidRDefault="00000000" w:rsidRPr="00000000" w14:paraId="00000036">
      <w:pPr>
        <w:widowControl w:val="1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работы:</w:t>
      </w:r>
    </w:p>
    <w:p w:rsidR="00000000" w:rsidDel="00000000" w:rsidP="00000000" w:rsidRDefault="00000000" w:rsidRPr="00000000" w14:paraId="00000037">
      <w:pPr>
        <w:widowControl w:val="1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Построенный и сохраненный в файле текстового формата текстовое описание бизнес-процесса, сам бизнеспроцесс, представленный преподавателю в конце практического занятия (в качестве закрепления принципов методологии IDEF0 требуется от студента сделать публичную защиту по результатам построенных процессов)</w:t>
      </w:r>
    </w:p>
    <w:p w:rsidR="00000000" w:rsidDel="00000000" w:rsidP="00000000" w:rsidRDefault="00000000" w:rsidRPr="00000000" w14:paraId="00000038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1: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Производство кирпичей: </w:t>
      </w:r>
    </w:p>
    <w:p w:rsidR="00000000" w:rsidDel="00000000" w:rsidP="00000000" w:rsidRDefault="00000000" w:rsidRPr="00000000" w14:paraId="0000003B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Входы: Залежи грунта;</w:t>
      </w:r>
    </w:p>
    <w:p w:rsidR="00000000" w:rsidDel="00000000" w:rsidP="00000000" w:rsidRDefault="00000000" w:rsidRPr="00000000" w14:paraId="0000003C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Выходы: Готовые кирпичи;</w:t>
      </w:r>
    </w:p>
    <w:p w:rsidR="00000000" w:rsidDel="00000000" w:rsidP="00000000" w:rsidRDefault="00000000" w:rsidRPr="00000000" w14:paraId="0000003D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Механизмы: Производственное оборудование, Оборудование для переработки грунта, Техническое оборудование для добычи грунта, Землекоп, Работник завода;</w:t>
      </w:r>
    </w:p>
    <w:p w:rsidR="00000000" w:rsidDel="00000000" w:rsidP="00000000" w:rsidRDefault="00000000" w:rsidRPr="00000000" w14:paraId="0000003E">
      <w:pPr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Управление: Техника безопасности, Указания по переработке грунта;</w:t>
      </w:r>
    </w:p>
    <w:p w:rsidR="00000000" w:rsidDel="00000000" w:rsidP="00000000" w:rsidRDefault="00000000" w:rsidRPr="00000000" w14:paraId="0000003F">
      <w:pPr>
        <w:widowControl w:val="1"/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Добыча грунта;</w:t>
      </w:r>
    </w:p>
    <w:p w:rsidR="00000000" w:rsidDel="00000000" w:rsidP="00000000" w:rsidRDefault="00000000" w:rsidRPr="00000000" w14:paraId="00000040">
      <w:pPr>
        <w:widowControl w:val="1"/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Входы: Залежи грунта;</w:t>
      </w:r>
    </w:p>
    <w:p w:rsidR="00000000" w:rsidDel="00000000" w:rsidP="00000000" w:rsidRDefault="00000000" w:rsidRPr="00000000" w14:paraId="00000041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Выходы: Добытый грунт;</w:t>
      </w:r>
    </w:p>
    <w:p w:rsidR="00000000" w:rsidDel="00000000" w:rsidP="00000000" w:rsidRDefault="00000000" w:rsidRPr="00000000" w14:paraId="00000042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Механизмы: Техническое оборудование для добычи грунта, Землекоп;</w:t>
      </w:r>
    </w:p>
    <w:p w:rsidR="00000000" w:rsidDel="00000000" w:rsidP="00000000" w:rsidRDefault="00000000" w:rsidRPr="00000000" w14:paraId="00000043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Управление: Техника безопасности;</w:t>
      </w:r>
    </w:p>
    <w:p w:rsidR="00000000" w:rsidDel="00000000" w:rsidP="00000000" w:rsidRDefault="00000000" w:rsidRPr="00000000" w14:paraId="00000044">
      <w:pPr>
        <w:widowControl w:val="1"/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Выделение глины; </w:t>
      </w:r>
    </w:p>
    <w:p w:rsidR="00000000" w:rsidDel="00000000" w:rsidP="00000000" w:rsidRDefault="00000000" w:rsidRPr="00000000" w14:paraId="00000045">
      <w:pPr>
        <w:widowControl w:val="1"/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Входы: Добытый грунт;</w:t>
      </w:r>
    </w:p>
    <w:p w:rsidR="00000000" w:rsidDel="00000000" w:rsidP="00000000" w:rsidRDefault="00000000" w:rsidRPr="00000000" w14:paraId="00000046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Выходы: Выделенная глина;</w:t>
      </w:r>
    </w:p>
    <w:p w:rsidR="00000000" w:rsidDel="00000000" w:rsidP="00000000" w:rsidRDefault="00000000" w:rsidRPr="00000000" w14:paraId="00000047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Механизмы: Оборудование для переработки грунта, Работник завода;</w:t>
      </w:r>
    </w:p>
    <w:p w:rsidR="00000000" w:rsidDel="00000000" w:rsidP="00000000" w:rsidRDefault="00000000" w:rsidRPr="00000000" w14:paraId="00000048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Управление: Техника безопасности, Указания по переработке грунта;</w:t>
      </w:r>
    </w:p>
    <w:p w:rsidR="00000000" w:rsidDel="00000000" w:rsidP="00000000" w:rsidRDefault="00000000" w:rsidRPr="00000000" w14:paraId="00000049">
      <w:pPr>
        <w:widowControl w:val="1"/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Формировка и обжиг:</w:t>
      </w:r>
    </w:p>
    <w:p w:rsidR="00000000" w:rsidDel="00000000" w:rsidP="00000000" w:rsidRDefault="00000000" w:rsidRPr="00000000" w14:paraId="0000004A">
      <w:pPr>
        <w:widowControl w:val="1"/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Входы: Выделенная глина;</w:t>
      </w:r>
    </w:p>
    <w:p w:rsidR="00000000" w:rsidDel="00000000" w:rsidP="00000000" w:rsidRDefault="00000000" w:rsidRPr="00000000" w14:paraId="0000004B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Выходы: Готовые кирпичи;</w:t>
      </w:r>
    </w:p>
    <w:p w:rsidR="00000000" w:rsidDel="00000000" w:rsidP="00000000" w:rsidRDefault="00000000" w:rsidRPr="00000000" w14:paraId="0000004C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Механизмы: Производственное оборудование,  Работник завода;</w:t>
      </w:r>
    </w:p>
    <w:p w:rsidR="00000000" w:rsidDel="00000000" w:rsidP="00000000" w:rsidRDefault="00000000" w:rsidRPr="00000000" w14:paraId="0000004D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Управление: Техника безопасности;</w:t>
      </w:r>
    </w:p>
    <w:p w:rsidR="00000000" w:rsidDel="00000000" w:rsidP="00000000" w:rsidRDefault="00000000" w:rsidRPr="00000000" w14:paraId="0000004E">
      <w:pPr>
        <w:widowControl w:val="1"/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глины;</w:t>
      </w:r>
    </w:p>
    <w:p w:rsidR="00000000" w:rsidDel="00000000" w:rsidP="00000000" w:rsidRDefault="00000000" w:rsidRPr="00000000" w14:paraId="0000004F">
      <w:pPr>
        <w:widowControl w:val="1"/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Входы: Выделенная глина;</w:t>
      </w:r>
    </w:p>
    <w:p w:rsidR="00000000" w:rsidDel="00000000" w:rsidP="00000000" w:rsidRDefault="00000000" w:rsidRPr="00000000" w14:paraId="00000050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Выходы: Подготовленная глина;</w:t>
      </w:r>
    </w:p>
    <w:p w:rsidR="00000000" w:rsidDel="00000000" w:rsidP="00000000" w:rsidRDefault="00000000" w:rsidRPr="00000000" w14:paraId="00000051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Механизмы: Производственное оборудование,  Работник завода;</w:t>
      </w:r>
    </w:p>
    <w:p w:rsidR="00000000" w:rsidDel="00000000" w:rsidP="00000000" w:rsidRDefault="00000000" w:rsidRPr="00000000" w14:paraId="00000052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Управление: Техника безопасности;</w:t>
      </w:r>
    </w:p>
    <w:p w:rsidR="00000000" w:rsidDel="00000000" w:rsidP="00000000" w:rsidRDefault="00000000" w:rsidRPr="00000000" w14:paraId="00000053">
      <w:pPr>
        <w:widowControl w:val="1"/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кирпичей;</w:t>
      </w:r>
    </w:p>
    <w:p w:rsidR="00000000" w:rsidDel="00000000" w:rsidP="00000000" w:rsidRDefault="00000000" w:rsidRPr="00000000" w14:paraId="00000054">
      <w:pPr>
        <w:widowControl w:val="1"/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Входы: Подготовленная глина;</w:t>
      </w:r>
    </w:p>
    <w:p w:rsidR="00000000" w:rsidDel="00000000" w:rsidP="00000000" w:rsidRDefault="00000000" w:rsidRPr="00000000" w14:paraId="00000055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Выходы: Сформированные кирпичи;</w:t>
      </w:r>
    </w:p>
    <w:p w:rsidR="00000000" w:rsidDel="00000000" w:rsidP="00000000" w:rsidRDefault="00000000" w:rsidRPr="00000000" w14:paraId="00000056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Механизмы: Производственное оборудование,  Работник завода;</w:t>
      </w:r>
    </w:p>
    <w:p w:rsidR="00000000" w:rsidDel="00000000" w:rsidP="00000000" w:rsidRDefault="00000000" w:rsidRPr="00000000" w14:paraId="00000057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Управление: Техника безопасности;</w:t>
      </w:r>
    </w:p>
    <w:p w:rsidR="00000000" w:rsidDel="00000000" w:rsidP="00000000" w:rsidRDefault="00000000" w:rsidRPr="00000000" w14:paraId="00000058">
      <w:pPr>
        <w:widowControl w:val="1"/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Обжиг кирпичей;</w:t>
      </w:r>
    </w:p>
    <w:p w:rsidR="00000000" w:rsidDel="00000000" w:rsidP="00000000" w:rsidRDefault="00000000" w:rsidRPr="00000000" w14:paraId="00000059">
      <w:pPr>
        <w:widowControl w:val="1"/>
        <w:spacing w:line="36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Входы: Сформированные кирпичи;</w:t>
      </w:r>
    </w:p>
    <w:p w:rsidR="00000000" w:rsidDel="00000000" w:rsidP="00000000" w:rsidRDefault="00000000" w:rsidRPr="00000000" w14:paraId="0000005A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Выходы: Готовые кирпичи;</w:t>
      </w:r>
    </w:p>
    <w:p w:rsidR="00000000" w:rsidDel="00000000" w:rsidP="00000000" w:rsidRDefault="00000000" w:rsidRPr="00000000" w14:paraId="0000005B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Механизмы: Производственное оборудование,  Работник завода;</w:t>
      </w:r>
    </w:p>
    <w:p w:rsidR="00000000" w:rsidDel="00000000" w:rsidP="00000000" w:rsidRDefault="00000000" w:rsidRPr="00000000" w14:paraId="0000005C">
      <w:pPr>
        <w:widowControl w:val="1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Управление: Техника безопасности;</w:t>
      </w:r>
    </w:p>
    <w:p w:rsidR="00000000" w:rsidDel="00000000" w:rsidP="00000000" w:rsidRDefault="00000000" w:rsidRPr="00000000" w14:paraId="0000005D">
      <w:pPr>
        <w:widowControl w:val="1"/>
        <w:spacing w:line="360" w:lineRule="auto"/>
        <w:ind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140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Контекстная диаграмма </w:t>
      </w:r>
    </w:p>
    <w:p w:rsidR="00000000" w:rsidDel="00000000" w:rsidP="00000000" w:rsidRDefault="00000000" w:rsidRPr="00000000" w14:paraId="0000005F">
      <w:pPr>
        <w:widowControl w:val="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11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Декомпозиция концептуальной модели</w:t>
      </w:r>
    </w:p>
    <w:p w:rsidR="00000000" w:rsidDel="00000000" w:rsidP="00000000" w:rsidRDefault="00000000" w:rsidRPr="00000000" w14:paraId="00000061">
      <w:pPr>
        <w:widowControl w:val="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127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Декомпозиция одного из подпроцессов</w:t>
      </w:r>
    </w:p>
    <w:p w:rsidR="00000000" w:rsidDel="00000000" w:rsidP="00000000" w:rsidRDefault="00000000" w:rsidRPr="00000000" w14:paraId="00000063">
      <w:pPr>
        <w:widowControl w:val="1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 и литературы: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Методические указания к практической работе по дисциплине “Моделирование бизнес - процессов” [Электронный ресурс]: Режим доступа: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https://online-edu.mirea.ru/mod/resource/view.php?id=496092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[Дата обращения : 06.09.2023]</w:t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Symbol"/>
  <w:font w:name="Time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8"/>
      <w:szCs w:val="28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nline-edu.mirea.ru/mod/resource/view.php?id=496092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