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  <w:r>
              <w:br w:type="textWrapping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hint="default" w:cs="Times New Roman"/>
          <w:b/>
          <w:sz w:val="32"/>
          <w:szCs w:val="32"/>
          <w:lang w:val="en-US"/>
        </w:rPr>
        <w:t>5</w:t>
      </w:r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 1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7"/>
        <w:tblW w:w="101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106"/>
        <w:gridCol w:w="560"/>
        <w:gridCol w:w="1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hint="default" w:cs="Times New Roman"/>
                <w:lang w:val="ru-RU"/>
              </w:rPr>
            </w:pPr>
            <w:r>
              <w:rPr>
                <w:rFonts w:cs="Times New Roman"/>
              </w:rPr>
              <w:t>ИКБО-20-21</w:t>
            </w:r>
            <w:r>
              <w:rPr>
                <w:rFonts w:hint="default"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Сидоров</w:t>
            </w:r>
            <w:r>
              <w:rPr>
                <w:rFonts w:hint="default" w:cs="Times New Roman"/>
                <w:lang w:val="ru-RU"/>
              </w:rPr>
              <w:t xml:space="preserve"> С.Д.</w:t>
            </w: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Ахмедова Х.Г.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>
            <w:pPr>
              <w:ind w:firstLine="567"/>
              <w:jc w:val="left"/>
              <w:rPr>
                <w:rFonts w:cs="Times New Roman"/>
              </w:rPr>
            </w:pPr>
          </w:p>
          <w:p>
            <w:pPr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u w:val="single"/>
              </w:rPr>
              <w:t>«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hint="default" w:cs="Times New Roman"/>
                <w:u w:val="single"/>
                <w:lang w:val="en-US"/>
              </w:rPr>
              <w:t>18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>»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сентября </w:t>
            </w:r>
            <w:r>
              <w:rPr>
                <w:rFonts w:cs="Times New Roman"/>
              </w:rPr>
              <w:t>2023 г.</w:t>
            </w:r>
          </w:p>
        </w:tc>
        <w:tc>
          <w:tcPr>
            <w:tcW w:w="1666" w:type="dxa"/>
            <w:gridSpan w:val="2"/>
          </w:tcPr>
          <w:p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 г.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Самостоятельное моделирование бизнес-процесса согласно выданному варианту в методологии IDEF0.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 основе выданного преподавателем варианта построить контекстную диаграмму, детализацию контекстной диаграммы, детализацию одного из подпроцессов.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>
      <w:pPr>
        <w:widowControl/>
        <w:suppressAutoHyphens w:val="0"/>
        <w:spacing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Построенный и сохраненный в файле текстового формата текстовое описание бизнес-процесса, сам бизнеспроцесс, представленный преподавателю в конце практического занятия (в качестве закрепления принципов методологии IDEF0 требуется от студента сделать публичную защиту по результатам построенных процессов)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.</w:t>
      </w:r>
    </w:p>
    <w:p>
      <w:pPr>
        <w:widowControl/>
        <w:suppressAutoHyphens w:val="0"/>
        <w:spacing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Вариант 21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widowControl/>
        <w:numPr>
          <w:ilvl w:val="0"/>
          <w:numId w:val="1"/>
        </w:numPr>
        <w:suppressAutoHyphens w:val="0"/>
        <w:spacing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Производство бумажных обоев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Входы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флизелин, поливинилхлорид, краска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упаковка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;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Выходы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упакованные рулоны бумажных обоев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;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Механизмы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мастер по гравировке, технолог, упаковщик, аппаратный комплекс производства, упаковочный конвеер, дизайнер, логист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;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Управление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ГОСТ 6810-2002 «Обои. Технические условия»,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Техника безопасности, дизайн рисунка, стандарт транспортировки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>;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А) Изготовление бумажных рулонов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>;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Входы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флизелин, поливинилхлорид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Выходы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рулоны обойной бумаги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Механизмы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технолог, аппаратный комплекс производства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Управление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ГОСТ 6810-2002 «Обои. Технические условия»,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Техника безопасности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>;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Б) Печать рисунка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>;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Входы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краски, рулоны обойной бумаги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>;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Выходы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 xml:space="preserve">бумажные обои с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>нанесённым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 xml:space="preserve"> рисунком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>;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Управление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ГОСТ 6810-2002 «Обои. Технические условия»,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Техника безопасности, дизайн рисунка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Механизмы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мастер по гравировке, технолог, дизайнер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>;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В) Подготовка к упаковке и упаковка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Входы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бумажные обои с нанесенным рисунком, упаковка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>;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Выходы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коробки с бумажными обоями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>;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Управление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стандарт транспортировки, техника безопасности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Механизмы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упаковочный конвеер, упаковщик,  логист</w:t>
      </w:r>
    </w:p>
    <w:p>
      <w:pPr>
        <w:widowControl/>
        <w:numPr>
          <w:ilvl w:val="0"/>
          <w:numId w:val="2"/>
        </w:numPr>
        <w:suppressAutoHyphens w:val="0"/>
        <w:spacing w:line="360" w:lineRule="auto"/>
        <w:ind w:left="2124" w:leftChars="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Сушка обоев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>;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ind w:left="2124" w:leftChars="0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Входы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бумажные обои с нанесенным рисунком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ind w:left="2124" w:leftChars="0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Выходы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просушенные обои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ind w:left="2124" w:leftChars="0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Управление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техника безопасности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ind w:left="2124" w:leftChars="0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Механизмы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упаковщик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,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упаковочный конвеер</w:t>
      </w:r>
    </w:p>
    <w:p>
      <w:pPr>
        <w:widowControl/>
        <w:numPr>
          <w:ilvl w:val="0"/>
          <w:numId w:val="2"/>
        </w:numPr>
        <w:suppressAutoHyphens w:val="0"/>
        <w:spacing w:line="360" w:lineRule="auto"/>
        <w:ind w:left="2124" w:leftChars="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Подготовка к упаковке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>;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Входы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просушенные обои с нанесенным рисунком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Выходы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рулоны обоев с нанесенным рисунком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Управление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стандарт транспортировки, техника безопасности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Механизмы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упаковщик, упаковочный конвеер</w:t>
      </w:r>
    </w:p>
    <w:p>
      <w:pPr>
        <w:widowControl/>
        <w:numPr>
          <w:ilvl w:val="0"/>
          <w:numId w:val="2"/>
        </w:numPr>
        <w:suppressAutoHyphens w:val="0"/>
        <w:spacing w:line="360" w:lineRule="auto"/>
        <w:ind w:left="2124" w:leftChars="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Упаковка обоев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>;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Входы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рулоны обоев</w:t>
      </w:r>
      <w:bookmarkStart w:id="0" w:name="_GoBack"/>
      <w:bookmarkEnd w:id="0"/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Выходы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коробки у рулонами обоев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Управление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стандарт транспортировки, техника безопасности</w:t>
      </w:r>
    </w:p>
    <w:p>
      <w:pPr>
        <w:widowControl/>
        <w:numPr>
          <w:ilvl w:val="0"/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Механизмы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упаковочный конвеер, упаковщик логист</w:t>
      </w:r>
    </w:p>
    <w:p>
      <w:pPr>
        <w:widowControl/>
        <w:suppressAutoHyphens w:val="0"/>
        <w:spacing w:line="360" w:lineRule="auto"/>
        <w:ind w:firstLine="709"/>
        <w:jc w:val="center"/>
      </w:pPr>
      <w:r>
        <w:drawing>
          <wp:inline distT="0" distB="0" distL="114300" distR="114300">
            <wp:extent cx="5468620" cy="3627755"/>
            <wp:effectExtent l="0" t="0" r="17780" b="1079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ind w:firstLine="709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Контекстная диаграмма «Производство бумажных обоев»</w:t>
      </w:r>
    </w:p>
    <w:p>
      <w:pPr>
        <w:widowControl/>
        <w:suppressAutoHyphens w:val="0"/>
        <w:spacing w:line="360" w:lineRule="auto"/>
        <w:ind w:firstLine="709"/>
        <w:jc w:val="center"/>
      </w:pPr>
      <w:r>
        <w:drawing>
          <wp:inline distT="0" distB="0" distL="114300" distR="114300">
            <wp:extent cx="5442585" cy="3618230"/>
            <wp:effectExtent l="0" t="0" r="5715" b="127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ind w:firstLine="709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Контекстная диаграма подпроцессов</w:t>
      </w:r>
    </w:p>
    <w:p>
      <w:pPr>
        <w:widowControl/>
        <w:suppressAutoHyphens w:val="0"/>
        <w:spacing w:line="360" w:lineRule="auto"/>
        <w:ind w:firstLine="709"/>
        <w:jc w:val="center"/>
      </w:pPr>
      <w:r>
        <w:drawing>
          <wp:inline distT="0" distB="0" distL="114300" distR="114300">
            <wp:extent cx="5940425" cy="3954780"/>
            <wp:effectExtent l="0" t="0" r="317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ind w:firstLine="709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Контекстная диаграмма подпроцесса «Подготовка к упаковке и упаковка»</w:t>
      </w:r>
    </w:p>
    <w:p>
      <w:pPr>
        <w:widowControl/>
        <w:suppressAutoHyphens w:val="0"/>
        <w:spacing w:line="360" w:lineRule="auto"/>
        <w:ind w:firstLine="709"/>
        <w:jc w:val="center"/>
        <w:rPr>
          <w:rFonts w:hint="default"/>
          <w:lang w:val="ru-RU"/>
        </w:rPr>
      </w:pPr>
    </w:p>
    <w:p>
      <w:pPr>
        <w:widowControl/>
        <w:suppressAutoHyphens w:val="0"/>
        <w:spacing w:line="360" w:lineRule="auto"/>
        <w:ind w:firstLine="709"/>
        <w:jc w:val="center"/>
        <w:rPr>
          <w:rFonts w:hint="default"/>
          <w:lang w:val="ru-RU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>
      <w:pPr>
        <w:widowControl/>
        <w:suppressAutoHyphens w:val="0"/>
        <w:spacing w:line="360" w:lineRule="auto"/>
        <w:ind w:left="0" w:leftChars="0" w:firstLine="708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9"/>
        <w:widowControl/>
        <w:numPr>
          <w:ilvl w:val="0"/>
          <w:numId w:val="3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>
      <w:pPr>
        <w:pStyle w:val="9"/>
        <w:widowControl/>
        <w:numPr>
          <w:ilvl w:val="0"/>
          <w:numId w:val="3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/450550 </w:t>
      </w:r>
    </w:p>
    <w:p>
      <w:pPr>
        <w:pStyle w:val="9"/>
        <w:widowControl/>
        <w:numPr>
          <w:ilvl w:val="0"/>
          <w:numId w:val="3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/469152 </w:t>
      </w:r>
    </w:p>
    <w:p>
      <w:pPr>
        <w:pStyle w:val="9"/>
        <w:widowControl/>
        <w:numPr>
          <w:ilvl w:val="0"/>
          <w:numId w:val="3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>/450997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AF0FE"/>
    <w:multiLevelType w:val="singleLevel"/>
    <w:tmpl w:val="BAEAF0F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7D10EF6"/>
    <w:multiLevelType w:val="multilevel"/>
    <w:tmpl w:val="07D10EF6"/>
    <w:lvl w:ilvl="0" w:tentative="0">
      <w:start w:val="1"/>
      <w:numFmt w:val="upperRoman"/>
      <w:suff w:val="space"/>
      <w:lvlText w:val="%1)"/>
      <w:lvlJc w:val="left"/>
      <w:pPr>
        <w:ind w:left="2124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964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3384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804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4224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4644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5064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5484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904" w:leftChars="0" w:hanging="420" w:firstLineChars="0"/>
      </w:pPr>
      <w:rPr>
        <w:rFonts w:hint="default"/>
      </w:rPr>
    </w:lvl>
  </w:abstractNum>
  <w:abstractNum w:abstractNumId="2">
    <w:nsid w:val="34BC4CDF"/>
    <w:multiLevelType w:val="multilevel"/>
    <w:tmpl w:val="34BC4CDF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1D1088"/>
    <w:rsid w:val="00271E7D"/>
    <w:rsid w:val="00282B48"/>
    <w:rsid w:val="002C148D"/>
    <w:rsid w:val="002C29E7"/>
    <w:rsid w:val="00326046"/>
    <w:rsid w:val="003568D7"/>
    <w:rsid w:val="00367BF0"/>
    <w:rsid w:val="00417B3F"/>
    <w:rsid w:val="004B10A8"/>
    <w:rsid w:val="004B1AF0"/>
    <w:rsid w:val="004E7453"/>
    <w:rsid w:val="00504C6E"/>
    <w:rsid w:val="00512DAD"/>
    <w:rsid w:val="00515276"/>
    <w:rsid w:val="00520A6A"/>
    <w:rsid w:val="00540A0E"/>
    <w:rsid w:val="005E4C65"/>
    <w:rsid w:val="005F248F"/>
    <w:rsid w:val="005F4901"/>
    <w:rsid w:val="006006DE"/>
    <w:rsid w:val="00607B79"/>
    <w:rsid w:val="00623B3E"/>
    <w:rsid w:val="0062537E"/>
    <w:rsid w:val="00654B40"/>
    <w:rsid w:val="0069108C"/>
    <w:rsid w:val="006A1EA5"/>
    <w:rsid w:val="006B28EF"/>
    <w:rsid w:val="006C1FD4"/>
    <w:rsid w:val="006C242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172C3"/>
    <w:rsid w:val="00955C60"/>
    <w:rsid w:val="00966F0F"/>
    <w:rsid w:val="00971409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41FCB"/>
    <w:rsid w:val="00B61F70"/>
    <w:rsid w:val="00B77475"/>
    <w:rsid w:val="00B97C75"/>
    <w:rsid w:val="00C24A31"/>
    <w:rsid w:val="00C46684"/>
    <w:rsid w:val="00CC2940"/>
    <w:rsid w:val="00CE750F"/>
    <w:rsid w:val="00D159CB"/>
    <w:rsid w:val="00D45D73"/>
    <w:rsid w:val="00D7512E"/>
    <w:rsid w:val="00DF43FA"/>
    <w:rsid w:val="00DF6BE5"/>
    <w:rsid w:val="00E8449B"/>
    <w:rsid w:val="00E97546"/>
    <w:rsid w:val="00EE3607"/>
    <w:rsid w:val="00F55E09"/>
    <w:rsid w:val="00F70F03"/>
    <w:rsid w:val="00FA0B44"/>
    <w:rsid w:val="06550812"/>
    <w:rsid w:val="06FD3436"/>
    <w:rsid w:val="08B1521C"/>
    <w:rsid w:val="0A847757"/>
    <w:rsid w:val="11C8C723"/>
    <w:rsid w:val="14E97D84"/>
    <w:rsid w:val="1D9A7091"/>
    <w:rsid w:val="20701CD7"/>
    <w:rsid w:val="2944602A"/>
    <w:rsid w:val="294C1C0F"/>
    <w:rsid w:val="29F55FFF"/>
    <w:rsid w:val="6A07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qFormat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qFormat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Основной текст Знак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qFormat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qFormat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CB8479-135A-42E5-92B0-419D639AB5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294</Words>
  <Characters>1682</Characters>
  <Lines>14</Lines>
  <Paragraphs>3</Paragraphs>
  <TotalTime>26</TotalTime>
  <ScaleCrop>false</ScaleCrop>
  <LinksUpToDate>false</LinksUpToDate>
  <CharactersWithSpaces>1973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cp:lastModifiedBy>Mr. Shiz</cp:lastModifiedBy>
  <dcterms:modified xsi:type="dcterms:W3CDTF">2023-09-18T10:20:47Z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5401EB3EA7C2473584B07B7A05B601FA</vt:lpwstr>
  </property>
</Properties>
</file>