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7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BmuQ81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</w:rPr>
      </w:pPr>
    </w:p>
    <w:p>
      <w:pPr>
        <w:rPr>
          <w:b/>
          <w:sz w:val="22"/>
          <w:szCs w:val="2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24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7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ИКБО-20-21, Сидоров С.Д.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Преподаватель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</w:pPr>
            <w:r>
              <w:t>«___»________2023г.</w:t>
            </w:r>
          </w:p>
        </w:tc>
      </w:tr>
    </w:tbl>
    <w:p>
      <w:pPr>
        <w:jc w:val="center"/>
      </w:pPr>
    </w:p>
    <w:p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занятия: </w:t>
      </w:r>
      <w:r>
        <w:rPr>
          <w:rFonts w:ascii="Times New Roman" w:hAnsi="Times New Roman" w:cs="Times New Roman"/>
          <w:sz w:val="28"/>
          <w:szCs w:val="28"/>
        </w:rPr>
        <w:t>описание бизнес-процесса с помощью DFD-диаграммы.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  <w:szCs w:val="28"/>
        </w:rPr>
        <w:t>в интерактивном режиме изучить возможности построения бизнес-процесса в нотации Гейна-Сарсона.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>: построенная и сохраненная в файл DFD-диаграмма, представленная преподавателю в конце практического занятия.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 (интерактивное)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процесс «Построить дом» в виде DFD-диаграммы в нотации Гейна-Сарсона. Сформировать: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контекстную диаграмму;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декомпозицию контекстной диаграммы;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декомпозицию одного из подпроцессов.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моделирования осуществить переименование работ согласно правилам наименования работ в DFD-диаграммах.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контекстная диаграмма процесса «Построить дом»</w:t>
      </w:r>
    </w:p>
    <w:p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55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Контекстная диаграмма процесса «Построить дом»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декомпозиция контекстной диаграммы процесса «Построить дом»</w:t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4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контекстной диаграммы процесса «Построить дом»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изображена декомпозиция подпроцесса «Выполнение строительных работ»</w:t>
      </w:r>
    </w:p>
    <w:p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55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Декомпозиция подпроцесса «Выполнение строительных работ»</w:t>
      </w:r>
    </w:p>
    <w:p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76C28"/>
    <w:multiLevelType w:val="multilevel"/>
    <w:tmpl w:val="5AB76C28"/>
    <w:lvl w:ilvl="0" w:tentative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6DF16CC"/>
    <w:multiLevelType w:val="multilevel"/>
    <w:tmpl w:val="76DF16CC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637B2"/>
    <w:rsid w:val="00182315"/>
    <w:rsid w:val="001D70D1"/>
    <w:rsid w:val="00211C5A"/>
    <w:rsid w:val="00215282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0F64"/>
    <w:rsid w:val="006F623D"/>
    <w:rsid w:val="007373DA"/>
    <w:rsid w:val="00773334"/>
    <w:rsid w:val="00791A9D"/>
    <w:rsid w:val="00795C82"/>
    <w:rsid w:val="00797825"/>
    <w:rsid w:val="008008A5"/>
    <w:rsid w:val="00821F17"/>
    <w:rsid w:val="0084261A"/>
    <w:rsid w:val="00845A09"/>
    <w:rsid w:val="008920D1"/>
    <w:rsid w:val="00937819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81A66"/>
    <w:rsid w:val="00B97C75"/>
    <w:rsid w:val="00BF44F6"/>
    <w:rsid w:val="00C46684"/>
    <w:rsid w:val="00CC2940"/>
    <w:rsid w:val="00CE750F"/>
    <w:rsid w:val="00D11399"/>
    <w:rsid w:val="00D159CB"/>
    <w:rsid w:val="00D23FE4"/>
    <w:rsid w:val="00D276FA"/>
    <w:rsid w:val="00D45D73"/>
    <w:rsid w:val="00D7512E"/>
    <w:rsid w:val="00DE6A23"/>
    <w:rsid w:val="00DF6BE5"/>
    <w:rsid w:val="00E8449B"/>
    <w:rsid w:val="00E97546"/>
    <w:rsid w:val="00EA2C40"/>
    <w:rsid w:val="00ED796E"/>
    <w:rsid w:val="00EE3607"/>
    <w:rsid w:val="00EF28DA"/>
    <w:rsid w:val="00F55E09"/>
    <w:rsid w:val="00F70F03"/>
    <w:rsid w:val="00FA0B44"/>
    <w:rsid w:val="11C8C723"/>
    <w:rsid w:val="36696B7A"/>
    <w:rsid w:val="3BF2DF8E"/>
    <w:rsid w:val="735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Основной текст Знак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0ADB4A-5311-4E81-9AF4-D0D1D27299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214</Words>
  <Characters>1670</Characters>
  <TotalTime>0</TotalTime>
  <ScaleCrop>false</ScaleCrop>
  <LinksUpToDate>false</LinksUpToDate>
  <CharactersWithSpaces>1849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2023-11-22T23:46:00Z</dcterms:created>
  <dc:creator>Станислав Сидоров</dc:creator>
  <cp:lastModifiedBy>sidor</cp:lastModifiedBy>
  <dcterms:modified xsi:type="dcterms:W3CDTF">2023-11-27T07:46:49Z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FC8CE56415C04A188C8417140EC0D07F_12</vt:lpwstr>
  </property>
</Properties>
</file>