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7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9481"/>
        <w:gridCol w:w="83"/>
      </w:tblGrid>
      <w:tr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tbl>
            <w:tblPr>
              <w:tblStyle w:val="4"/>
              <w:tblW w:w="9360" w:type="dxa"/>
              <w:tblInd w:w="0" w:type="dxa"/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600"/>
              <w:gridCol w:w="3167"/>
              <w:gridCol w:w="3593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4" w:hRule="atLeast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sz w:val="24"/>
                      <w:szCs w:val="22"/>
                      <w:lang w:val="en-US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691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 w:type="textWrapping"/>
                  </w:r>
                </w:p>
                <w:p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 w:type="textWrapping"/>
                  </w:r>
                </w:p>
              </w:tc>
            </w:tr>
          </w:tbl>
          <w:p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trHeight w:val="283" w:hRule="atLeast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(ИиППО)</w:t>
            </w: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Style w:val="4"/>
        <w:tblW w:w="499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2252"/>
        <w:gridCol w:w="865"/>
        <w:gridCol w:w="2672"/>
      </w:tblGrid>
      <w:tr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 студент группы ИКБО-20-21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 w:type="textWrapping"/>
            </w: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 В.В.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 работы выполнены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студента)</w:t>
            </w: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«Зачтено»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руководителя)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p>
      <w:pPr>
        <w:ind w:left="0"/>
        <w:rPr>
          <w:b/>
          <w:bCs/>
        </w:rPr>
      </w:pPr>
      <w:r>
        <w:rPr>
          <w:b/>
          <w:bCs/>
        </w:rPr>
        <w:br w:type="page"/>
      </w:r>
    </w:p>
    <w:sdt>
      <w:sdtPr>
        <w:id w:val="-120471503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000000"/>
          <w:sz w:val="28"/>
          <w:szCs w:val="20"/>
        </w:rPr>
      </w:sdtEndPr>
      <w:sdtContent>
        <w:p>
          <w:pPr>
            <w:pStyle w:val="16"/>
            <w:jc w:val="center"/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"_Toc160118471"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Введение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_Toc160118471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"_Toc160118472"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  <w:lang w:val="en-US"/>
            </w:rPr>
            <w:t xml:space="preserve">1 </w:t>
          </w:r>
          <w:r>
            <w:rPr>
              <w:rStyle w:val="5"/>
              <w:rFonts w:eastAsiaTheme="majorEastAsia"/>
              <w:b w:val="0"/>
              <w:bCs w:val="0"/>
            </w:rPr>
            <w:t>ОБЩИЕ СВЕДЕНИЯ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_Toc160118472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7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left" w:pos="1100"/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"_Toc160118473"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1.1</w:t>
          </w:r>
          <w:r>
            <w:rPr>
              <w:rStyle w:val="5"/>
              <w:rFonts w:hint="default" w:eastAsiaTheme="majorEastAsia"/>
              <w:b w:val="0"/>
              <w:bCs w:val="0"/>
              <w:lang w:val="ru-RU"/>
            </w:rPr>
            <w:t xml:space="preserve"> </w:t>
          </w:r>
          <w:r>
            <w:rPr>
              <w:rStyle w:val="5"/>
              <w:rFonts w:eastAsiaTheme="majorEastAsia"/>
              <w:b w:val="0"/>
              <w:bCs w:val="0"/>
            </w:rPr>
            <w:t>Список терминов и определений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_Toc160118473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7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left" w:pos="1100"/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"_Toc160118474"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1.2</w:t>
          </w:r>
          <w:r>
            <w:rPr>
              <w:rStyle w:val="5"/>
              <w:rFonts w:hint="default" w:eastAsiaTheme="majorEastAsia"/>
              <w:b w:val="0"/>
              <w:bCs w:val="0"/>
              <w:lang w:val="ru-RU"/>
            </w:rPr>
            <w:t xml:space="preserve"> </w:t>
          </w:r>
          <w:r>
            <w:rPr>
              <w:rStyle w:val="5"/>
              <w:rFonts w:eastAsiaTheme="majorEastAsia"/>
              <w:b w:val="0"/>
              <w:bCs w:val="0"/>
            </w:rPr>
            <w:t>Описание бизнес-ролей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_Toc160118474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8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"_Toc160118475"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 Требования к системе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_Toc160118475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10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"_Toc160118476"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 Требования к системе в целом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_Toc160118476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10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"_Toc160118477"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2.1.1 Требования к структуре и функционированию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10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"_Toc160118478"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2.1.2 Требования к численности и квалификации персонала системы и режиму его работы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11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"_Toc160118479"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2.1.3 Показатели назначения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_Toc160118479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11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"_Toc160118480"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2.1.4 Требования к надежности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_Toc160118480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12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"_Toc160118481"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2.1.5 Требования к безопасности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_Toc160118481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"_Toc160118482"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2.1.6 Требования к эргономике и технической эстетике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_Toc160118482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left" w:pos="8432"/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"_Toc160118483"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 xml:space="preserve">2.1.7 Требования к транспортабельности для подвижных АС </w:t>
          </w:r>
          <w:r>
            <w:rPr>
              <w:rStyle w:val="5"/>
              <w:rFonts w:hint="default" w:eastAsiaTheme="majorEastAsia"/>
              <w:b w:val="0"/>
              <w:bCs w:val="0"/>
              <w:lang w:val="ru-RU"/>
            </w:rPr>
            <w:t>........................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_Toc160118483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"_Toc160118484"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2.1.8 Требования к эксплуатации, техническому обслуживанию, ремонту и хранению компонентов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_Toc160118484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"_Toc160118485"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2.1.9 Требования к защите информации от несанкционированного доступа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_Toc160118485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"_Toc160118486"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2.1.10 Требования по сохранности информации при авариях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_Toc160118486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"_Toc160118487"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2.1.11 Требования к защите от влияния внешних воздействий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"_Toc160118488"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2.1.12 Требования к патентной чистоте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"_Toc160118489"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2.1.14 Дополнительные требования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_Toc160118489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"_Toc160118490"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2.2 Требования к функциям (задачам), выполняемым системой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_Toc160118490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"_Toc160118491"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 Требования к видам обеспечения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_Toc160118491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"_Toc160118492"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2.3.1 Требования к математическому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_Toc160118492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"_Toc160118493"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2.3.2 Требования к информационному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_Toc160118493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16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"_Toc160118494"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2.3.3 Требования к лингвистическому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_Toc160118494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16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"_Toc160118495"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2.3.5 Требования к техническому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_Toc160118495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16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"_Toc160118496"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2.3.6 Требования к метрологическому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_Toc160118496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17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"_Toc160118497"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2.3.7 Требования к организационному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17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"_Toc160118498"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2.3.8 Требования к методическому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17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ind w:left="0"/>
        <w:rPr>
          <w:b/>
          <w:bCs/>
        </w:rPr>
      </w:pPr>
      <w:bookmarkStart w:id="60" w:name="_GoBack"/>
      <w:bookmarkEnd w:id="60"/>
    </w:p>
    <w:p>
      <w:pPr>
        <w:spacing w:line="240" w:lineRule="auto"/>
        <w:ind w:left="0"/>
        <w:rPr>
          <w:b/>
          <w:bCs/>
        </w:rPr>
      </w:pPr>
      <w:bookmarkStart w:id="1" w:name="_Toc105"/>
      <w:bookmarkStart w:id="2" w:name="_Toc5859"/>
      <w:r>
        <w:rPr>
          <w:b/>
          <w:bCs/>
        </w:rPr>
        <w:br w:type="page"/>
      </w:r>
    </w:p>
    <w:p>
      <w:pPr>
        <w:ind w:left="0"/>
        <w:jc w:val="center"/>
        <w:outlineLvl w:val="0"/>
        <w:rPr>
          <w:b/>
          <w:bCs/>
        </w:rPr>
      </w:pPr>
      <w:bookmarkStart w:id="3" w:name="_Toc160118471"/>
      <w:r>
        <w:rPr>
          <w:b/>
          <w:bCs/>
        </w:rPr>
        <w:t>Введение</w:t>
      </w:r>
      <w:bookmarkEnd w:id="1"/>
      <w:bookmarkEnd w:id="2"/>
      <w:bookmarkEnd w:id="3"/>
    </w:p>
    <w:p>
      <w:pPr>
        <w:ind w:left="0" w:firstLine="709"/>
        <w:jc w:val="both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ind w:left="0"/>
        <w:jc w:val="both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/>
        <w:jc w:val="both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ind w:left="0"/>
        <w:jc w:val="both"/>
      </w:pPr>
      <w:r>
        <w:tab/>
      </w: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pPr>
        <w:spacing w:after="160" w:line="259" w:lineRule="auto"/>
        <w:ind w:left="0"/>
      </w:pPr>
      <w:r>
        <w:br w:type="page"/>
      </w:r>
    </w:p>
    <w:p>
      <w:pPr>
        <w:ind w:left="0"/>
        <w:jc w:val="both"/>
        <w:outlineLvl w:val="0"/>
        <w:rPr>
          <w:b/>
          <w:bCs/>
        </w:rPr>
      </w:pPr>
      <w:r>
        <w:rPr>
          <w:lang w:val="en-US"/>
        </w:rPr>
        <w:tab/>
      </w:r>
      <w:bookmarkStart w:id="4" w:name="_Toc21707"/>
      <w:bookmarkStart w:id="5" w:name="_Toc19193"/>
      <w:bookmarkStart w:id="6" w:name="_Toc160118472"/>
      <w:r>
        <w:rPr>
          <w:b/>
          <w:bCs/>
          <w:sz w:val="32"/>
          <w:szCs w:val="22"/>
          <w:lang w:val="en-US"/>
        </w:rPr>
        <w:t xml:space="preserve">1 </w:t>
      </w:r>
      <w:r>
        <w:rPr>
          <w:b/>
          <w:bCs/>
          <w:sz w:val="32"/>
          <w:szCs w:val="22"/>
        </w:rPr>
        <w:t>ОБЩИЕ СВЕДЕНИЯ</w:t>
      </w:r>
      <w:bookmarkEnd w:id="4"/>
      <w:bookmarkEnd w:id="5"/>
      <w:bookmarkEnd w:id="6"/>
    </w:p>
    <w:p>
      <w:pPr>
        <w:pStyle w:val="11"/>
        <w:numPr>
          <w:ilvl w:val="1"/>
          <w:numId w:val="1"/>
        </w:numPr>
        <w:jc w:val="both"/>
        <w:outlineLvl w:val="1"/>
        <w:rPr>
          <w:b/>
          <w:bCs/>
        </w:rPr>
      </w:pPr>
      <w:bookmarkStart w:id="7" w:name="_Toc160118473"/>
      <w:bookmarkStart w:id="8" w:name="_Toc7878"/>
      <w:r>
        <w:rPr>
          <w:b/>
          <w:bCs/>
        </w:rPr>
        <w:t>Список терминов и определений</w:t>
      </w:r>
      <w:bookmarkEnd w:id="7"/>
      <w:bookmarkEnd w:id="8"/>
    </w:p>
    <w:p>
      <w:pPr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firstLine="705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pStyle w:val="11"/>
        <w:numPr>
          <w:ilvl w:val="1"/>
          <w:numId w:val="1"/>
        </w:numPr>
        <w:jc w:val="both"/>
        <w:outlineLvl w:val="1"/>
        <w:rPr>
          <w:b/>
          <w:bCs/>
        </w:rPr>
      </w:pPr>
      <w:bookmarkStart w:id="9" w:name="_Toc30191"/>
      <w:bookmarkStart w:id="10" w:name="_Toc160118474"/>
      <w:r>
        <w:rPr>
          <w:b/>
          <w:bCs/>
        </w:rPr>
        <w:t>Описание бизнес-ролей</w:t>
      </w:r>
      <w:bookmarkEnd w:id="9"/>
      <w:bookmarkEnd w:id="10"/>
    </w:p>
    <w:p>
      <w:pPr>
        <w:pStyle w:val="11"/>
        <w:ind w:left="5" w:firstLine="700" w:firstLineChars="250"/>
        <w:jc w:val="both"/>
      </w:pPr>
      <w:r>
        <w:t>Пользователь - человек, имеющий доступ к данным о состоянии АГР, взаимодействующий с системой</w:t>
      </w:r>
    </w:p>
    <w:p>
      <w:pPr>
        <w:ind w:left="0" w:firstLine="705"/>
        <w:jc w:val="both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ind w:left="0" w:firstLine="705"/>
        <w:jc w:val="both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ind w:left="0" w:firstLine="705"/>
        <w:jc w:val="both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pPr>
        <w:spacing w:after="160" w:line="259" w:lineRule="auto"/>
        <w:ind w:left="0"/>
      </w:pPr>
      <w:r>
        <w:br w:type="page"/>
      </w:r>
    </w:p>
    <w:p>
      <w:pPr>
        <w:ind w:left="0" w:firstLine="705"/>
        <w:jc w:val="both"/>
        <w:outlineLvl w:val="0"/>
        <w:rPr>
          <w:b/>
          <w:bCs/>
          <w:sz w:val="32"/>
          <w:szCs w:val="22"/>
        </w:rPr>
      </w:pPr>
      <w:bookmarkStart w:id="11" w:name="_Toc4511"/>
      <w:bookmarkStart w:id="12" w:name="_Toc160118475"/>
      <w:bookmarkStart w:id="13" w:name="_Toc20634"/>
      <w:r>
        <w:rPr>
          <w:b/>
          <w:bCs/>
          <w:sz w:val="32"/>
          <w:szCs w:val="22"/>
        </w:rPr>
        <w:t>2 Требования к системе</w:t>
      </w:r>
      <w:bookmarkEnd w:id="11"/>
      <w:bookmarkEnd w:id="12"/>
      <w:bookmarkEnd w:id="13"/>
    </w:p>
    <w:p>
      <w:pPr>
        <w:ind w:left="0" w:firstLine="705"/>
        <w:jc w:val="both"/>
        <w:outlineLvl w:val="1"/>
        <w:rPr>
          <w:b/>
          <w:bCs/>
        </w:rPr>
      </w:pPr>
      <w:bookmarkStart w:id="14" w:name="_Toc25050"/>
      <w:bookmarkStart w:id="15" w:name="_Toc160118476"/>
      <w:r>
        <w:rPr>
          <w:b/>
          <w:bCs/>
        </w:rPr>
        <w:t>2.1 Требования к системе в целом</w:t>
      </w:r>
      <w:bookmarkEnd w:id="14"/>
      <w:bookmarkEnd w:id="15"/>
    </w:p>
    <w:p>
      <w:pPr>
        <w:ind w:left="0" w:firstLine="705"/>
        <w:jc w:val="both"/>
        <w:outlineLvl w:val="2"/>
        <w:rPr>
          <w:b/>
          <w:bCs/>
        </w:rPr>
      </w:pPr>
      <w:bookmarkStart w:id="16" w:name="_Toc17730"/>
      <w:bookmarkStart w:id="17" w:name="_Toc160118477"/>
      <w:r>
        <w:rPr>
          <w:b/>
          <w:bCs/>
        </w:rPr>
        <w:t>2.1.1 Требования к структуре и функционированию системы</w:t>
      </w:r>
      <w:bookmarkEnd w:id="16"/>
      <w:bookmarkEnd w:id="17"/>
    </w:p>
    <w:p>
      <w:pPr>
        <w:ind w:left="0" w:firstLine="705"/>
        <w:jc w:val="both"/>
      </w:pPr>
      <w:r>
        <w:t>Система имеет модульную структуру, включающую в себя следующие модули:</w:t>
      </w:r>
    </w:p>
    <w:p>
      <w:pPr>
        <w:pStyle w:val="11"/>
        <w:numPr>
          <w:ilvl w:val="0"/>
          <w:numId w:val="2"/>
        </w:numPr>
        <w:jc w:val="both"/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11"/>
        <w:numPr>
          <w:ilvl w:val="0"/>
          <w:numId w:val="2"/>
        </w:numPr>
        <w:jc w:val="both"/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11"/>
        <w:numPr>
          <w:ilvl w:val="0"/>
          <w:numId w:val="2"/>
        </w:numPr>
        <w:jc w:val="both"/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11"/>
        <w:numPr>
          <w:ilvl w:val="0"/>
          <w:numId w:val="2"/>
        </w:numPr>
        <w:jc w:val="both"/>
      </w:pPr>
      <w:r>
        <w:t>модуль работы с базой данных;</w:t>
      </w:r>
    </w:p>
    <w:p>
      <w:pPr>
        <w:pStyle w:val="11"/>
        <w:numPr>
          <w:ilvl w:val="0"/>
          <w:numId w:val="2"/>
        </w:numPr>
        <w:jc w:val="both"/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11"/>
        <w:numPr>
          <w:ilvl w:val="0"/>
          <w:numId w:val="2"/>
        </w:numPr>
        <w:jc w:val="both"/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11"/>
        <w:numPr>
          <w:ilvl w:val="0"/>
          <w:numId w:val="2"/>
        </w:numPr>
        <w:jc w:val="both"/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ind w:left="705"/>
        <w:jc w:val="both"/>
      </w:pPr>
      <w:r>
        <w:t>Система должна выполнять следующие функции:</w:t>
      </w:r>
    </w:p>
    <w:p>
      <w:pPr>
        <w:ind w:left="705"/>
        <w:jc w:val="both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ind w:left="705"/>
        <w:jc w:val="both"/>
      </w:pPr>
      <w:r>
        <w:t>- осуществление автоматической выдачи позиции нахождения необходимой ячейки хранения;</w:t>
      </w:r>
    </w:p>
    <w:p>
      <w:pPr>
        <w:ind w:left="705"/>
        <w:jc w:val="both"/>
      </w:pPr>
      <w:r>
        <w:t>-   осуществление пользовательского ввода данных об результате операции по изменению состояния системы;</w:t>
      </w:r>
    </w:p>
    <w:p>
      <w:pPr>
        <w:pStyle w:val="11"/>
        <w:numPr>
          <w:ilvl w:val="0"/>
          <w:numId w:val="3"/>
        </w:numPr>
        <w:ind w:left="993" w:hanging="284"/>
        <w:jc w:val="both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11"/>
        <w:numPr>
          <w:ilvl w:val="0"/>
          <w:numId w:val="3"/>
        </w:numPr>
        <w:ind w:left="993" w:hanging="284"/>
        <w:jc w:val="both"/>
      </w:pPr>
      <w:r>
        <w:t>информирование о сбоях</w:t>
      </w:r>
      <w:r>
        <w:rPr>
          <w:lang w:val="en-US"/>
        </w:rPr>
        <w:t>;</w:t>
      </w:r>
    </w:p>
    <w:p>
      <w:pPr>
        <w:pStyle w:val="11"/>
        <w:numPr>
          <w:ilvl w:val="0"/>
          <w:numId w:val="3"/>
        </w:numPr>
        <w:ind w:left="993" w:hanging="284"/>
        <w:jc w:val="both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11"/>
        <w:numPr>
          <w:ilvl w:val="0"/>
          <w:numId w:val="3"/>
        </w:numPr>
        <w:ind w:left="993" w:hanging="284"/>
        <w:jc w:val="both"/>
      </w:pPr>
      <w:r>
        <w:t>осуществление настройки системы в соответствии с составом АГР</w:t>
      </w:r>
    </w:p>
    <w:p>
      <w:pPr>
        <w:pStyle w:val="11"/>
        <w:ind w:left="0" w:firstLine="993"/>
        <w:jc w:val="both"/>
        <w:outlineLvl w:val="2"/>
        <w:rPr>
          <w:b/>
          <w:bCs/>
        </w:rPr>
      </w:pPr>
      <w:bookmarkStart w:id="18" w:name="_Toc160118478"/>
      <w:bookmarkStart w:id="19" w:name="_Toc9405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8"/>
      <w:bookmarkEnd w:id="19"/>
    </w:p>
    <w:p>
      <w:pPr>
        <w:pStyle w:val="11"/>
        <w:ind w:left="0" w:firstLine="993"/>
        <w:jc w:val="both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11"/>
        <w:ind w:left="0" w:firstLine="993"/>
        <w:jc w:val="both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11"/>
        <w:ind w:left="0" w:firstLine="993"/>
        <w:jc w:val="both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11"/>
        <w:ind w:left="0" w:firstLine="993"/>
        <w:jc w:val="both"/>
        <w:outlineLvl w:val="2"/>
        <w:rPr>
          <w:b/>
          <w:bCs/>
        </w:rPr>
      </w:pPr>
      <w:bookmarkStart w:id="20" w:name="_Toc15271"/>
      <w:bookmarkStart w:id="21" w:name="_Toc160118479"/>
      <w:r>
        <w:rPr>
          <w:b/>
          <w:bCs/>
        </w:rPr>
        <w:t>2.1.3 Показатели назначения</w:t>
      </w:r>
      <w:bookmarkEnd w:id="20"/>
      <w:bookmarkEnd w:id="21"/>
    </w:p>
    <w:p>
      <w:pPr>
        <w:pStyle w:val="11"/>
        <w:ind w:left="0" w:firstLine="993"/>
        <w:jc w:val="both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11"/>
        <w:ind w:left="0" w:firstLine="993"/>
        <w:jc w:val="both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11"/>
        <w:ind w:left="0" w:firstLine="993"/>
        <w:jc w:val="both"/>
      </w:pPr>
      <w:r>
        <w:t xml:space="preserve">2. Коэффициент юзабилити не менее 85%. </w:t>
      </w:r>
    </w:p>
    <w:p>
      <w:pPr>
        <w:pStyle w:val="11"/>
        <w:ind w:left="0" w:firstLine="993"/>
        <w:jc w:val="both"/>
      </w:pPr>
      <w:r>
        <w:t>3. Коэффициент достоверности информации не менее 98%</w:t>
      </w:r>
    </w:p>
    <w:p>
      <w:pPr>
        <w:pStyle w:val="11"/>
        <w:ind w:left="0" w:firstLine="993"/>
        <w:jc w:val="both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11"/>
        <w:ind w:left="0" w:firstLine="993"/>
        <w:jc w:val="both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11"/>
        <w:ind w:left="0" w:firstLine="993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11"/>
        <w:ind w:left="0" w:firstLine="993"/>
        <w:jc w:val="both"/>
        <w:outlineLvl w:val="2"/>
        <w:rPr>
          <w:b/>
          <w:bCs/>
        </w:rPr>
      </w:pPr>
      <w:bookmarkStart w:id="22" w:name="_Toc8074"/>
      <w:bookmarkStart w:id="23" w:name="_Toc160118480"/>
      <w:r>
        <w:rPr>
          <w:b/>
          <w:bCs/>
        </w:rPr>
        <w:t>2.1.4 Требования к надежности</w:t>
      </w:r>
      <w:bookmarkEnd w:id="22"/>
      <w:bookmarkEnd w:id="23"/>
    </w:p>
    <w:p>
      <w:pPr>
        <w:pStyle w:val="11"/>
        <w:ind w:left="0" w:firstLine="993"/>
        <w:jc w:val="both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11"/>
        <w:ind w:left="0" w:firstLine="993"/>
        <w:jc w:val="both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11"/>
        <w:ind w:left="0" w:firstLine="993"/>
        <w:jc w:val="both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11"/>
        <w:ind w:left="0" w:firstLine="993"/>
        <w:jc w:val="both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11"/>
        <w:ind w:left="0" w:firstLine="993"/>
        <w:jc w:val="both"/>
      </w:pPr>
      <w:r>
        <w:t>-    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11"/>
        <w:ind w:left="0" w:firstLine="993"/>
        <w:jc w:val="both"/>
      </w:pPr>
      <w:r>
        <w:t>-   допуск к системе управления только пользователей, прошедших предварительное обучение.</w:t>
      </w:r>
    </w:p>
    <w:p>
      <w:pPr>
        <w:jc w:val="both"/>
        <w:outlineLvl w:val="2"/>
      </w:pPr>
      <w:bookmarkStart w:id="24" w:name="_Toc24558"/>
      <w:bookmarkStart w:id="25" w:name="_Toc160118481"/>
      <w:r>
        <w:rPr>
          <w:b/>
          <w:bCs/>
        </w:rPr>
        <w:t>2.1.5 Требования к безопасности</w:t>
      </w:r>
      <w:bookmarkEnd w:id="24"/>
      <w:bookmarkEnd w:id="25"/>
    </w:p>
    <w:p>
      <w:pPr>
        <w:pStyle w:val="11"/>
        <w:ind w:left="0" w:firstLine="708"/>
        <w:jc w:val="both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jc w:val="both"/>
        <w:outlineLvl w:val="2"/>
        <w:rPr>
          <w:b/>
          <w:bCs/>
        </w:rPr>
      </w:pPr>
      <w:bookmarkStart w:id="26" w:name="_Toc26824"/>
      <w:bookmarkStart w:id="27" w:name="_Toc160118482"/>
      <w:r>
        <w:rPr>
          <w:b/>
          <w:bCs/>
        </w:rPr>
        <w:t>2.1.6 Требования к эргономике и технической эстетике</w:t>
      </w:r>
      <w:bookmarkEnd w:id="26"/>
      <w:bookmarkEnd w:id="27"/>
    </w:p>
    <w:p>
      <w:pPr>
        <w:pStyle w:val="11"/>
        <w:ind w:left="0" w:firstLine="708"/>
        <w:jc w:val="both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11"/>
        <w:ind w:left="0" w:firstLine="851"/>
        <w:jc w:val="both"/>
        <w:outlineLvl w:val="2"/>
      </w:pPr>
      <w:bookmarkStart w:id="28" w:name="_Toc1430"/>
      <w:bookmarkStart w:id="29" w:name="_Toc160118483"/>
      <w:r>
        <w:t xml:space="preserve">2.1.7 Требования к транспортабельности для подвижных АС </w:t>
      </w:r>
      <w:r>
        <w:tab/>
      </w:r>
      <w:r>
        <w:br w:type="textWrapping"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8"/>
      <w:bookmarkEnd w:id="29"/>
    </w:p>
    <w:p>
      <w:pPr>
        <w:pStyle w:val="11"/>
        <w:ind w:left="0" w:firstLine="708"/>
        <w:jc w:val="both"/>
        <w:outlineLvl w:val="2"/>
      </w:pPr>
      <w:bookmarkStart w:id="30" w:name="_Toc2247"/>
      <w:bookmarkStart w:id="31" w:name="_Toc160118484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30"/>
      <w:bookmarkEnd w:id="31"/>
    </w:p>
    <w:p>
      <w:pPr>
        <w:pStyle w:val="11"/>
        <w:ind w:left="0" w:firstLine="708"/>
        <w:jc w:val="both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11"/>
        <w:ind w:left="0" w:firstLine="708"/>
        <w:jc w:val="both"/>
        <w:outlineLvl w:val="2"/>
      </w:pPr>
      <w:bookmarkStart w:id="32" w:name="_Toc13139"/>
      <w:bookmarkStart w:id="33" w:name="_Toc160118485"/>
      <w:r>
        <w:rPr>
          <w:b/>
          <w:bCs/>
        </w:rPr>
        <w:t>2.1.9 Требования к защите информации от несанкционированного доступа</w:t>
      </w:r>
      <w:bookmarkEnd w:id="32"/>
      <w:bookmarkEnd w:id="33"/>
    </w:p>
    <w:p>
      <w:pPr>
        <w:pStyle w:val="11"/>
        <w:ind w:left="0" w:firstLine="708"/>
        <w:jc w:val="both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11"/>
        <w:ind w:left="0" w:firstLine="708"/>
        <w:jc w:val="both"/>
        <w:outlineLvl w:val="2"/>
      </w:pPr>
      <w:bookmarkStart w:id="34" w:name="_Toc160118486"/>
      <w:bookmarkStart w:id="35" w:name="_Toc5254"/>
      <w:r>
        <w:rPr>
          <w:b/>
          <w:bCs/>
        </w:rPr>
        <w:t>2.1.10 Требования по сохранности информации при авариях</w:t>
      </w:r>
      <w:bookmarkEnd w:id="34"/>
      <w:r>
        <w:tab/>
      </w:r>
    </w:p>
    <w:p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  <w:bookmarkEnd w:id="35"/>
    </w:p>
    <w:p>
      <w:pPr>
        <w:pStyle w:val="11"/>
        <w:ind w:left="0" w:firstLine="708"/>
        <w:jc w:val="both"/>
        <w:outlineLvl w:val="2"/>
        <w:rPr>
          <w:b/>
          <w:bCs/>
        </w:rPr>
      </w:pPr>
      <w:bookmarkStart w:id="36" w:name="_Toc5848"/>
      <w:bookmarkStart w:id="37" w:name="_Toc160118487"/>
      <w:r>
        <w:rPr>
          <w:b/>
          <w:bCs/>
        </w:rPr>
        <w:t>2.1.11 Требования к защите от влияния внешних воздействий</w:t>
      </w:r>
      <w:bookmarkEnd w:id="36"/>
      <w:bookmarkEnd w:id="37"/>
    </w:p>
    <w:p>
      <w:pPr>
        <w:pStyle w:val="11"/>
        <w:ind w:left="0" w:firstLine="708"/>
        <w:jc w:val="both"/>
      </w:pPr>
      <w:r>
        <w:t xml:space="preserve">Требования к защите от влияния внешних воздействий не предъявляются. </w:t>
      </w:r>
    </w:p>
    <w:p>
      <w:pPr>
        <w:pStyle w:val="11"/>
        <w:ind w:left="0" w:firstLine="708"/>
        <w:jc w:val="both"/>
        <w:outlineLvl w:val="2"/>
        <w:rPr>
          <w:b/>
          <w:bCs/>
        </w:rPr>
      </w:pPr>
      <w:bookmarkStart w:id="38" w:name="_Toc160118488"/>
      <w:bookmarkStart w:id="39" w:name="_Toc1237"/>
      <w:r>
        <w:rPr>
          <w:b/>
          <w:bCs/>
        </w:rPr>
        <w:t>2.1.12 Требования к патентной чистоте</w:t>
      </w:r>
      <w:bookmarkEnd w:id="38"/>
      <w:bookmarkEnd w:id="39"/>
      <w:r>
        <w:rPr>
          <w:b/>
          <w:bCs/>
        </w:rPr>
        <w:t xml:space="preserve"> </w:t>
      </w:r>
    </w:p>
    <w:p>
      <w:pPr>
        <w:pStyle w:val="11"/>
        <w:ind w:left="0" w:firstLine="708"/>
        <w:jc w:val="both"/>
      </w:pPr>
      <w:r>
        <w:t xml:space="preserve">Требования к патентной чистоте не предъявляются. </w:t>
      </w:r>
    </w:p>
    <w:p>
      <w:pPr>
        <w:pStyle w:val="11"/>
        <w:ind w:left="0" w:firstLine="708"/>
        <w:jc w:val="both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>
      <w:pPr>
        <w:pStyle w:val="11"/>
        <w:ind w:left="0" w:firstLine="708"/>
        <w:jc w:val="both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11"/>
        <w:ind w:left="0" w:firstLine="708"/>
        <w:jc w:val="both"/>
        <w:outlineLvl w:val="2"/>
      </w:pPr>
      <w:bookmarkStart w:id="40" w:name="_Toc26615"/>
      <w:bookmarkStart w:id="41" w:name="_Toc160118489"/>
      <w:r>
        <w:rPr>
          <w:b/>
          <w:bCs/>
        </w:rPr>
        <w:t>2.1.14 Дополнительные требования</w:t>
      </w:r>
      <w:bookmarkEnd w:id="40"/>
      <w:bookmarkEnd w:id="41"/>
      <w:r>
        <w:t xml:space="preserve"> </w:t>
      </w:r>
    </w:p>
    <w:p>
      <w:pPr>
        <w:pStyle w:val="11"/>
        <w:ind w:left="0" w:firstLine="708"/>
        <w:jc w:val="both"/>
      </w:pPr>
      <w:r>
        <w:t>Дополнительные требования не предъявляются.</w:t>
      </w:r>
    </w:p>
    <w:p>
      <w:pPr>
        <w:pStyle w:val="11"/>
        <w:ind w:left="0" w:firstLine="708"/>
        <w:jc w:val="both"/>
        <w:outlineLvl w:val="2"/>
        <w:rPr>
          <w:b/>
          <w:bCs/>
        </w:rPr>
      </w:pPr>
      <w:bookmarkStart w:id="42" w:name="_Toc21364"/>
      <w:bookmarkStart w:id="43" w:name="_Toc160118490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2"/>
      <w:bookmarkEnd w:id="43"/>
    </w:p>
    <w:p>
      <w:pPr>
        <w:ind w:left="0"/>
        <w:jc w:val="both"/>
      </w:pPr>
      <w:r>
        <w:t>Таблица 2.1 – Требования к функциям, выполняемым системой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spacing w:line="240" w:lineRule="auto"/>
              <w:ind w:left="0"/>
              <w:jc w:val="both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spacing w:line="240" w:lineRule="auto"/>
              <w:ind w:left="0"/>
              <w:jc w:val="both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spacing w:line="240" w:lineRule="auto"/>
              <w:ind w:left="0"/>
              <w:jc w:val="both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spacing w:line="240" w:lineRule="auto"/>
              <w:ind w:left="0"/>
              <w:jc w:val="both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Загрузка данных в БД об активности пользователей в различное время дня</w:t>
            </w:r>
          </w:p>
        </w:tc>
      </w:tr>
    </w:tbl>
    <w:p>
      <w:pPr>
        <w:ind w:left="0"/>
        <w:jc w:val="both"/>
      </w:pPr>
    </w:p>
    <w:p>
      <w:pPr>
        <w:ind w:left="0"/>
        <w:jc w:val="both"/>
        <w:outlineLvl w:val="1"/>
        <w:rPr>
          <w:b/>
          <w:bCs/>
        </w:rPr>
      </w:pPr>
      <w:r>
        <w:tab/>
      </w:r>
      <w:bookmarkStart w:id="44" w:name="_Toc15808"/>
      <w:bookmarkStart w:id="45" w:name="_Toc160118491"/>
      <w:r>
        <w:rPr>
          <w:b/>
          <w:bCs/>
        </w:rPr>
        <w:t>2.3 Требования к видам обеспечения</w:t>
      </w:r>
      <w:bookmarkEnd w:id="44"/>
      <w:bookmarkEnd w:id="45"/>
    </w:p>
    <w:p>
      <w:pPr>
        <w:ind w:left="0"/>
        <w:jc w:val="both"/>
        <w:outlineLvl w:val="2"/>
        <w:rPr>
          <w:b/>
          <w:bCs/>
        </w:rPr>
      </w:pPr>
      <w:r>
        <w:rPr>
          <w:b/>
          <w:bCs/>
        </w:rPr>
        <w:tab/>
      </w:r>
      <w:bookmarkStart w:id="46" w:name="_Toc160118492"/>
      <w:bookmarkStart w:id="47" w:name="_Toc30273"/>
      <w:r>
        <w:rPr>
          <w:b/>
          <w:bCs/>
        </w:rPr>
        <w:t>2.3.1 Требования к математическому обеспечению системы</w:t>
      </w:r>
      <w:bookmarkEnd w:id="46"/>
      <w:bookmarkEnd w:id="47"/>
    </w:p>
    <w:p>
      <w:pPr>
        <w:ind w:left="0"/>
        <w:jc w:val="both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ind w:left="0" w:firstLine="708"/>
        <w:jc w:val="both"/>
        <w:outlineLvl w:val="2"/>
        <w:rPr>
          <w:b/>
          <w:bCs/>
        </w:rPr>
      </w:pPr>
      <w:bookmarkStart w:id="48" w:name="_Toc160118493"/>
      <w:bookmarkStart w:id="49" w:name="_Toc11649"/>
      <w:r>
        <w:rPr>
          <w:b/>
          <w:bCs/>
        </w:rPr>
        <w:t>2.3.2 Требования к информационному обеспечению системы</w:t>
      </w:r>
      <w:bookmarkEnd w:id="48"/>
      <w:bookmarkEnd w:id="49"/>
      <w:r>
        <w:rPr>
          <w:b/>
          <w:bCs/>
        </w:rPr>
        <w:t xml:space="preserve"> </w:t>
      </w:r>
    </w:p>
    <w:p>
      <w:pPr>
        <w:ind w:left="0" w:firstLine="708"/>
        <w:jc w:val="both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ind w:left="0" w:firstLine="708"/>
        <w:jc w:val="both"/>
        <w:outlineLvl w:val="2"/>
      </w:pPr>
      <w:bookmarkStart w:id="50" w:name="_Toc160118494"/>
      <w:bookmarkStart w:id="51" w:name="_Toc20653"/>
      <w:r>
        <w:rPr>
          <w:b/>
          <w:bCs/>
        </w:rPr>
        <w:t>2.3.3 Требования к лингвистическому обеспечению системы</w:t>
      </w:r>
      <w:bookmarkEnd w:id="50"/>
      <w:bookmarkEnd w:id="51"/>
      <w:r>
        <w:t xml:space="preserve"> </w:t>
      </w:r>
    </w:p>
    <w:p>
      <w:pPr>
        <w:ind w:left="0" w:firstLine="708"/>
        <w:jc w:val="both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ind w:left="0" w:firstLine="708"/>
        <w:jc w:val="both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ind w:left="0" w:firstLine="708"/>
        <w:jc w:val="both"/>
        <w:outlineLvl w:val="2"/>
      </w:pPr>
      <w:bookmarkStart w:id="52" w:name="_Toc2770"/>
      <w:bookmarkStart w:id="53" w:name="_Toc160118495"/>
      <w:r>
        <w:rPr>
          <w:b/>
          <w:bCs/>
        </w:rPr>
        <w:t>2.3.5 Требования к техническому обеспечению системы</w:t>
      </w:r>
      <w:bookmarkEnd w:id="52"/>
      <w:bookmarkEnd w:id="53"/>
    </w:p>
    <w:p>
      <w:pPr>
        <w:ind w:left="0" w:firstLine="708"/>
        <w:jc w:val="both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ind w:left="0" w:firstLine="708"/>
        <w:jc w:val="both"/>
        <w:outlineLvl w:val="2"/>
        <w:rPr>
          <w:b/>
          <w:bCs/>
        </w:rPr>
      </w:pPr>
      <w:bookmarkStart w:id="54" w:name="_Toc13847"/>
      <w:bookmarkStart w:id="55" w:name="_Toc160118496"/>
      <w:r>
        <w:rPr>
          <w:b/>
          <w:bCs/>
        </w:rPr>
        <w:t>2.3.6 Требования к метрологическому обеспечению системы</w:t>
      </w:r>
      <w:bookmarkEnd w:id="54"/>
      <w:bookmarkEnd w:id="55"/>
    </w:p>
    <w:p>
      <w:pPr>
        <w:ind w:left="0"/>
        <w:jc w:val="both"/>
      </w:pPr>
      <w:r>
        <w:t xml:space="preserve">Требования к метрологическому обеспечению не предъявляются. </w:t>
      </w:r>
    </w:p>
    <w:p>
      <w:pPr>
        <w:ind w:left="0" w:firstLine="708"/>
        <w:jc w:val="both"/>
        <w:outlineLvl w:val="2"/>
        <w:rPr>
          <w:b/>
          <w:bCs/>
        </w:rPr>
      </w:pPr>
      <w:bookmarkStart w:id="56" w:name="_Toc160118497"/>
      <w:bookmarkStart w:id="57" w:name="_Toc6429"/>
      <w:r>
        <w:rPr>
          <w:b/>
          <w:bCs/>
        </w:rPr>
        <w:t>2.3.7 Требования к организационному обеспечению системы</w:t>
      </w:r>
      <w:bookmarkEnd w:id="56"/>
      <w:bookmarkEnd w:id="57"/>
    </w:p>
    <w:p>
      <w:pPr>
        <w:ind w:left="0"/>
        <w:jc w:val="both"/>
      </w:pPr>
      <w:r>
        <w:t xml:space="preserve">Требования к организационному обеспечению не предъявляются. </w:t>
      </w:r>
    </w:p>
    <w:p>
      <w:pPr>
        <w:ind w:left="0" w:firstLine="708"/>
        <w:jc w:val="both"/>
        <w:outlineLvl w:val="2"/>
        <w:rPr>
          <w:b/>
          <w:bCs/>
        </w:rPr>
      </w:pPr>
      <w:bookmarkStart w:id="58" w:name="_Toc11195"/>
      <w:bookmarkStart w:id="59" w:name="_Toc160118498"/>
      <w:r>
        <w:rPr>
          <w:b/>
          <w:bCs/>
        </w:rPr>
        <w:t>2.3.8 Требования к методическому обеспечению системы</w:t>
      </w:r>
      <w:bookmarkEnd w:id="58"/>
      <w:bookmarkEnd w:id="59"/>
    </w:p>
    <w:p>
      <w:pPr>
        <w:ind w:left="0" w:firstLine="708"/>
        <w:jc w:val="both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11"/>
        <w:numPr>
          <w:ilvl w:val="0"/>
          <w:numId w:val="4"/>
        </w:numPr>
        <w:ind w:left="0" w:firstLine="709"/>
        <w:jc w:val="both"/>
      </w:pPr>
      <w:r>
        <w:t>руководство пользователя для администраторов ресурса;</w:t>
      </w:r>
    </w:p>
    <w:p>
      <w:pPr>
        <w:pStyle w:val="11"/>
        <w:numPr>
          <w:ilvl w:val="0"/>
          <w:numId w:val="4"/>
        </w:numPr>
        <w:ind w:left="0" w:firstLine="709"/>
        <w:jc w:val="both"/>
      </w:pPr>
      <w:r>
        <w:t>руководство пользователя для клиентов сервиса.</w:t>
      </w:r>
      <w:r>
        <w:tab/>
      </w:r>
      <w:r>
        <w:tab/>
      </w:r>
    </w:p>
    <w:p>
      <w:pPr>
        <w:jc w:val="center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04B16"/>
    <w:multiLevelType w:val="multilevel"/>
    <w:tmpl w:val="06004B16"/>
    <w:lvl w:ilvl="0" w:tentative="0">
      <w:start w:val="2"/>
      <w:numFmt w:val="bullet"/>
      <w:lvlText w:val="-"/>
      <w:lvlJc w:val="left"/>
      <w:pPr>
        <w:ind w:left="142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">
    <w:nsid w:val="10E67EEB"/>
    <w:multiLevelType w:val="multilevel"/>
    <w:tmpl w:val="10E67EEB"/>
    <w:lvl w:ilvl="0" w:tentative="0">
      <w:start w:val="2"/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2">
    <w:nsid w:val="11FB018F"/>
    <w:multiLevelType w:val="multilevel"/>
    <w:tmpl w:val="11FB018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>
    <w:nsid w:val="67754947"/>
    <w:multiLevelType w:val="multilevel"/>
    <w:tmpl w:val="67754947"/>
    <w:lvl w:ilvl="0" w:tentative="0">
      <w:start w:val="2"/>
      <w:numFmt w:val="bullet"/>
      <w:lvlText w:val="-"/>
      <w:lvlJc w:val="left"/>
      <w:pPr>
        <w:ind w:left="1428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CF"/>
    <w:rsid w:val="00100C0A"/>
    <w:rsid w:val="0012204D"/>
    <w:rsid w:val="0017636B"/>
    <w:rsid w:val="001F4702"/>
    <w:rsid w:val="003C6D8C"/>
    <w:rsid w:val="00555FFC"/>
    <w:rsid w:val="005C246C"/>
    <w:rsid w:val="006A3DBC"/>
    <w:rsid w:val="00773A9A"/>
    <w:rsid w:val="007B78C0"/>
    <w:rsid w:val="00916CE3"/>
    <w:rsid w:val="00971DCF"/>
    <w:rsid w:val="00AD1F46"/>
    <w:rsid w:val="00B82902"/>
    <w:rsid w:val="00B926FE"/>
    <w:rsid w:val="00BB3AE8"/>
    <w:rsid w:val="00C0212F"/>
    <w:rsid w:val="00E55B12"/>
    <w:rsid w:val="00E668F8"/>
    <w:rsid w:val="00F12FA5"/>
    <w:rsid w:val="00F61545"/>
    <w:rsid w:val="00F66138"/>
    <w:rsid w:val="00FF636E"/>
    <w:rsid w:val="01686434"/>
    <w:rsid w:val="13727D5F"/>
    <w:rsid w:val="15DE5E67"/>
    <w:rsid w:val="2FCF153F"/>
    <w:rsid w:val="3D1C7880"/>
    <w:rsid w:val="3D2A35EE"/>
    <w:rsid w:val="4A583952"/>
    <w:rsid w:val="66AA2F53"/>
    <w:rsid w:val="675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left="709"/>
    </w:pPr>
    <w:rPr>
      <w:rFonts w:ascii="Times New Roman" w:hAnsi="Times New Roman" w:eastAsia="Times New Roman" w:cs="Times New Roman"/>
      <w:color w:val="000000"/>
      <w:sz w:val="28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customStyle="1" w:styleId="10">
    <w:name w:val="Code"/>
    <w:basedOn w:val="1"/>
    <w:qFormat/>
    <w:uiPriority w:val="0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WPSOffice手动目录 1"/>
    <w:qFormat/>
    <w:uiPriority w:val="0"/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4">
    <w:name w:val="WPSOffice手动目录 3"/>
    <w:qFormat/>
    <w:uiPriority w:val="0"/>
    <w:pPr>
      <w:ind w:left="400" w:leftChars="400"/>
    </w:pPr>
    <w:rPr>
      <w:rFonts w:eastAsia="Times New Roman" w:asciiTheme="minorHAnsi" w:hAnsiTheme="minorHAnsi" w:cstheme="minorBidi"/>
      <w:lang w:val="ru-RU" w:eastAsia="ru-RU" w:bidi="ar-SA"/>
    </w:rPr>
  </w:style>
  <w:style w:type="character" w:customStyle="1" w:styleId="15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line="259" w:lineRule="auto"/>
      <w:ind w:left="0"/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29C74-B08C-4659-9811-9B0ACD71C3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2544</Words>
  <Characters>14506</Characters>
  <Lines>120</Lines>
  <Paragraphs>34</Paragraphs>
  <TotalTime>12</TotalTime>
  <ScaleCrop>false</ScaleCrop>
  <LinksUpToDate>false</LinksUpToDate>
  <CharactersWithSpaces>17016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2024-02-22T14:55:00Z</dcterms:created>
  <dc:creator>Sidorov Stas</dc:creator>
  <cp:lastModifiedBy>User</cp:lastModifiedBy>
  <dcterms:modified xsi:type="dcterms:W3CDTF">2024-02-29T15:01:08Z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456B8EEC0B3F4C7F870FD46AEE94DB1C_12</vt:lpwstr>
  </property>
</Properties>
</file>