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6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Средствами операционной системы найдите процессы, отвечающие за работу буферного кэша и журнала WAL.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Остановите PostgreSQL в режиме fast; снова запустите его. Просмотрите журнал сообщений сервера.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Теперь остановите в режиме immediate и снова запустите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Просмотрите журнал сообщений сервера и сравните с предыдущим пунктом.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Отыщите текущую позицию в журнале, добавьте пару строк и проверьте снова. Отвечает ли результат ожиданиям?</w:t>
      </w:r>
    </w:p>
    <w:p>
      <w:pPr>
        <w:spacing w:line="360" w:lineRule="auto"/>
        <w:jc w:val="both"/>
        <w:rPr>
          <w:szCs w:val="28"/>
        </w:rPr>
      </w:pP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Отчёт 1</w:t>
      </w:r>
      <w:r>
        <w:rPr>
          <w:rFonts w:hint="default"/>
          <w:lang w:val="ru-RU"/>
        </w:rPr>
        <w:t>3</w:t>
      </w:r>
      <w:r>
        <w:t xml:space="preserve"> страниц, </w:t>
      </w:r>
      <w:r>
        <w:rPr>
          <w:rFonts w:hint="default"/>
          <w:lang w:val="ru-RU"/>
        </w:rPr>
        <w:t>7</w:t>
      </w:r>
      <w:r>
        <w:t xml:space="preserve"> рисунков, 5 источников, 1 приложение.</w:t>
      </w:r>
    </w:p>
    <w:p>
      <w:pPr>
        <w:spacing w:line="360" w:lineRule="auto"/>
        <w:ind w:left="720" w:hanging="12"/>
      </w:pPr>
      <w:r>
        <w:t xml:space="preserve">POSTGRESQL, ВОССТАНОВЛЕНИЕ, </w:t>
      </w:r>
      <w:r>
        <w:rPr>
          <w:lang w:val="ru-RU"/>
        </w:rPr>
        <w:t>ЖУРНАЛ</w:t>
      </w:r>
      <w:r>
        <w:rPr>
          <w:rFonts w:hint="default"/>
          <w:lang w:val="ru-RU"/>
        </w:rPr>
        <w:t xml:space="preserve"> ТРАНЗАКЦИЙ</w:t>
      </w:r>
      <w:r>
        <w:t>, РЕЗЕРВНАЯ КОПИЯ,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работа с журналом</w:t>
      </w:r>
      <w:r>
        <w:rPr>
          <w:rFonts w:hint="default"/>
          <w:lang w:val="ru-RU"/>
        </w:rPr>
        <w:t xml:space="preserve"> транзакций</w:t>
      </w:r>
      <w:r>
        <w:rPr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производилось</w:t>
      </w:r>
      <w:r>
        <w:rPr>
          <w:rFonts w:hint="default"/>
          <w:lang w:val="ru-RU"/>
        </w:rPr>
        <w:t xml:space="preserve"> изучение структуры журнала транзакций</w:t>
      </w:r>
      <w:r>
        <w:rPr>
          <w:lang w:val="ru-RU"/>
        </w:rPr>
        <w:t>.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Результатом являются сведения по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взаимодействи</w:t>
      </w:r>
      <w:r>
        <w:rPr>
          <w:rFonts w:cs="Times New Roman"/>
          <w:sz w:val="28"/>
          <w:szCs w:val="28"/>
          <w:lang w:val="ru-RU"/>
        </w:rPr>
        <w:t>ю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между транзакциями, блокировками и журналом транзакций для предотвращения конфликтов и обеспечения правильной записи изменений в журнал</w:t>
      </w:r>
      <w:r>
        <w:rPr>
          <w:rFonts w:hint="default" w:cs="Times New Roman"/>
          <w:sz w:val="28"/>
          <w:szCs w:val="28"/>
          <w:lang w:val="ru-RU"/>
        </w:rPr>
        <w:t>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_Toc24510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_Toc24510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_Toc28198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bCs/>
              <w:lang w:val="ru-RU"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_Toc28198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_Toc21332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_Toc21332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_Toc16716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_Toc16716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_Toc29383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_Toc29383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bookmarkStart w:id="19" w:name="_GoBack"/>
      <w:bookmarkEnd w:id="19"/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0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4510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bookmarkStart w:id="4" w:name="_Toc133250688"/>
      <w:bookmarkStart w:id="5" w:name="_Toc133250496"/>
      <w:r>
        <w:rPr>
          <w:lang w:val="ru-RU"/>
        </w:rPr>
        <w:t xml:space="preserve">В современном информационном обществе, где огромные </w:t>
      </w:r>
      <w:r>
        <w:rPr>
          <w:lang w:val="en-US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>
        <w:rPr>
          <w:lang w:val="en-US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важных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аспектов этой безопасности является журнализация</w:t>
      </w:r>
      <w:r>
        <w:rPr>
          <w:rFonts w:hint="default"/>
          <w:lang w:val="ru-RU"/>
        </w:rPr>
        <w:t xml:space="preserve"> изменений БД</w:t>
      </w:r>
      <w:r>
        <w:rPr>
          <w:lang w:val="ru-RU"/>
        </w:rPr>
        <w:t>.</w:t>
      </w:r>
    </w:p>
    <w:p>
      <w:pPr>
        <w:pStyle w:val="3"/>
        <w:ind w:firstLine="708"/>
        <w:rPr>
          <w:rFonts w:hint="default"/>
          <w:lang w:val="ru-RU"/>
        </w:rPr>
      </w:pPr>
      <w:r>
        <w:rPr>
          <w:lang w:val="ru-RU"/>
        </w:rPr>
        <w:t>Целью данной работы является изучение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5"/>
        </w:numPr>
        <w:outlineLvl w:val="0"/>
      </w:pPr>
      <w:bookmarkStart w:id="6" w:name="_Toc28198"/>
      <w:r>
        <w:rPr>
          <w:b/>
          <w:bCs/>
          <w:lang w:val="ru-RU"/>
        </w:rPr>
        <w:t>ВЫПОЛНЕНИЕ ПРАКТИЧЕСКОЙ РАБОТЫ</w:t>
      </w:r>
      <w:bookmarkEnd w:id="4"/>
      <w:bookmarkEnd w:id="5"/>
      <w:bookmarkEnd w:id="6"/>
      <w:bookmarkStart w:id="7" w:name="_Toc133250704"/>
      <w:bookmarkStart w:id="8" w:name="_Toc133250512"/>
    </w:p>
    <w:p>
      <w:pPr>
        <w:pStyle w:val="3"/>
        <w:numPr>
          <w:numId w:val="0"/>
        </w:numPr>
        <w:spacing w:line="360" w:lineRule="auto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Для выполнения данной практической работы было установлена СУБД </w:t>
      </w:r>
      <w:r>
        <w:rPr>
          <w:rFonts w:hint="default"/>
          <w:b w:val="0"/>
          <w:bCs w:val="0"/>
          <w:lang w:val="en-US"/>
        </w:rPr>
        <w:t xml:space="preserve">PostgreSQL </w:t>
      </w:r>
      <w:r>
        <w:rPr>
          <w:rFonts w:hint="default"/>
          <w:b w:val="0"/>
          <w:bCs w:val="0"/>
          <w:lang w:val="ru-RU"/>
        </w:rPr>
        <w:t xml:space="preserve">на виртуальную машину под управлением ОС </w:t>
      </w:r>
      <w:r>
        <w:rPr>
          <w:rFonts w:hint="default"/>
          <w:b w:val="0"/>
          <w:bCs w:val="0"/>
          <w:lang w:val="en-US"/>
        </w:rPr>
        <w:t xml:space="preserve">Linux. </w:t>
      </w:r>
      <w:r>
        <w:rPr>
          <w:rFonts w:hint="default"/>
          <w:b w:val="0"/>
          <w:bCs w:val="0"/>
          <w:lang w:val="ru-RU"/>
        </w:rPr>
        <w:t xml:space="preserve">С помощью команды </w:t>
      </w:r>
      <w:r>
        <w:rPr>
          <w:rFonts w:hint="default"/>
          <w:b w:val="0"/>
          <w:bCs w:val="0"/>
          <w:lang w:val="en-US"/>
        </w:rPr>
        <w:t xml:space="preserve">ps aux </w:t>
      </w:r>
      <w:r>
        <w:rPr>
          <w:rFonts w:hint="default"/>
          <w:b w:val="0"/>
          <w:bCs w:val="0"/>
          <w:lang w:val="ru-RU"/>
        </w:rPr>
        <w:t xml:space="preserve">были получены процессы отвечающие за работу буферного кэша и журнала </w:t>
      </w:r>
      <w:r>
        <w:rPr>
          <w:rFonts w:hint="default"/>
          <w:b w:val="0"/>
          <w:bCs w:val="0"/>
          <w:lang w:val="en-US"/>
        </w:rPr>
        <w:t>WAL</w:t>
      </w:r>
      <w:r>
        <w:rPr>
          <w:rFonts w:hint="default"/>
          <w:b w:val="0"/>
          <w:bCs w:val="0"/>
          <w:lang w:val="ru-RU"/>
        </w:rPr>
        <w:t>, что представлено на рисунке 1.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0900" cy="1076325"/>
            <wp:effectExtent l="0" t="0" r="1270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1 - процессы отвечающие за работу буферного кэша и журнала </w:t>
      </w:r>
      <w:r>
        <w:rPr>
          <w:rFonts w:hint="default"/>
          <w:lang w:val="en-US"/>
        </w:rPr>
        <w:t>WAL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После, был произведен перезапуск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 xml:space="preserve">с помощью утилиты </w:t>
      </w:r>
      <w:r>
        <w:rPr>
          <w:rFonts w:hint="default"/>
          <w:lang w:val="en-US"/>
        </w:rPr>
        <w:t xml:space="preserve">pg_ctl </w:t>
      </w:r>
      <w:r>
        <w:rPr>
          <w:rFonts w:hint="default"/>
          <w:lang w:val="ru-RU"/>
        </w:rPr>
        <w:t xml:space="preserve">в режиме </w:t>
      </w:r>
      <w:r>
        <w:rPr>
          <w:rFonts w:hint="default"/>
          <w:lang w:val="en-US"/>
        </w:rPr>
        <w:t xml:space="preserve">fast </w:t>
      </w:r>
      <w:r>
        <w:rPr>
          <w:rFonts w:hint="default"/>
          <w:lang w:val="ru-RU"/>
        </w:rPr>
        <w:t xml:space="preserve">с записью логов в файл </w:t>
      </w:r>
      <w:r>
        <w:rPr>
          <w:rFonts w:hint="default"/>
          <w:lang w:val="en-US"/>
        </w:rPr>
        <w:t xml:space="preserve">logfile, </w:t>
      </w:r>
      <w:r>
        <w:rPr>
          <w:rFonts w:hint="default"/>
          <w:lang w:val="ru-RU"/>
        </w:rPr>
        <w:t>результат представлен на рисунке 2.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9155" cy="1574800"/>
            <wp:effectExtent l="0" t="0" r="4445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Остановка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>и чтение логов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Для сравнения была произведена остановка в режиме </w:t>
      </w:r>
      <w:r>
        <w:rPr>
          <w:rFonts w:hint="default"/>
          <w:lang w:val="en-US"/>
        </w:rPr>
        <w:t>immediate</w:t>
      </w:r>
      <w:r>
        <w:rPr>
          <w:rFonts w:hint="default"/>
          <w:lang w:val="ru-RU"/>
        </w:rPr>
        <w:t xml:space="preserve">, что представлено на рисунке 3, после которой был произведено повторный запуск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 xml:space="preserve">с записью в </w:t>
      </w:r>
      <w:r>
        <w:rPr>
          <w:rFonts w:hint="default"/>
          <w:lang w:val="en-US"/>
        </w:rPr>
        <w:t>logfile</w:t>
      </w:r>
      <w:r>
        <w:rPr>
          <w:rFonts w:hint="default"/>
          <w:lang w:val="ru-RU"/>
        </w:rPr>
        <w:t>, данные из которого были прочитаны, что представлено на рисунке 4.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4075" cy="168910"/>
            <wp:effectExtent l="0" t="0" r="952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Остановка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 xml:space="preserve">в режиме </w:t>
      </w:r>
      <w:r>
        <w:rPr>
          <w:rFonts w:hint="default"/>
          <w:lang w:val="en-US"/>
        </w:rPr>
        <w:t>immediate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0265" cy="1131570"/>
            <wp:effectExtent l="0" t="0" r="13335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4 - Запуск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>и чтение логов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В результате сравнения полученных записей, было выявлено, что после остановка в режиме </w:t>
      </w:r>
      <w:r>
        <w:rPr>
          <w:rFonts w:hint="default"/>
          <w:lang w:val="en-US"/>
        </w:rPr>
        <w:t xml:space="preserve">immediate </w:t>
      </w:r>
      <w:r>
        <w:rPr>
          <w:rFonts w:hint="default"/>
          <w:lang w:val="ru-RU"/>
        </w:rPr>
        <w:t xml:space="preserve">СУБД выполнила восстановление, чего не происходит после остановки в режиме </w:t>
      </w:r>
      <w:r>
        <w:rPr>
          <w:rFonts w:hint="default"/>
          <w:lang w:val="en-US"/>
        </w:rPr>
        <w:t>fast</w:t>
      </w:r>
      <w:r>
        <w:rPr>
          <w:rFonts w:hint="default"/>
          <w:lang w:val="ru-RU"/>
        </w:rPr>
        <w:t>.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Для выполнения следующего задания была создана база данных с одной таблицей и одной записью в ней, а также создано расширение, требующееся для дальнейшей работы. Для дальнейшего просмотра журнала транзакций было получена текущая позиция в журнале,  а также файл в котором хранится запись. Результаты описанных выше действия представлены на рисунке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981575" cy="4238625"/>
            <wp:effectExtent l="0" t="0" r="9525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первоначальная настройка базы данных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Далее в нее были добавлены несколько записей, для дальнейшего просмотра журнала транзакций было получена текущая позиция в журнале,  а также файл в котором хранится запись, что показано на рисунке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086350" cy="3571875"/>
            <wp:effectExtent l="0" t="0" r="0" b="952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обновление базы данных и получение позиции в журнале транзакций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Основываясь на полученных выше данных был прочитан файл журнала транзакций, содержимое которого продемонстрировано на рисунке 7, с помощью утилиты </w:t>
      </w:r>
      <w:r>
        <w:rPr>
          <w:rFonts w:hint="default"/>
          <w:lang w:val="en-US"/>
        </w:rPr>
        <w:t xml:space="preserve">pg_waldump </w:t>
      </w:r>
      <w:r>
        <w:rPr>
          <w:rFonts w:hint="default"/>
          <w:lang w:val="ru-RU"/>
        </w:rPr>
        <w:t xml:space="preserve">в котором видны записи о вставке в таблицу описанных выше записей.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5345" cy="1414145"/>
            <wp:effectExtent l="0" t="0" r="8255" b="1460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Чтение файла журнала транзакций</w:t>
      </w:r>
    </w:p>
    <w:p>
      <w:pPr>
        <w:pStyle w:val="2"/>
        <w:numPr>
          <w:ilvl w:val="0"/>
          <w:numId w:val="0"/>
        </w:numPr>
      </w:pPr>
      <w:bookmarkStart w:id="9" w:name="_Toc592"/>
      <w:bookmarkStart w:id="10" w:name="_Toc21332"/>
      <w:r>
        <w:t>ЗАКЛЮЧЕНИЕ</w:t>
      </w:r>
      <w:bookmarkEnd w:id="7"/>
      <w:bookmarkEnd w:id="8"/>
      <w:bookmarkEnd w:id="9"/>
      <w:bookmarkEnd w:id="10"/>
    </w:p>
    <w:p>
      <w:pPr>
        <w:spacing w:line="360" w:lineRule="auto"/>
        <w:ind w:right="-2" w:firstLine="708"/>
        <w:jc w:val="both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практической работы были получены практические навыки по работе с журналом транзакций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 В результате были получены знания о структуре журнала транзакций и форматов записей, взаимодействии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1" w:name="СПИСОК_ИСПОЛЬЗОВАННЫХ_ИСТОЧНИКОВ"/>
      <w:bookmarkEnd w:id="11"/>
      <w:bookmarkStart w:id="12" w:name="_Toc133250706"/>
      <w:bookmarkStart w:id="13" w:name="_Toc8784"/>
      <w:bookmarkStart w:id="14" w:name="_Toc133250514"/>
      <w:bookmarkStart w:id="15" w:name="_Toc16716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6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6" w:name="_Toc3333"/>
      <w:bookmarkStart w:id="17" w:name="_Toc29383"/>
      <w:r>
        <w:t>ПРИЛОЖЕНИЕ А</w:t>
      </w:r>
      <w:bookmarkEnd w:id="16"/>
      <w:bookmarkEnd w:id="17"/>
    </w:p>
    <w:p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>
      <w:pPr>
        <w:pStyle w:val="3"/>
        <w:ind w:firstLine="0"/>
        <w:rPr>
          <w:lang w:val="ru-RU"/>
        </w:rPr>
      </w:pPr>
      <w:r>
        <w:rPr>
          <w:lang w:val="ru-RU"/>
        </w:rPr>
        <w:t>Листинг 1 – Команды командной строки для выполнения работы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#Остановка в режиме fast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/usr/lib/postgresql/14/bin/pg_ctl -w -l ~/logfile -D /var/lib/postgresql/14/main restart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#Остановка в режиме immidiate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/usr/lib/postgresql/14/bin/pg_ctl -w -D /var/lib/postgresql/14/main stop -m immediate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/usr/lib/postgresql/14/bin/pg_ctl -w -l ~/logfile -D /var/lib/postgresql/14/main start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#Чтение файла журнала транзакций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/usr/lib/postgresql/14/bin/pg_waldump -p /var/lib/postgresql/14/main2/pg_wal -s 0/1760358 -e 0/17605d8 000000010000000000000001</w:t>
      </w:r>
    </w:p>
    <w:p>
      <w:pPr>
        <w:pStyle w:val="3"/>
        <w:ind w:firstLine="0"/>
        <w:rPr>
          <w:lang w:val="ru-RU"/>
        </w:rPr>
      </w:pPr>
    </w:p>
    <w:p>
      <w:pPr>
        <w:widowControl/>
        <w:autoSpaceDE/>
        <w:autoSpaceDN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database wal_log;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\c wal_log;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table t(id integer);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t values 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extension pageinspect;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pg_current_wal_insert_lsn();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pg_walfile_name('0/1760358');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 from pg_ls_waldir() LIMIT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t values(2);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t values(3);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pg_current_wal_insert_lsn();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pg_walfile_name('0/17605d8');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 from pg_ls_waldir() LIMIT 10;</w:t>
      </w: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467C42"/>
    <w:multiLevelType w:val="multilevel"/>
    <w:tmpl w:val="26467C4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34E305A"/>
    <w:rsid w:val="046BA532"/>
    <w:rsid w:val="058E25DF"/>
    <w:rsid w:val="05F6C261"/>
    <w:rsid w:val="06841A62"/>
    <w:rsid w:val="06A6BD55"/>
    <w:rsid w:val="07860FE4"/>
    <w:rsid w:val="0AB20240"/>
    <w:rsid w:val="0E8A5147"/>
    <w:rsid w:val="0F97761E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E0ABDF"/>
    <w:rsid w:val="453F4006"/>
    <w:rsid w:val="46C84F02"/>
    <w:rsid w:val="471C3AC1"/>
    <w:rsid w:val="478C430A"/>
    <w:rsid w:val="47EA4FA0"/>
    <w:rsid w:val="497F64ED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5CD6F21"/>
    <w:rsid w:val="560E482A"/>
    <w:rsid w:val="57466C3E"/>
    <w:rsid w:val="575B2889"/>
    <w:rsid w:val="57BF2992"/>
    <w:rsid w:val="593A76CF"/>
    <w:rsid w:val="593F0652"/>
    <w:rsid w:val="59512029"/>
    <w:rsid w:val="5A2A2C3C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933D7C"/>
    <w:rsid w:val="712004FA"/>
    <w:rsid w:val="733516C1"/>
    <w:rsid w:val="745849A0"/>
    <w:rsid w:val="747827E8"/>
    <w:rsid w:val="76B778C5"/>
    <w:rsid w:val="77DA542F"/>
    <w:rsid w:val="789E74F1"/>
    <w:rsid w:val="78AE0F6E"/>
    <w:rsid w:val="792A1C9F"/>
    <w:rsid w:val="7978254C"/>
    <w:rsid w:val="7DCD4A82"/>
    <w:rsid w:val="7E2F2D63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page number"/>
    <w:basedOn w:val="7"/>
    <w:semiHidden/>
    <w:unhideWhenUsed/>
    <w:qFormat/>
    <w:uiPriority w:val="99"/>
  </w:style>
  <w:style w:type="paragraph" w:styleId="14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5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8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19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0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1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3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25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Заголовок_1"/>
    <w:basedOn w:val="20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6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21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14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5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24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3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2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56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667</Words>
  <Characters>3808</Characters>
  <Lines>31</Lines>
  <Paragraphs>8</Paragraphs>
  <TotalTime>0</TotalTime>
  <ScaleCrop>false</ScaleCrop>
  <LinksUpToDate>false</LinksUpToDate>
  <CharactersWithSpaces>4467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2024-03-12T09:07:02Z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