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proofErr w:type="gramStart"/>
      <w:r w:rsidRPr="00F676AC">
        <w:rPr>
          <w:rFonts w:ascii="Arial" w:hAnsi="Arial" w:cs="Arial"/>
          <w:bCs/>
          <w:szCs w:val="28"/>
        </w:rPr>
        <w:t>Invited</w:t>
      </w:r>
      <w:proofErr w:type="gramEnd"/>
      <w:r w:rsidRPr="00F676AC">
        <w:rPr>
          <w:rFonts w:ascii="Arial" w:hAnsi="Arial" w:cs="Arial"/>
          <w:bCs/>
          <w:szCs w:val="28"/>
        </w:rPr>
        <w:t xml:space="preserve">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proofErr w:type="gramStart"/>
      <w:r>
        <w:rPr>
          <w:rFonts w:ascii="Arial" w:hAnsi="Arial" w:cs="Arial"/>
          <w:bCs/>
          <w:szCs w:val="28"/>
        </w:rPr>
        <w:t>Consistently</w:t>
      </w:r>
      <w:proofErr w:type="gramEnd"/>
      <w:r>
        <w:rPr>
          <w:rFonts w:ascii="Arial" w:hAnsi="Arial" w:cs="Arial"/>
          <w:bCs/>
          <w:szCs w:val="28"/>
        </w:rPr>
        <w:t xml:space="preserve">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81F899" w14:textId="72DE3B6E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proofErr w:type="gramStart"/>
      <w:r w:rsidR="00AB6918">
        <w:rPr>
          <w:rFonts w:ascii="Arial" w:hAnsi="Arial" w:cs="Arial"/>
          <w:i/>
          <w:iCs/>
        </w:rPr>
        <w:t>Ecological</w:t>
      </w:r>
      <w:proofErr w:type="gramEnd"/>
      <w:r w:rsidR="00AB6918">
        <w:rPr>
          <w:rFonts w:ascii="Arial" w:hAnsi="Arial" w:cs="Arial"/>
          <w:i/>
          <w:iCs/>
        </w:rPr>
        <w:t xml:space="preserve">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 xml:space="preserve">Ecological Society of </w:t>
      </w:r>
      <w:proofErr w:type="gramStart"/>
      <w:r w:rsidRPr="005134EB">
        <w:rPr>
          <w:rFonts w:ascii="Arial" w:hAnsi="Arial" w:cs="Arial"/>
          <w:i/>
        </w:rPr>
        <w:t>America</w:t>
      </w:r>
      <w:proofErr w:type="gramEnd"/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46C1ACD8" w14:textId="5EBC5749" w:rsidR="00F1002A" w:rsidRPr="00CE3A89" w:rsidRDefault="00CE3A89" w:rsidP="00CE3A8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CE3A89">
        <w:rPr>
          <w:rFonts w:ascii="Arial" w:hAnsi="Arial" w:cs="Arial"/>
          <w:b/>
          <w:bCs/>
          <w:lang w:val="en-CA"/>
        </w:rPr>
        <w:t>Simovic, M.</w:t>
      </w:r>
      <w:r w:rsidRPr="00CE3A89">
        <w:rPr>
          <w:rFonts w:ascii="Arial" w:hAnsi="Arial" w:cs="Arial"/>
          <w:lang w:val="en-CA"/>
        </w:rPr>
        <w:t>, &amp; Michaletz, S. T. (2025). Hydraulics and Structural Mechanics Jointly Shape Root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>to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 xml:space="preserve">Leaf Scaling of Xylem Conduit Traits. </w:t>
      </w:r>
      <w:r w:rsidRPr="00CE3A89">
        <w:rPr>
          <w:rFonts w:ascii="Arial" w:hAnsi="Arial" w:cs="Arial"/>
          <w:i/>
          <w:iCs/>
          <w:lang w:val="en-CA"/>
        </w:rPr>
        <w:t>Plant, Cell &amp; Environment</w:t>
      </w:r>
      <w:r w:rsidRPr="00CE3A89">
        <w:rPr>
          <w:rFonts w:ascii="Arial" w:hAnsi="Arial" w:cs="Arial"/>
          <w:lang w:val="en-CA"/>
        </w:rPr>
        <w:t xml:space="preserve">. </w:t>
      </w:r>
      <w:hyperlink r:id="rId11" w:history="1">
        <w:r w:rsidR="00E35A51" w:rsidRPr="00CE3A89">
          <w:rPr>
            <w:rStyle w:val="Hyperlink"/>
            <w:rFonts w:ascii="Arial" w:hAnsi="Arial" w:cs="Arial"/>
            <w:lang w:val="en-CA"/>
          </w:rPr>
          <w:t>https://doi.org/10.1111/pce.15660</w:t>
        </w:r>
      </w:hyperlink>
      <w:r w:rsidR="00E35A51">
        <w:rPr>
          <w:rFonts w:ascii="Arial" w:hAnsi="Arial" w:cs="Arial"/>
          <w:lang w:val="en-CA"/>
        </w:rPr>
        <w:t>.</w:t>
      </w:r>
    </w:p>
    <w:p w14:paraId="6D7EC7C7" w14:textId="0545184B" w:rsidR="00F1002A" w:rsidRPr="00F1002A" w:rsidRDefault="00F1002A" w:rsidP="00F1002A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7350F48F" w14:textId="1EA1D4AF" w:rsidR="00914852" w:rsidRPr="00914852" w:rsidRDefault="00914852" w:rsidP="00914852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914852">
        <w:rPr>
          <w:rFonts w:ascii="Arial" w:hAnsi="Arial" w:cs="Arial"/>
          <w:b/>
          <w:bCs/>
          <w:lang w:val="en-CA"/>
        </w:rPr>
        <w:t>Simovic, M.</w:t>
      </w:r>
      <w:r w:rsidRPr="00914852">
        <w:rPr>
          <w:rFonts w:ascii="Arial" w:hAnsi="Arial" w:cs="Arial"/>
          <w:lang w:val="en-CA"/>
        </w:rPr>
        <w:t xml:space="preserve">, Mueller, K. E., McMahon, S. M., &amp; Medeiros, J. S. (2024). Functional traits and size interact to influence growth and carbon sequestration among trees in urban greenspaces. </w:t>
      </w:r>
      <w:r w:rsidRPr="00914852">
        <w:rPr>
          <w:rFonts w:ascii="Arial" w:hAnsi="Arial" w:cs="Arial"/>
          <w:i/>
          <w:iCs/>
          <w:lang w:val="en-CA"/>
        </w:rPr>
        <w:t>Functional Ecology</w:t>
      </w:r>
      <w:r w:rsidRPr="00914852">
        <w:rPr>
          <w:rFonts w:ascii="Arial" w:hAnsi="Arial" w:cs="Arial"/>
          <w:lang w:val="en-CA"/>
        </w:rPr>
        <w:t xml:space="preserve">, </w:t>
      </w:r>
      <w:r w:rsidRPr="00914852">
        <w:rPr>
          <w:rFonts w:ascii="Arial" w:hAnsi="Arial" w:cs="Arial"/>
          <w:i/>
          <w:iCs/>
          <w:lang w:val="en-CA"/>
        </w:rPr>
        <w:t>38</w:t>
      </w:r>
      <w:r w:rsidRPr="00914852">
        <w:rPr>
          <w:rFonts w:ascii="Arial" w:hAnsi="Arial" w:cs="Arial"/>
          <w:lang w:val="en-CA"/>
        </w:rPr>
        <w:t xml:space="preserve">(4), 967–983. </w:t>
      </w:r>
      <w:hyperlink r:id="rId13" w:history="1">
        <w:r w:rsidRPr="00427E9E">
          <w:rPr>
            <w:rStyle w:val="Hyperlink"/>
            <w:rFonts w:ascii="Arial" w:hAnsi="Arial" w:cs="Arial"/>
            <w:lang w:val="en-CA"/>
          </w:rPr>
          <w:t>https://doi.org/10.1111/1365-2435.14505</w:t>
        </w:r>
      </w:hyperlink>
      <w:r>
        <w:rPr>
          <w:rFonts w:ascii="Arial" w:hAnsi="Arial" w:cs="Arial"/>
          <w:lang w:val="en-CA"/>
        </w:rPr>
        <w:t>.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>contribute to freeze-</w:t>
      </w:r>
      <w:proofErr w:type="gramStart"/>
      <w:r w:rsidR="006A6083">
        <w:rPr>
          <w:rFonts w:ascii="Arial" w:hAnsi="Arial" w:cs="Arial"/>
        </w:rPr>
        <w:t>thaw embolism</w:t>
      </w:r>
      <w:proofErr w:type="gramEnd"/>
      <w:r w:rsidR="006A6083">
        <w:rPr>
          <w:rFonts w:ascii="Arial" w:hAnsi="Arial" w:cs="Arial"/>
        </w:rPr>
        <w:t xml:space="preserve">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 xml:space="preserve">Experiential Learning: </w:t>
      </w:r>
      <w:proofErr w:type="spellStart"/>
      <w:r w:rsidR="004054E8" w:rsidRPr="004054E8">
        <w:rPr>
          <w:rFonts w:ascii="Arial" w:hAnsi="Arial" w:cs="Arial"/>
          <w:bCs/>
        </w:rPr>
        <w:t>TAing</w:t>
      </w:r>
      <w:proofErr w:type="spellEnd"/>
      <w:r w:rsidR="004054E8" w:rsidRPr="004054E8">
        <w:rPr>
          <w:rFonts w:ascii="Arial" w:hAnsi="Arial" w:cs="Arial"/>
          <w:bCs/>
        </w:rPr>
        <w:t xml:space="preserve"> Lab and Field Courses</w:t>
      </w:r>
      <w:r w:rsidR="004054E8">
        <w:rPr>
          <w:rFonts w:ascii="Arial" w:hAnsi="Arial" w:cs="Arial"/>
          <w:bCs/>
        </w:rPr>
        <w:t>” (</w:t>
      </w:r>
      <w:proofErr w:type="gramStart"/>
      <w:r w:rsidR="004054E8">
        <w:rPr>
          <w:rFonts w:ascii="Arial" w:hAnsi="Arial" w:cs="Arial"/>
          <w:bCs/>
        </w:rPr>
        <w:t>March,</w:t>
      </w:r>
      <w:proofErr w:type="gramEnd"/>
      <w:r w:rsidR="004054E8">
        <w:rPr>
          <w:rFonts w:ascii="Arial" w:hAnsi="Arial" w:cs="Arial"/>
          <w:bCs/>
        </w:rPr>
        <w:t xml:space="preserve">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4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</w:t>
      </w:r>
      <w:proofErr w:type="gramStart"/>
      <w:r w:rsidR="00C17043" w:rsidRPr="007F3BBC">
        <w:rPr>
          <w:rFonts w:ascii="Arial" w:hAnsi="Arial" w:cs="Arial"/>
        </w:rPr>
        <w:t>Received</w:t>
      </w:r>
      <w:proofErr w:type="gramEnd"/>
      <w:r w:rsidR="00C17043" w:rsidRPr="007F3BBC">
        <w:rPr>
          <w:rFonts w:ascii="Arial" w:hAnsi="Arial" w:cs="Arial"/>
        </w:rPr>
        <w:t xml:space="preserve">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DFB27" w14:textId="77777777" w:rsidR="002034BB" w:rsidRDefault="002034BB" w:rsidP="00391B06">
      <w:r>
        <w:separator/>
      </w:r>
    </w:p>
  </w:endnote>
  <w:endnote w:type="continuationSeparator" w:id="0">
    <w:p w14:paraId="0C2727F6" w14:textId="77777777" w:rsidR="002034BB" w:rsidRDefault="002034BB" w:rsidP="00391B06">
      <w:r>
        <w:continuationSeparator/>
      </w:r>
    </w:p>
  </w:endnote>
  <w:endnote w:type="continuationNotice" w:id="1">
    <w:p w14:paraId="666FB899" w14:textId="77777777" w:rsidR="002034BB" w:rsidRDefault="00203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5F689" w14:textId="77777777" w:rsidR="002034BB" w:rsidRDefault="002034BB" w:rsidP="00391B06">
      <w:r>
        <w:separator/>
      </w:r>
    </w:p>
  </w:footnote>
  <w:footnote w:type="continuationSeparator" w:id="0">
    <w:p w14:paraId="3668932A" w14:textId="77777777" w:rsidR="002034BB" w:rsidRDefault="002034BB" w:rsidP="00391B06">
      <w:r>
        <w:continuationSeparator/>
      </w:r>
    </w:p>
  </w:footnote>
  <w:footnote w:type="continuationNotice" w:id="1">
    <w:p w14:paraId="5E5418B9" w14:textId="77777777" w:rsidR="002034BB" w:rsidRDefault="002034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34BB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263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4852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0D5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3A89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A51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02A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1365-2435.145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ce.1566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www.k-state.edu/ecophyslab/phys_fest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Milos Simovic</cp:lastModifiedBy>
  <cp:revision>52</cp:revision>
  <dcterms:created xsi:type="dcterms:W3CDTF">2024-11-13T18:57:00Z</dcterms:created>
  <dcterms:modified xsi:type="dcterms:W3CDTF">2025-06-05T16:46:00Z</dcterms:modified>
</cp:coreProperties>
</file>