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ection"/>
    <w:p>
      <w:pPr>
        <w:pStyle w:val="Heading1"/>
      </w:pPr>
      <w:r>
        <w:t xml:space="preserve"> </w:t>
      </w:r>
    </w:p>
    <w:bookmarkEnd w:id="9"/>
    <w:bookmarkStart w:id="14" w:name="Xa67ad2d5737d26413983ebee3585e4d6cbdf4d3"/>
    <w:p>
      <w:pPr>
        <w:pStyle w:val="Heading1"/>
      </w:pPr>
      <w:r>
        <w:t xml:space="preserve">Heterogeneity in GLP-1, GIP and glucagon responses during an oral glucose tolerance test among individuals at high risk of type 2 diabetes</w:t>
      </w:r>
    </w:p>
    <w:p>
      <w:pPr>
        <w:pStyle w:val="FirstParagraph"/>
      </w:pPr>
      <w:r>
        <w:rPr>
          <w:b/>
          <w:bCs/>
        </w:rPr>
        <w:t xml:space="preserve">Authors:</w:t>
      </w:r>
      <w:r>
        <w:br/>
      </w:r>
      <w:r>
        <w:t xml:space="preserve">Mikkel Errboe Steentoft</w:t>
      </w:r>
      <w:r>
        <w:t xml:space="preserve">1</w:t>
      </w:r>
      <w:r>
        <w:t xml:space="preserve">, Gunnar Vase Toft</w:t>
      </w:r>
      <w:r>
        <w:t xml:space="preserve">2</w:t>
      </w:r>
      <w:r>
        <w:t xml:space="preserve">, Jonas R. Schaarup</w:t>
      </w:r>
      <w:r>
        <w:t xml:space="preserve">1</w:t>
      </w:r>
      <w:r>
        <w:t xml:space="preserve">, Daniel R. Witte</w:t>
      </w:r>
      <w:r>
        <w:t xml:space="preserve">1,2</w:t>
      </w:r>
    </w:p>
    <w:p>
      <w:pPr>
        <w:pStyle w:val="BodyText"/>
      </w:pPr>
      <w:r>
        <w:rPr>
          <w:b/>
          <w:bCs/>
        </w:rPr>
        <w:t xml:space="preserve">Affiliations:</w:t>
      </w:r>
      <w:r>
        <w:br/>
      </w:r>
      <w:r>
        <w:t xml:space="preserve">1</w:t>
      </w:r>
      <w:r>
        <w:t xml:space="preserve">Department of Public Health, Aarhus University, Aarhus, Denmark</w:t>
      </w:r>
      <w:r>
        <w:br/>
      </w:r>
      <w:r>
        <w:t xml:space="preserve">2</w:t>
      </w:r>
      <w:r>
        <w:t xml:space="preserve">Steno Diabetes Center Aarhus, Aarhus, Denmark</w:t>
      </w:r>
    </w:p>
    <w:p>
      <w:pPr>
        <w:pStyle w:val="BodyText"/>
      </w:pPr>
      <w:r>
        <w:rPr>
          <w:b/>
          <w:bCs/>
        </w:rPr>
        <w:t xml:space="preserve">Journal:</w:t>
      </w:r>
      <w:r>
        <w:t xml:space="preserve"> </w:t>
      </w:r>
      <w:r>
        <w:t xml:space="preserve">Metabologia</w:t>
      </w:r>
      <w:r>
        <w:br/>
      </w:r>
      <w:r>
        <w:rPr>
          <w:b/>
          <w:bCs/>
        </w:rPr>
        <w:t xml:space="preserve">Type of paper:</w:t>
      </w:r>
      <w:r>
        <w:t xml:space="preserve"> </w:t>
      </w:r>
      <w:r>
        <w:t xml:space="preserve">Original Article</w:t>
      </w:r>
      <w:r>
        <w:br/>
      </w:r>
      <w:r>
        <w:rPr>
          <w:b/>
          <w:bCs/>
        </w:rPr>
        <w:t xml:space="preserve">Word count:</w:t>
      </w:r>
      <w:r>
        <w:t xml:space="preserve"> </w:t>
      </w:r>
      <w:r>
        <w:t xml:space="preserve">3,500</w:t>
      </w:r>
      <w:r>
        <w:br/>
      </w:r>
      <w:r>
        <w:rPr>
          <w:b/>
          <w:bCs/>
        </w:rPr>
        <w:t xml:space="preserve">Number of figures:</w:t>
      </w:r>
      <w:r>
        <w:t xml:space="preserve"> </w:t>
      </w:r>
      <w:r>
        <w:t xml:space="preserve">4</w:t>
      </w:r>
      <w:r>
        <w:br/>
      </w:r>
      <w:r>
        <w:rPr>
          <w:b/>
          <w:bCs/>
        </w:rPr>
        <w:t xml:space="preserve">References:</w:t>
      </w:r>
      <w:r>
        <w:t xml:space="preserve"> </w:t>
      </w:r>
      <w:r>
        <w:t xml:space="preserve">45</w:t>
      </w:r>
      <w:r>
        <w:br/>
      </w:r>
      <w:r>
        <w:rPr>
          <w:b/>
          <w:bCs/>
        </w:rPr>
        <w:t xml:space="preserve">ORCID IDs:</w:t>
      </w:r>
      <w:r>
        <w:br/>
      </w:r>
      <w:r>
        <w:t xml:space="preserve">Mikkel Errboe Steentoft:</w:t>
      </w:r>
      <w:r>
        <w:t xml:space="preserve"> </w:t>
      </w:r>
      <w:hyperlink r:id="rId10">
        <w:r>
          <w:rPr>
            <w:rStyle w:val="Hyperlink"/>
          </w:rPr>
          <w:t xml:space="preserve">https://orcid.org/0009-0005-5360-3256</w:t>
        </w:r>
      </w:hyperlink>
      <w:r>
        <w:br/>
      </w:r>
      <w:r>
        <w:t xml:space="preserve">Gunnar Vase Toft:</w:t>
      </w:r>
      <w:r>
        <w:t xml:space="preserve"> </w:t>
      </w:r>
      <w:hyperlink r:id="rId11">
        <w:r>
          <w:rPr>
            <w:rStyle w:val="Hyperlink"/>
          </w:rPr>
          <w:t xml:space="preserve">https://orcid.org/0000-0002-7542-6853</w:t>
        </w:r>
      </w:hyperlink>
      <w:r>
        <w:br/>
      </w:r>
      <w:r>
        <w:t xml:space="preserve">Jonas Frey Rosborg Schaarup:</w:t>
      </w:r>
      <w:r>
        <w:t xml:space="preserve"> </w:t>
      </w:r>
      <w:hyperlink r:id="rId12">
        <w:r>
          <w:rPr>
            <w:rStyle w:val="Hyperlink"/>
          </w:rPr>
          <w:t xml:space="preserve">https://orcid.org/0000-0002-7209-2675</w:t>
        </w:r>
      </w:hyperlink>
      <w:r>
        <w:br/>
      </w:r>
      <w:r>
        <w:t xml:space="preserve">Daniel Rinse Witte:</w:t>
      </w:r>
      <w:r>
        <w:t xml:space="preserve"> </w:t>
      </w:r>
      <w:hyperlink r:id="rId13">
        <w:r>
          <w:rPr>
            <w:rStyle w:val="Hyperlink"/>
          </w:rPr>
          <w:t xml:space="preserve">https://orcid.org/0000-0002-0769-2922</w:t>
        </w:r>
      </w:hyperlink>
    </w:p>
    <w:bookmarkEnd w:id="14"/>
    <w:bookmarkStart w:id="15" w:name="abstract"/>
    <w:p>
      <w:pPr>
        <w:pStyle w:val="Heading1"/>
      </w:pPr>
      <w:r>
        <w:rPr>
          <w:b/>
          <w:bCs/>
        </w:rPr>
        <w:t xml:space="preserve">Abstract</w:t>
      </w:r>
    </w:p>
    <w:p>
      <w:pPr>
        <w:pStyle w:val="FirstParagraph"/>
      </w:pPr>
      <w:r>
        <w:rPr>
          <w:b/>
          <w:bCs/>
        </w:rPr>
        <w:t xml:space="preserve">Objective:</w:t>
      </w:r>
      <w:r>
        <w:t xml:space="preserve"> </w:t>
      </w:r>
      <w:r>
        <w:t xml:space="preserve">This cross-sectional study aimed to identify metabolic subgroups among individuals at high risk of type 2 diabetes based on glucose and hormonal responses during an oral glucose tolerance test (OGTT) and to quantify their associations with body fat distribution.</w:t>
      </w:r>
    </w:p>
    <w:p>
      <w:pPr>
        <w:pStyle w:val="BodyText"/>
      </w:pPr>
      <w:r>
        <w:rPr>
          <w:b/>
          <w:bCs/>
        </w:rPr>
        <w:t xml:space="preserve">Research Design and Methods:</w:t>
      </w:r>
      <w:r>
        <w:t xml:space="preserve"> </w:t>
      </w:r>
      <w:r>
        <w:t xml:space="preserve">K-means clustering was applied to 1,381 individuals at high risk of type 2 diabetes from the ADDITION-PRO cohort. Clustering variables included OGTT-derived measures of glucose, incretins (glucagon-like peptide-1 and glucose-dependent insulinotropic polypeptide), insulin sensitivity and glucagon suppression. Visceral (VAT) and subcutaneous (SAT) adipose tissue and body fat percentage were assessed by ultrasound and bioelectrical impedance analysis. Associations between clusters and standardized measures of fat distribution were assessed using linear regression models adjusted for age, sex, smoking and physical activity.</w:t>
      </w:r>
    </w:p>
    <w:p>
      <w:pPr>
        <w:pStyle w:val="BodyText"/>
      </w:pPr>
      <w:r>
        <w:rPr>
          <w:b/>
          <w:bCs/>
        </w:rPr>
        <w:t xml:space="preserve">Results:</w:t>
      </w:r>
      <w:r>
        <w:t xml:space="preserve"> </w:t>
      </w:r>
      <w:r>
        <w:t xml:space="preserve">Three clusters were identified. Cluster 3 had the highest glucose levels, lowest insulin sensitivity, and highest VAT, SAT, VAT/SAT ratio and body fat percentage (0.69, 0.28, 0.18 and 0.62 SD units, respectively). Despite similar glycemic profiles, cluster 1 had the lowest incretin secretion but highest glucagon suppression, while cluster 2 showed the opposite pattern. Cluster 1 had similar VAT to cluster 2 but higher SAT (0.25 SD units), body fat percentage (0.14 SD units) and a lower VAT/SAT ratio (-0.21 SD units).</w:t>
      </w:r>
    </w:p>
    <w:p>
      <w:pPr>
        <w:pStyle w:val="BodyText"/>
      </w:pPr>
      <w:r>
        <w:rPr>
          <w:b/>
          <w:bCs/>
        </w:rPr>
        <w:t xml:space="preserve">Conclusions:</w:t>
      </w:r>
      <w:r>
        <w:t xml:space="preserve"> </w:t>
      </w:r>
      <w:r>
        <w:t xml:space="preserve">These findings suggest that incretin and glucagon responses capture metabolic heterogeneity beyond glycemic status and are associated with differences in body fat distribution. As findings are limited by the cross-sectional design, future studies should examine whether this heterogeneity predicts risk trajectories and responses to prevention strategies.</w:t>
      </w:r>
    </w:p>
    <w:bookmarkEnd w:id="15"/>
    <w:bookmarkStart w:id="16" w:name="introduction"/>
    <w:p>
      <w:pPr>
        <w:pStyle w:val="Heading1"/>
      </w:pPr>
      <w:r>
        <w:t xml:space="preserve">1. Introduction</w:t>
      </w:r>
    </w:p>
    <w:p>
      <w:pPr>
        <w:pStyle w:val="FirstParagraph"/>
      </w:pPr>
      <w:r>
        <w:t xml:space="preserve">Type 2 diabetes represents a large and increasing global health burden, making prevention a central public health priority</w:t>
      </w:r>
      <w:r>
        <w:t xml:space="preserve"> </w:t>
      </w:r>
      <w:r>
        <w:t xml:space="preserve">(1)</w:t>
      </w:r>
      <w:r>
        <w:t xml:space="preserve">. Identifying and characterizing individuals at high risk of type 2 diabetes is therefore essential. Current risk stratification largely relies on glycemic states such as impaired fasting glucose and impaired glucose tolerance, which reflect a combination of insulin resistance and declining beta-cell function</w:t>
      </w:r>
      <w:r>
        <w:t xml:space="preserve"> </w:t>
      </w:r>
      <w:r>
        <w:t xml:space="preserve">(2)</w:t>
      </w:r>
      <w:r>
        <w:t xml:space="preserve">. Although glucose patterns during an oral glucose tolerance test (OGTT) help characterize glycemic states, they provide limited insight into broader metabolic heterogeneity. While heterogeneity in type 2 diabetes is well-established</w:t>
      </w:r>
      <w:r>
        <w:t xml:space="preserve"> </w:t>
      </w:r>
      <w:r>
        <w:t xml:space="preserve">(3, 4)</w:t>
      </w:r>
      <w:r>
        <w:t xml:space="preserve">, emerging evidence suggests that metabolic heterogeneity is already present before diabetes onset, highlighting an opportunity for risk stratification and more targeted prevention strategies</w:t>
      </w:r>
      <w:r>
        <w:t xml:space="preserve"> </w:t>
      </w:r>
      <w:r>
        <w:t xml:space="preserve">(5, 6)</w:t>
      </w:r>
      <w:r>
        <w:t xml:space="preserve">.</w:t>
      </w:r>
    </w:p>
    <w:p>
      <w:pPr>
        <w:pStyle w:val="BodyText"/>
      </w:pPr>
      <w:r>
        <w:t xml:space="preserve">Beyond glucose, the OGTT captures postload hormonal responses that may represent another dimension of metabolic heterogeneity among individuals at high risk of type 2 diabetes. The incretin effect, which is the elevated insulin response to oral versus intravenous glucose, is primarily driven by glucagon-like peptide-1 (GLP-1) and glucose-dependent insulinotropic polypeptide (GIP), which are important regulators of postprandial insulin response and glucose regulation</w:t>
      </w:r>
      <w:r>
        <w:t xml:space="preserve"> </w:t>
      </w:r>
      <w:r>
        <w:t xml:space="preserve">(7)</w:t>
      </w:r>
      <w:r>
        <w:t xml:space="preserve">. GLP-1 enhances insulin secretion and suppresses glucagon, while GIP primarily stimulates insulin secretion. This makes GLP-1 a key regulator of postprandial glucose, further supported by the success of GLP-1-based therapies in treating type 2 diabetes and obesity</w:t>
      </w:r>
      <w:r>
        <w:t xml:space="preserve"> </w:t>
      </w:r>
      <w:r>
        <w:t xml:space="preserve">(8)</w:t>
      </w:r>
      <w:r>
        <w:t xml:space="preserve">. In contrast to the glucose-lowering mechanisms of GLP-1 and GIP, glucagon increases glucose levels by stimulating glycogenolysis in the liver, making its suppression during glucose intake essential for normal glucose regulation</w:t>
      </w:r>
      <w:r>
        <w:t xml:space="preserve"> </w:t>
      </w:r>
      <w:r>
        <w:t xml:space="preserve">(9)</w:t>
      </w:r>
      <w:r>
        <w:t xml:space="preserve">. However, the interplay between incretin secretion and glucagon suppression among individuals with impaired glucose metabolism is complex, underscored by conflicting findings in the literature. Incretin secretion has been found to be decreased</w:t>
      </w:r>
      <w:r>
        <w:t xml:space="preserve"> </w:t>
      </w:r>
      <w:r>
        <w:t xml:space="preserve">(10)</w:t>
      </w:r>
      <w:r>
        <w:t xml:space="preserve">, normal</w:t>
      </w:r>
      <w:r>
        <w:t xml:space="preserve"> </w:t>
      </w:r>
      <w:r>
        <w:t xml:space="preserve">(11)</w:t>
      </w:r>
      <w:r>
        <w:t xml:space="preserve"> </w:t>
      </w:r>
      <w:r>
        <w:t xml:space="preserve">or even increased</w:t>
      </w:r>
      <w:r>
        <w:t xml:space="preserve"> </w:t>
      </w:r>
      <w:r>
        <w:t xml:space="preserve">(12)</w:t>
      </w:r>
      <w:r>
        <w:t xml:space="preserve"> </w:t>
      </w:r>
      <w:r>
        <w:t xml:space="preserve">among individuals with impaired glucose metabolism. Similarly, glucagon suppression appears to vary with insulin sensitivity, as individuals with prediabetes or screen-detected type 2 diabetes exhibit impaired early but relatively normal late glucagon suppression, whereas individuals with higher insulin sensitivity show higher early but lower late glucagon suppression</w:t>
      </w:r>
      <w:r>
        <w:t xml:space="preserve"> </w:t>
      </w:r>
      <w:r>
        <w:t xml:space="preserve">(13, 14)</w:t>
      </w:r>
      <w:r>
        <w:t xml:space="preserve">.</w:t>
      </w:r>
    </w:p>
    <w:p>
      <w:pPr>
        <w:pStyle w:val="BodyText"/>
      </w:pPr>
      <w:r>
        <w:t xml:space="preserve">Additionally, body fat distribution represents another important dimension of metabolic heterogeneity and, in particular, visceral adipose tissue (VAT) and subcutaneous adipose tissue (SAT) are closely linked to both insulin resistance and beta-cell function</w:t>
      </w:r>
      <w:r>
        <w:t xml:space="preserve"> </w:t>
      </w:r>
      <w:r>
        <w:t xml:space="preserve">(15)</w:t>
      </w:r>
      <w:r>
        <w:t xml:space="preserve">. Moreover, differences in fat distribution are already observed across normal glucose tolerance, prediabetes and newly diagnosed type 2 diabetes</w:t>
      </w:r>
      <w:r>
        <w:t xml:space="preserve"> </w:t>
      </w:r>
      <w:r>
        <w:t xml:space="preserve">(16)</w:t>
      </w:r>
      <w:r>
        <w:t xml:space="preserve">. This is further supported by recent phenotyping studies identifying subgroups with distinct characteristics, including diverse patterns of body fat distribution</w:t>
      </w:r>
      <w:r>
        <w:t xml:space="preserve"> </w:t>
      </w:r>
      <w:r>
        <w:t xml:space="preserve">(5, 6)</w:t>
      </w:r>
      <w:r>
        <w:t xml:space="preserve">. However, while both hormonal responses and body fat distribution are recognized as important contributors to metabolic risk, these dimensions are typically studied separately. Furthermore, the clinical use of incretin-based therapies in treating both glycemia and obesity highlights the relevance of incretins, and raises the question of whether endogenous incretin and glucagon secretion relate to body fat distribution. In this context, the interplay between glucose, insulin, incretin and glucagon responses during an OGTT, and how these response patterns relate to measures of body fat distribution remains unclear. The aim of this study was to identify metabolic subgroups among individuals at high risk of type 2 diabetes using K-means clustering of OGTT-derived glucose and hormonal responses and to quantify the associations between these subgroups and measures of body fat distribution.</w:t>
      </w:r>
    </w:p>
    <w:bookmarkEnd w:id="16"/>
    <w:bookmarkStart w:id="24" w:name="research-design-and-methods"/>
    <w:p>
      <w:pPr>
        <w:pStyle w:val="Heading1"/>
      </w:pPr>
      <w:r>
        <w:t xml:space="preserve">2. Research Design and Methods</w:t>
      </w:r>
    </w:p>
    <w:p>
      <w:pPr>
        <w:pStyle w:val="FirstParagraph"/>
      </w:pPr>
      <w:r>
        <w:t xml:space="preserve">This cross-sectional study was based on data from the ADDITION-PRO study, conducted from 2009-2011</w:t>
      </w:r>
      <w:r>
        <w:t xml:space="preserve"> </w:t>
      </w:r>
      <w:r>
        <w:t xml:space="preserve">(17)</w:t>
      </w:r>
      <w:r>
        <w:t xml:space="preserve">. The ADDITION-PRO cohort was sampled from the ADDITION-DK study, a population-based high-risk screening program for type 2 diabetes conducted in Danish general practices from 2001-2006</w:t>
      </w:r>
      <w:r>
        <w:t xml:space="preserve"> </w:t>
      </w:r>
      <w:r>
        <w:t xml:space="preserve">(18)</w:t>
      </w:r>
      <w:r>
        <w:t xml:space="preserve">. Following completion of the screening program, participants without diabetes (n=22,200) were stratified into five categories based on their glycemic status and a diabetes risk score including age, sex, BMI, family history of diabetes, known hypertension and physical activity</w:t>
      </w:r>
      <w:r>
        <w:t xml:space="preserve"> </w:t>
      </w:r>
      <w:r>
        <w:t xml:space="preserve">(19)</w:t>
      </w:r>
      <w:r>
        <w:t xml:space="preserve">: 1) low risk, 2) high risk with normoglycemia (NGT), 3) isolated impaired fasting glucose (iIFG), 4) isolated impaired glucose tolerance (iIGT) and 5) combined impaired fasting glucose and impaired glucose tolerance (IFG+IGT). Individuals with iIFG, iIGT, IFG+IGT and those who had developed type 2 diabetes since screening (n = 1,483 in total) as well as a random sample of individuals at low and high risk with NGT (n = 2705) were invited to the health assessment in the ADDITION-PRO study, of whom 2,082 (50%) agreed to participate</w:t>
      </w:r>
      <w:r>
        <w:t xml:space="preserve"> </w:t>
      </w:r>
      <w:r>
        <w:t xml:space="preserve">(17)</w:t>
      </w:r>
      <w:r>
        <w:t xml:space="preserve">. According to the World Health Organization 2006 criteria</w:t>
      </w:r>
      <w:r>
        <w:t xml:space="preserve"> </w:t>
      </w:r>
      <w:r>
        <w:t xml:space="preserve">(20)</w:t>
      </w:r>
      <w:r>
        <w:t xml:space="preserve">, all participants were categorized as having NGT, iIFG, iIGT, combined IFG and IGT or type 2 diabetes based on fasting plasma glucose (FPG) and 2-hour plasma glucose values (2hPG).</w:t>
      </w:r>
    </w:p>
    <w:p>
      <w:pPr>
        <w:pStyle w:val="BodyText"/>
      </w:pPr>
      <w:r>
        <w:t xml:space="preserve">The ADDITION-PRO study was approved by the Scientific Ethics Committee of the Central Denmark Region (reference no. 20080229) and conducted in accordance with the principles of the Declaration of Helsinki. All participants provided both oral and written informed consent.</w:t>
      </w:r>
    </w:p>
    <w:bookmarkStart w:id="23" w:name="study-procedures"/>
    <w:p>
      <w:pPr>
        <w:pStyle w:val="Heading2"/>
      </w:pPr>
      <w:r>
        <w:t xml:space="preserve">2.1 Study procedures</w:t>
      </w:r>
    </w:p>
    <w:bookmarkStart w:id="17" w:name="biochemical-measures"/>
    <w:p>
      <w:pPr>
        <w:pStyle w:val="Heading3"/>
      </w:pPr>
      <w:r>
        <w:t xml:space="preserve">2.1.1 Biochemical measures</w:t>
      </w:r>
    </w:p>
    <w:p>
      <w:pPr>
        <w:pStyle w:val="FirstParagraph"/>
      </w:pPr>
      <w:r>
        <w:t xml:space="preserve">Glucose, insulin, GLP-1, GIP and glucagon were measured in venous blood samples drawn at 0, 30 and 120 minutes during a standard 2-hour 75g oral glucose tolerance test given to participants after an overnight fast of ≥ 8 hours. Plasma glucose was analyzed using the Hitachi 912 system (Roche Diagnostics, Mannheim, Germany) or the Vitros 5600 Integrated System (Ortho Clinical Diagnostics Illkirch Cedex, France). Subsequently, all values analyzed with Vitros 5600 were converted to Hitachi 912 values. Serum insulin was measured by immunoassay (AutoDELFIA, Perkin Elmer, Massachusetts, United States). For the analysis of GLP-1, GIP and glucagon, blood samples were collected in EDTA-containing tubes, immediately cooled on ice and kept frozen at -80°C until analysis</w:t>
      </w:r>
      <w:r>
        <w:t xml:space="preserve"> </w:t>
      </w:r>
      <w:r>
        <w:t xml:space="preserve">(17)</w:t>
      </w:r>
      <w:r>
        <w:t xml:space="preserve">. Total plasma GLP-1 and GIP were measured by radioimmunoassay (RIA) as previously described</w:t>
      </w:r>
      <w:r>
        <w:t xml:space="preserve"> </w:t>
      </w:r>
      <w:r>
        <w:t xml:space="preserve">(13, 21, 22)</w:t>
      </w:r>
      <w:r>
        <w:t xml:space="preserve">, with an analytical detection limit of 1 pmol/l with intra- and interassay coefficients of variation of 6% and 15%, respectively. Plasma glucagon was measured using a C-terminal-specific RIA as previously described</w:t>
      </w:r>
      <w:r>
        <w:t xml:space="preserve"> </w:t>
      </w:r>
      <w:r>
        <w:t xml:space="preserve">(10, 13, 23)</w:t>
      </w:r>
      <w:r>
        <w:t xml:space="preserve">, with an analytical detection limit of 1 pmol/l and intra- and interassay coefficients of variation of 6% and 15%, respectively. In addition, glycated hemoglobin (HbA1c) was measured from the fasting blood sample measured by high-performance liquid chromatography</w:t>
      </w:r>
      <w:r>
        <w:t xml:space="preserve"> </w:t>
      </w:r>
      <w:r>
        <w:t xml:space="preserve">(17)</w:t>
      </w:r>
      <w:r>
        <w:t xml:space="preserve">.</w:t>
      </w:r>
    </w:p>
    <w:bookmarkEnd w:id="17"/>
    <w:bookmarkStart w:id="18" w:name="measures-of-body-fat-distribution"/>
    <w:p>
      <w:pPr>
        <w:pStyle w:val="Heading3"/>
      </w:pPr>
      <w:r>
        <w:t xml:space="preserve">2.1.2 Measures of body fat distribution</w:t>
      </w:r>
    </w:p>
    <w:p>
      <w:pPr>
        <w:pStyle w:val="FirstParagraph"/>
      </w:pPr>
      <w:r>
        <w:t xml:space="preserve">Measures of abdominal fat distribution were assessed by ultrasound (Logiq9 ultrasound machine, GE Healthcare, Waukesha, WI, USA) according to established protocols</w:t>
      </w:r>
      <w:r>
        <w:t xml:space="preserve"> </w:t>
      </w:r>
      <w:r>
        <w:t xml:space="preserve">(24, 25)</w:t>
      </w:r>
      <w:r>
        <w:t xml:space="preserve">. With the participant in the supine position, VAT and SAT (cm) were measured with the transducer placed where the xiphoid crosses the waistline. SAT was measured as the distance from the skin to the linea alba and VAT was defined as the vertical distance from peritoneum to the front edge of the vertebra. Body fat percentage was assessed by bioelectrical impedance analysis</w:t>
      </w:r>
      <w:r>
        <w:t xml:space="preserve"> </w:t>
      </w:r>
      <w:r>
        <w:t xml:space="preserve">(17)</w:t>
      </w:r>
      <w:r>
        <w:t xml:space="preserve">. Waist circumference was measured to the nearest 0.1 cm at the midpoint between the lower costal margin and the level of the iliac crest. Height was measured to the nearest 0.1 cm with a fixed stadiometer (Seca, Medical Scales and Measuring Systems, Hamburg, Germany) and weight to the nearest 0.1 kg using a Tanita Body Composition Analyser (Tokyo, Japan). BMI was defined as weight in kg divided by height in meters squared</w:t>
      </w:r>
      <w:r>
        <w:t xml:space="preserve"> </w:t>
      </w:r>
      <w:r>
        <w:t xml:space="preserve">(17)</w:t>
      </w:r>
      <w:r>
        <w:t xml:space="preserve">.</w:t>
      </w:r>
    </w:p>
    <w:bookmarkEnd w:id="18"/>
    <w:bookmarkStart w:id="19" w:name="covariates"/>
    <w:p>
      <w:pPr>
        <w:pStyle w:val="Heading3"/>
      </w:pPr>
      <w:r>
        <w:t xml:space="preserve">2.1.3 Covariates</w:t>
      </w:r>
    </w:p>
    <w:p>
      <w:pPr>
        <w:pStyle w:val="FirstParagraph"/>
      </w:pPr>
      <w:r>
        <w:t xml:space="preserve">Smoking status was obtained through a general health questionnaire with three response options: daily smoker, occasional smoker and never smoker. For this analysis, daily and occasional smokers were combined into a single current smoker category. Physical activity was assessed using a combined heart rate and accelerometer monitor (ActiHeart CamNTech, Ltd., Cambridge, United Kingdom</w:t>
      </w:r>
      <w:r>
        <w:t xml:space="preserve"> </w:t>
      </w:r>
      <w:r>
        <w:t xml:space="preserve">(26)</w:t>
      </w:r>
      <w:r>
        <w:t xml:space="preserve">) and participants were asked to wear the monitor for seven days. Calculations of physical activity energy expenditure (PAEE) were performed using a branched equation model combining heart rate and accelerometry measures</w:t>
      </w:r>
      <w:r>
        <w:t xml:space="preserve"> </w:t>
      </w:r>
      <w:r>
        <w:t xml:space="preserve">(17, 26)</w:t>
      </w:r>
      <w:r>
        <w:t xml:space="preserve">.</w:t>
      </w:r>
    </w:p>
    <w:bookmarkEnd w:id="19"/>
    <w:bookmarkStart w:id="20" w:name="analytical-sample"/>
    <w:p>
      <w:pPr>
        <w:pStyle w:val="Heading3"/>
      </w:pPr>
      <w:r>
        <w:t xml:space="preserve">2.1.4 Analytical sample</w:t>
      </w:r>
    </w:p>
    <w:p>
      <w:pPr>
        <w:pStyle w:val="FirstParagraph"/>
      </w:pPr>
      <w:r>
        <w:t xml:space="preserve">Of the 2,082 participants attending the follow-up health assessment, 1,381 were included in the clustering analysis. Participants were excluded if they were currently taking medication for type 2 diabetes, as glucose-lowering medication affects the glucose and hormonal responses during the OGTT (n = 114), had fasted less than eight hours prior to the OGTT (n = 197) or were missing any of the measurements during the OGTT (n = 390). Further, participants were excluded from the regression models if they were missing data on VAT or SAT (n = 108), body fat percentage (n = 14), physical activity (n = 46) or smoking status (n = 7), leaving 1,206 participants for the assessment of the associations with body fat distribution.</w:t>
      </w:r>
    </w:p>
    <w:bookmarkEnd w:id="20"/>
    <w:bookmarkStart w:id="21" w:name="calculations"/>
    <w:p>
      <w:pPr>
        <w:pStyle w:val="Heading3"/>
      </w:pPr>
      <w:r>
        <w:t xml:space="preserve">2.1.5 Calculations</w:t>
      </w:r>
    </w:p>
    <w:p>
      <w:pPr>
        <w:pStyle w:val="FirstParagraph"/>
      </w:pPr>
      <w:r>
        <w:t xml:space="preserve">Total area under the curve (AUC) for glucose, insulin, GLP-1, GIP and glucagon from 0-120 minutes during the OGTT was calculated using the trapezoid rule</w:t>
      </w:r>
      <w:r>
        <w:t xml:space="preserve"> </w:t>
      </w:r>
      <w:r>
        <w:t xml:space="preserve">(27)</w:t>
      </w:r>
      <w:r>
        <w:t xml:space="preserve">. For example, AUC glucose was calculated as:</w:t>
      </w:r>
    </w:p>
    <w:p>
      <w:pPr>
        <w:pStyle w:val="BodyText"/>
      </w:pPr>
      <m:oMathPara>
        <m:oMathParaPr>
          <m:jc m:val="center"/>
        </m:oMathParaPr>
        <m:oMath>
          <m:r>
            <m:t>A</m:t>
          </m:r>
          <m:r>
            <m:t>U</m:t>
          </m:r>
          <m:sSub>
            <m:e>
              <m:r>
                <m:t>C</m:t>
              </m:r>
            </m:e>
            <m:sub>
              <m:r>
                <m:t>g</m:t>
              </m:r>
              <m:r>
                <m:t>l</m:t>
              </m:r>
              <m:r>
                <m:t>u</m:t>
              </m:r>
              <m:r>
                <m:t>c</m:t>
              </m:r>
              <m:r>
                <m:t>o</m:t>
              </m:r>
              <m:r>
                <m:t>s</m:t>
              </m:r>
              <m:r>
                <m:t>e</m:t>
              </m:r>
            </m:sub>
          </m:sSub>
          <m:r>
            <m:rPr>
              <m:sty m:val="p"/>
            </m:rPr>
            <m:t>=</m:t>
          </m:r>
          <m:f>
            <m:fPr>
              <m:type m:val="bar"/>
            </m:fPr>
            <m:num>
              <m:r>
                <m:t>g</m:t>
              </m:r>
              <m:r>
                <m:t>l</m:t>
              </m:r>
              <m:r>
                <m:t>u</m:t>
              </m:r>
              <m:r>
                <m:t>c</m:t>
              </m:r>
              <m:r>
                <m:t>o</m:t>
              </m:r>
              <m:r>
                <m:t>s</m:t>
              </m:r>
              <m:sSub>
                <m:e>
                  <m:r>
                    <m:t>e</m:t>
                  </m:r>
                </m:e>
                <m:sub>
                  <m:r>
                    <m:t>0</m:t>
                  </m:r>
                </m:sub>
              </m:sSub>
              <m:r>
                <m:rPr>
                  <m:sty m:val="p"/>
                </m:rPr>
                <m:t>+</m:t>
              </m:r>
              <m:r>
                <m:t>g</m:t>
              </m:r>
              <m:r>
                <m:t>l</m:t>
              </m:r>
              <m:r>
                <m:t>u</m:t>
              </m:r>
              <m:r>
                <m:t>c</m:t>
              </m:r>
              <m:r>
                <m:t>o</m:t>
              </m:r>
              <m:r>
                <m:t>s</m:t>
              </m:r>
              <m:sSub>
                <m:e>
                  <m:r>
                    <m:t>e</m:t>
                  </m:r>
                </m:e>
                <m:sub>
                  <m:r>
                    <m:t>30</m:t>
                  </m:r>
                </m:sub>
              </m:sSub>
            </m:num>
            <m:den>
              <m:r>
                <m:t>2</m:t>
              </m:r>
            </m:den>
          </m:f>
          <m:r>
            <m:rPr>
              <m:sty m:val="p"/>
            </m:rPr>
            <m:t>×</m:t>
          </m:r>
          <m:r>
            <m:t>30</m:t>
          </m:r>
          <m:r>
            <m:rPr>
              <m:sty m:val="p"/>
            </m:rPr>
            <m:t>+</m:t>
          </m:r>
          <m:f>
            <m:fPr>
              <m:type m:val="bar"/>
            </m:fPr>
            <m:num>
              <m:r>
                <m:t>g</m:t>
              </m:r>
              <m:r>
                <m:t>l</m:t>
              </m:r>
              <m:r>
                <m:t>u</m:t>
              </m:r>
              <m:r>
                <m:t>c</m:t>
              </m:r>
              <m:r>
                <m:t>o</m:t>
              </m:r>
              <m:r>
                <m:t>s</m:t>
              </m:r>
              <m:sSub>
                <m:e>
                  <m:r>
                    <m:t>e</m:t>
                  </m:r>
                </m:e>
                <m:sub>
                  <m:r>
                    <m:t>30</m:t>
                  </m:r>
                </m:sub>
              </m:sSub>
              <m:r>
                <m:rPr>
                  <m:sty m:val="p"/>
                </m:rPr>
                <m:t>+</m:t>
              </m:r>
              <m:r>
                <m:t>g</m:t>
              </m:r>
              <m:r>
                <m:t>l</m:t>
              </m:r>
              <m:r>
                <m:t>u</m:t>
              </m:r>
              <m:r>
                <m:t>c</m:t>
              </m:r>
              <m:r>
                <m:t>o</m:t>
              </m:r>
              <m:r>
                <m:t>s</m:t>
              </m:r>
              <m:sSub>
                <m:e>
                  <m:r>
                    <m:t>e</m:t>
                  </m:r>
                </m:e>
                <m:sub>
                  <m:r>
                    <m:t>120</m:t>
                  </m:r>
                </m:sub>
              </m:sSub>
            </m:num>
            <m:den>
              <m:r>
                <m:t>2</m:t>
              </m:r>
            </m:den>
          </m:f>
          <m:r>
            <m:rPr>
              <m:sty m:val="p"/>
            </m:rPr>
            <m:t>×</m:t>
          </m:r>
          <m:r>
            <m:t>90</m:t>
          </m:r>
        </m:oMath>
      </m:oMathPara>
    </w:p>
    <w:p>
      <w:pPr>
        <w:pStyle w:val="FirstParagraph"/>
      </w:pPr>
      <w:r>
        <w:t xml:space="preserve">As a measure of insulin sensitivity, Gutt’s insulin sensitivity index</w:t>
      </w:r>
      <w:r>
        <w:t xml:space="preserve"> </w:t>
      </w:r>
      <w:r>
        <w:t xml:space="preserve">(28)</w:t>
      </w:r>
      <w:r>
        <w:t xml:space="preserve"> </w:t>
      </w:r>
      <w:r>
        <w:t xml:space="preserve">was calculated as</w:t>
      </w:r>
    </w:p>
    <w:p>
      <w:pPr>
        <w:pStyle w:val="BodyText"/>
      </w:pPr>
      <m:oMathPara>
        <m:oMathParaPr>
          <m:jc m:val="center"/>
        </m:oMathParaPr>
        <m:oMath>
          <m:r>
            <m:t>I</m:t>
          </m:r>
          <m:r>
            <m:t>S</m:t>
          </m:r>
          <m:sSub>
            <m:e>
              <m:r>
                <m:t>I</m:t>
              </m:r>
            </m:e>
            <m:sub>
              <m:r>
                <m:t>0</m:t>
              </m:r>
              <m:r>
                <m:rPr>
                  <m:sty m:val="p"/>
                </m:rPr>
                <m:t>,</m:t>
              </m:r>
              <m:r>
                <m:t>120</m:t>
              </m:r>
            </m:sub>
          </m:sSub>
          <m:r>
            <m:rPr>
              <m:sty m:val="p"/>
            </m:rPr>
            <m:t>=</m:t>
          </m:r>
          <m:f>
            <m:fPr>
              <m:type m:val="bar"/>
            </m:fPr>
            <m:num>
              <m:r>
                <m:t>75000</m:t>
              </m:r>
              <m:r>
                <m:rPr>
                  <m:sty m:val="p"/>
                </m:rPr>
                <m:t>+</m:t>
              </m:r>
              <m:r>
                <m:t>180</m:t>
              </m:r>
              <m:r>
                <m:rPr>
                  <m:sty m:val="p"/>
                </m:rPr>
                <m:t>(</m:t>
              </m:r>
              <m:r>
                <m:t>g</m:t>
              </m:r>
              <m:r>
                <m:t>l</m:t>
              </m:r>
              <m:r>
                <m:t>u</m:t>
              </m:r>
              <m:r>
                <m:t>c</m:t>
              </m:r>
              <m:r>
                <m:t>o</m:t>
              </m:r>
              <m:r>
                <m:t>s</m:t>
              </m:r>
              <m:sSub>
                <m:e>
                  <m:r>
                    <m:t>e</m:t>
                  </m:r>
                </m:e>
                <m:sub>
                  <m:r>
                    <m:t>t</m:t>
                  </m:r>
                  <m:r>
                    <m:t>0</m:t>
                  </m:r>
                </m:sub>
              </m:sSub>
              <m:r>
                <m:rPr>
                  <m:sty m:val="p"/>
                </m:rPr>
                <m:t>−</m:t>
              </m:r>
              <m:r>
                <m:t>g</m:t>
              </m:r>
              <m:r>
                <m:t>l</m:t>
              </m:r>
              <m:r>
                <m:t>u</m:t>
              </m:r>
              <m:r>
                <m:t>c</m:t>
              </m:r>
              <m:r>
                <m:t>o</m:t>
              </m:r>
              <m:r>
                <m:t>s</m:t>
              </m:r>
              <m:sSub>
                <m:e>
                  <m:r>
                    <m:t>e</m:t>
                  </m:r>
                </m:e>
                <m:sub>
                  <m:r>
                    <m:t>t</m:t>
                  </m:r>
                  <m:r>
                    <m:t>120</m:t>
                  </m:r>
                </m:sub>
              </m:sSub>
              <m:r>
                <m:rPr>
                  <m:sty m:val="p"/>
                </m:rPr>
                <m:t>)</m:t>
              </m:r>
              <m:r>
                <m:rPr>
                  <m:sty m:val="p"/>
                </m:rPr>
                <m:t>×</m:t>
              </m:r>
              <m:r>
                <m:t>0.19</m:t>
              </m:r>
              <m:r>
                <m:rPr>
                  <m:sty m:val="p"/>
                </m:rPr>
                <m:t>×</m:t>
              </m:r>
              <m:r>
                <m:t>b</m:t>
              </m:r>
              <m:r>
                <m:t>o</m:t>
              </m:r>
              <m:r>
                <m:t>d</m:t>
              </m:r>
              <m:r>
                <m:t>y</m:t>
              </m:r>
              <m:r>
                <m:t> </m:t>
              </m:r>
              <m:r>
                <m:t>w</m:t>
              </m:r>
              <m:r>
                <m:t>e</m:t>
              </m:r>
              <m:r>
                <m:t>i</m:t>
              </m:r>
              <m:r>
                <m:t>g</m:t>
              </m:r>
              <m:r>
                <m:t>h</m:t>
              </m:r>
              <m:r>
                <m:t>t</m:t>
              </m:r>
            </m:num>
            <m:den>
              <m:r>
                <m:t>120</m:t>
              </m:r>
              <m:r>
                <m:rPr>
                  <m:sty m:val="p"/>
                </m:rPr>
                <m:t>×</m:t>
              </m:r>
              <m:d>
                <m:dPr>
                  <m:begChr m:val="("/>
                  <m:sepChr m:val=""/>
                  <m:endChr m:val=")"/>
                  <m:grow/>
                </m:dPr>
                <m:e>
                  <m:f>
                    <m:fPr>
                      <m:type m:val="bar"/>
                    </m:fPr>
                    <m:num>
                      <m:r>
                        <m:t>g</m:t>
                      </m:r>
                      <m:r>
                        <m:t>l</m:t>
                      </m:r>
                      <m:r>
                        <m:t>u</m:t>
                      </m:r>
                      <m:r>
                        <m:t>c</m:t>
                      </m:r>
                      <m:r>
                        <m:t>o</m:t>
                      </m:r>
                      <m:r>
                        <m:t>s</m:t>
                      </m:r>
                      <m:sSub>
                        <m:e>
                          <m:r>
                            <m:t>e</m:t>
                          </m:r>
                        </m:e>
                        <m:sub>
                          <m:r>
                            <m:t>t</m:t>
                          </m:r>
                          <m:r>
                            <m:t>0</m:t>
                          </m:r>
                        </m:sub>
                      </m:sSub>
                      <m:r>
                        <m:rPr>
                          <m:sty m:val="p"/>
                        </m:rPr>
                        <m:t>+</m:t>
                      </m:r>
                      <m:r>
                        <m:t>g</m:t>
                      </m:r>
                      <m:r>
                        <m:t>l</m:t>
                      </m:r>
                      <m:r>
                        <m:t>u</m:t>
                      </m:r>
                      <m:r>
                        <m:t>c</m:t>
                      </m:r>
                      <m:r>
                        <m:t>o</m:t>
                      </m:r>
                      <m:r>
                        <m:t>s</m:t>
                      </m:r>
                      <m:sSub>
                        <m:e>
                          <m:r>
                            <m:t>e</m:t>
                          </m:r>
                        </m:e>
                        <m:sub>
                          <m:r>
                            <m:t>t</m:t>
                          </m:r>
                          <m:r>
                            <m:t>120</m:t>
                          </m:r>
                        </m:sub>
                      </m:sSub>
                    </m:num>
                    <m:den>
                      <m:r>
                        <m:t>2</m:t>
                      </m:r>
                    </m:den>
                  </m:f>
                </m:e>
              </m:d>
              <m:r>
                <m:rPr>
                  <m:sty m:val="p"/>
                </m:rPr>
                <m:t>×</m:t>
              </m:r>
              <m:r>
                <m:rPr>
                  <m:sty m:val="p"/>
                </m:rPr>
                <m:t>log</m:t>
              </m:r>
              <m:d>
                <m:dPr>
                  <m:begChr m:val="("/>
                  <m:sepChr m:val=""/>
                  <m:endChr m:val=")"/>
                  <m:grow/>
                </m:dPr>
                <m:e>
                  <m:f>
                    <m:fPr>
                      <m:type m:val="bar"/>
                    </m:fPr>
                    <m:num>
                      <m:r>
                        <m:t>i</m:t>
                      </m:r>
                      <m:r>
                        <m:t>n</m:t>
                      </m:r>
                      <m:r>
                        <m:t>s</m:t>
                      </m:r>
                      <m:r>
                        <m:t>u</m:t>
                      </m:r>
                      <m:r>
                        <m:t>l</m:t>
                      </m:r>
                      <m:r>
                        <m:t>i</m:t>
                      </m:r>
                      <m:sSub>
                        <m:e>
                          <m:r>
                            <m:t>n</m:t>
                          </m:r>
                        </m:e>
                        <m:sub>
                          <m:r>
                            <m:t>t</m:t>
                          </m:r>
                          <m:r>
                            <m:t>0</m:t>
                          </m:r>
                        </m:sub>
                      </m:sSub>
                      <m:r>
                        <m:rPr>
                          <m:sty m:val="p"/>
                        </m:rPr>
                        <m:t>+</m:t>
                      </m:r>
                      <m:r>
                        <m:t>i</m:t>
                      </m:r>
                      <m:r>
                        <m:t>n</m:t>
                      </m:r>
                      <m:r>
                        <m:t>s</m:t>
                      </m:r>
                      <m:r>
                        <m:t>u</m:t>
                      </m:r>
                      <m:r>
                        <m:t>l</m:t>
                      </m:r>
                      <m:r>
                        <m:t>i</m:t>
                      </m:r>
                      <m:sSub>
                        <m:e>
                          <m:r>
                            <m:t>n</m:t>
                          </m:r>
                        </m:e>
                        <m:sub>
                          <m:r>
                            <m:t>t</m:t>
                          </m:r>
                          <m:r>
                            <m:t>120</m:t>
                          </m:r>
                        </m:sub>
                      </m:sSub>
                    </m:num>
                    <m:den>
                      <m:r>
                        <m:t>6.945</m:t>
                      </m:r>
                      <m:r>
                        <m:rPr>
                          <m:sty m:val="p"/>
                        </m:rPr>
                        <m:t>×</m:t>
                      </m:r>
                      <m:r>
                        <m:t>2</m:t>
                      </m:r>
                    </m:den>
                  </m:f>
                </m:e>
              </m:d>
            </m:den>
          </m:f>
        </m:oMath>
      </m:oMathPara>
    </w:p>
    <w:p>
      <w:pPr>
        <w:pStyle w:val="FirstParagraph"/>
      </w:pPr>
      <w:r>
        <w:t xml:space="preserve">Glucagon suppression (%) from 0-120 minutes was calculated as</w:t>
      </w:r>
    </w:p>
    <w:p>
      <w:pPr>
        <w:pStyle w:val="BodyText"/>
      </w:pPr>
      <m:oMathPara>
        <m:oMathParaPr>
          <m:jc m:val="center"/>
        </m:oMathParaPr>
        <m:oMath>
          <m:r>
            <m:t>G</m:t>
          </m:r>
          <m:r>
            <m:t>l</m:t>
          </m:r>
          <m:r>
            <m:t>u</m:t>
          </m:r>
          <m:r>
            <m:t>c</m:t>
          </m:r>
          <m:r>
            <m:t>a</m:t>
          </m:r>
          <m:r>
            <m:t>g</m:t>
          </m:r>
          <m:r>
            <m:t>o</m:t>
          </m:r>
          <m:r>
            <m:t>n</m:t>
          </m:r>
          <m:r>
            <m:t> </m:t>
          </m:r>
          <m:r>
            <m:t>s</m:t>
          </m:r>
          <m:r>
            <m:t>u</m:t>
          </m:r>
          <m:r>
            <m:t>p</m:t>
          </m:r>
          <m:r>
            <m:t>p</m:t>
          </m:r>
          <m:r>
            <m:t>r</m:t>
          </m:r>
          <m:r>
            <m:t>e</m:t>
          </m:r>
          <m:r>
            <m:t>s</m:t>
          </m:r>
          <m:r>
            <m:t>s</m:t>
          </m:r>
          <m:r>
            <m:t>i</m:t>
          </m:r>
          <m:r>
            <m:t>o</m:t>
          </m:r>
          <m:r>
            <m:t>n</m:t>
          </m:r>
          <m:r>
            <m:rPr>
              <m:sty m:val="p"/>
            </m:rPr>
            <m:t>=</m:t>
          </m:r>
          <m:d>
            <m:dPr>
              <m:begChr m:val="("/>
              <m:sepChr m:val=""/>
              <m:endChr m:val=")"/>
              <m:grow/>
            </m:dPr>
            <m:e>
              <m:r>
                <m:t>1</m:t>
              </m:r>
              <m:r>
                <m:rPr>
                  <m:sty m:val="p"/>
                </m:rPr>
                <m:t>−</m:t>
              </m:r>
              <m:f>
                <m:fPr>
                  <m:type m:val="bar"/>
                </m:fPr>
                <m:num>
                  <m:r>
                    <m:t>g</m:t>
                  </m:r>
                  <m:r>
                    <m:t>l</m:t>
                  </m:r>
                  <m:r>
                    <m:t>u</m:t>
                  </m:r>
                  <m:r>
                    <m:t>c</m:t>
                  </m:r>
                  <m:r>
                    <m:t>a</m:t>
                  </m:r>
                  <m:r>
                    <m:t>g</m:t>
                  </m:r>
                  <m:r>
                    <m:t>o</m:t>
                  </m:r>
                  <m:sSub>
                    <m:e>
                      <m:r>
                        <m:t>n</m:t>
                      </m:r>
                    </m:e>
                    <m:sub>
                      <m:r>
                        <m:t>120</m:t>
                      </m:r>
                    </m:sub>
                  </m:sSub>
                </m:num>
                <m:den>
                  <m:r>
                    <m:t>g</m:t>
                  </m:r>
                  <m:r>
                    <m:t>l</m:t>
                  </m:r>
                  <m:r>
                    <m:t>u</m:t>
                  </m:r>
                  <m:r>
                    <m:t>c</m:t>
                  </m:r>
                  <m:r>
                    <m:t>a</m:t>
                  </m:r>
                  <m:r>
                    <m:t>g</m:t>
                  </m:r>
                  <m:r>
                    <m:t>o</m:t>
                  </m:r>
                  <m:sSub>
                    <m:e>
                      <m:r>
                        <m:t>n</m:t>
                      </m:r>
                    </m:e>
                    <m:sub>
                      <m:r>
                        <m:t>0</m:t>
                      </m:r>
                    </m:sub>
                  </m:sSub>
                </m:den>
              </m:f>
            </m:e>
          </m:d>
          <m:r>
            <m:rPr>
              <m:sty m:val="p"/>
            </m:rPr>
            <m:t>×</m:t>
          </m:r>
          <m:r>
            <m:t>100</m:t>
          </m:r>
          <m:r>
            <m:rPr>
              <m:sty m:val="p"/>
            </m:rPr>
            <m:t>%</m:t>
          </m:r>
        </m:oMath>
      </m:oMathPara>
    </w:p>
    <w:p>
      <w:pPr>
        <w:pStyle w:val="FirstParagraph"/>
      </w:pPr>
      <w:r>
        <w:t xml:space="preserve">Glucagon suppression for intervals 0-30 and 30-120 minutes was calculated accordingly.</w:t>
      </w:r>
    </w:p>
    <w:bookmarkEnd w:id="21"/>
    <w:bookmarkStart w:id="22" w:name="statistical-analysis"/>
    <w:p>
      <w:pPr>
        <w:pStyle w:val="Heading3"/>
      </w:pPr>
      <w:r>
        <w:t xml:space="preserve">2.1.6 Statistical analysis</w:t>
      </w:r>
    </w:p>
    <w:p>
      <w:pPr>
        <w:pStyle w:val="FirstParagraph"/>
      </w:pPr>
      <w:r>
        <w:t xml:space="preserve">Five variables were selected for clustering to capture the interplay between glucose, insulin sensitivity, GLP-1, GIP and glucagon during the total period of the OGTT (0-120 minutes): AUC glucose, Gutt’s index (ISI), AUC GLP-1, AUC GIP and glucagon suppression. Variables were selected to capture postload glucose metabolism and hormonal responses in individuals at high risk of type 2 diabetes</w:t>
      </w:r>
      <w:r>
        <w:t xml:space="preserve"> </w:t>
      </w:r>
      <w:r>
        <w:t xml:space="preserve">(14, 22)</w:t>
      </w:r>
      <w:r>
        <w:t xml:space="preserve">. Summarized measures based on the full OGTT period were used in line with previous phenotyping studies using summarized OGTT-measures</w:t>
      </w:r>
      <w:r>
        <w:t xml:space="preserve"> </w:t>
      </w:r>
      <w:r>
        <w:t xml:space="preserve">(5)</w:t>
      </w:r>
      <w:r>
        <w:t xml:space="preserve">, while Gutt’s ISI was included as a measure of insulin sensitivity.</w:t>
      </w:r>
    </w:p>
    <w:p>
      <w:pPr>
        <w:pStyle w:val="BodyText"/>
      </w:pPr>
      <w:r>
        <w:t xml:space="preserve">K-means clustering was used to identify subgroups with distinct OGTT responses, with 25 random initializations to ensure stable cluster assignments</w:t>
      </w:r>
      <w:r>
        <w:t xml:space="preserve"> </w:t>
      </w:r>
      <w:r>
        <w:t xml:space="preserve">(29)</w:t>
      </w:r>
      <w:r>
        <w:t xml:space="preserve">. Prior to clustering AUC glucose, Gutt’s ISI, AUC GLP-1 and AUC GIP were logarithmically transformed to account for right-skewed distributions. Glucagon suppression was maintained on its original scale to include both positive and negative values. All variables were standardized (mean = 0, standard deviation = 1) to ensure equal contribution to the Euclidean distance metric in the K-means algorithm</w:t>
      </w:r>
      <w:r>
        <w:t xml:space="preserve"> </w:t>
      </w:r>
      <w:r>
        <w:t xml:space="preserve">(29)</w:t>
      </w:r>
      <w:r>
        <w:t xml:space="preserve">. The optimal number of clusters was identified through the use of the NbClust package in R</w:t>
      </w:r>
      <w:r>
        <w:t xml:space="preserve"> </w:t>
      </w:r>
      <w:r>
        <w:t xml:space="preserve">(30)</w:t>
      </w:r>
      <w:r>
        <w:t xml:space="preserve"> </w:t>
      </w:r>
      <w:r>
        <w:t xml:space="preserve">in combination with the average silhouette width. The NbClust package evaluates 26 indices of the cluster solutions, and the optimal number of clusters is the one suggested by the majority of indices. The average silhouette width quantifies how well observations fit their assigned cluster and ranges from -1 to 1, where higher values indicate a better cluster solution. In addition to statistical criteria, the final clustering solution was based on distinct OGTT-profiles of the identified subgroups and minimum cluster size, excluding solutions where clusters were too small to represent distinct metabolic phenotypes. To assess the robustness to sex differences in the clustering variables, a sensitivity analysis was performed using sex-stratified K-means clustering and the same method as described above.</w:t>
      </w:r>
    </w:p>
    <w:p>
      <w:pPr>
        <w:pStyle w:val="BodyText"/>
      </w:pPr>
      <w:r>
        <w:t xml:space="preserve">Characteristics of the study population were stratified by cluster membership and described using means (SD) for continuous variables and frequencies (n, percentages) for categorical variables. Right-skewed variables (glucose, insulin, GLP-1 and GIP) are described as geometric means (95% CI), and glucagon suppression as arithmetic means (95% CI).</w:t>
      </w:r>
    </w:p>
    <w:p>
      <w:pPr>
        <w:pStyle w:val="BodyText"/>
      </w:pPr>
      <w:r>
        <w:t xml:space="preserve">Associations between identified clusters and measures of fat distribution were assessed using linear regression models with clusters as categorical explanatory variables and VAT, SAT, VAT/SAT ratio and body fat percentage as continuous outcomes. Cluster 2 was used as the reference category because it appeared metabolically most favorable, with the highest insulin sensitivity and lowest adiposity. VAT, SAT and the VAT/SAT ratio were log-transformed to account for right-skewed distributions. All outcome variables were then standardized to facilitate comparison of associations across outcomes, and regression coefficients were presented as mean differences in SD units. Two models were fitted: Model 1 adjusted for age and sex and model 2 further adjusted for smoking status and physical activity to assess potential confounding of lifestyle factors. Sex-specific associations were assessed in stratified models to account for biologically meaningful differences in body composition between sexes</w:t>
      </w:r>
      <w:r>
        <w:t xml:space="preserve"> </w:t>
      </w:r>
      <w:r>
        <w:t xml:space="preserve">(31)</w:t>
      </w:r>
      <w:r>
        <w:t xml:space="preserve">. Sex-by-cluster interaction terms were tested in the main models, where associations with a p-value &lt; 0.05 were considered statistically significant. To facilitate clinical interpretation, the regression analyses were repeated using non-standardized outcomes. Residual plots indicated that assumptions of linearity, homoscedasticity and normality were reasonably met. All statistical analyses were performed in R version 4.5.2</w:t>
      </w:r>
      <w:r>
        <w:t xml:space="preserve"> </w:t>
      </w:r>
      <w:r>
        <w:t xml:space="preserve">(32)</w:t>
      </w:r>
      <w:r>
        <w:t xml:space="preserve">.</w:t>
      </w:r>
    </w:p>
    <w:bookmarkEnd w:id="22"/>
    <w:bookmarkEnd w:id="23"/>
    <w:bookmarkEnd w:id="24"/>
    <w:bookmarkStart w:id="28" w:name="results"/>
    <w:p>
      <w:pPr>
        <w:pStyle w:val="Heading1"/>
      </w:pPr>
      <w:r>
        <w:t xml:space="preserve">3. Results</w:t>
      </w:r>
    </w:p>
    <w:bookmarkStart w:id="25" w:name="study-population"/>
    <w:p>
      <w:pPr>
        <w:pStyle w:val="Heading2"/>
      </w:pPr>
      <w:r>
        <w:t xml:space="preserve">3.1 Study population</w:t>
      </w:r>
    </w:p>
    <w:p>
      <w:pPr>
        <w:pStyle w:val="FirstParagraph"/>
      </w:pPr>
      <w:r>
        <w:t xml:space="preserve">The included study population had a mean age of 66 years (SD = 7.1) and 53% were men. The mean BMI was 27 kg/m² (SD = 4.5) and the majority were current smokers (63%). Glycemic categories were distributed as follows: 734 (53%) NGT, 249 (18%) iIFG, 122 (9%) iIGT, 116 (8%) IFG+IGT and 160 (12%) type 2 diabetes. Regarding body fat distribution, women had higher body fat percentage and SAT than men, while men had higher VAT and VAT/SAT ratio. Participants excluded from the clustering analysis were more likely to have higher BMI, waist circumference, VAT and HbA1c compared to the included participants. Participants excluded from the regression analysis were more likely to have type 2 diabetes, impaired glucose tolerance and had higher BMI compared to the included participants.</w:t>
      </w:r>
    </w:p>
    <w:bookmarkEnd w:id="25"/>
    <w:bookmarkStart w:id="26" w:name="k-means-clustering"/>
    <w:p>
      <w:pPr>
        <w:pStyle w:val="Heading2"/>
      </w:pPr>
      <w:r>
        <w:t xml:space="preserve">3.2 K-means clustering</w:t>
      </w:r>
    </w:p>
    <w:p>
      <w:pPr>
        <w:pStyle w:val="FirstParagraph"/>
      </w:pPr>
      <w:r>
        <w:t xml:space="preserve">A three-cluster solution was identified as the most appropriate clustering solution based on statistical criteria, distinct OGTT-profiles and sufficient cluster sizes, with an overall silhouette width of 0.21. While the NbClust package indicated highest support for two and nine clusters, a two-cluster solution collapsed the incretin and glucagon heterogeneity into a single group dominated by differences in glucose and insulin sensitivity, and solutions with more than three clusters produced very small clusters (n = 2) driven by extreme values on glucagon suppression. Cluster characteristics of the three-cluster solution are presented in Table 1. Cluster 1 (n = 459) had the youngest mean age, highest proportion of males and highest physical activity level, while cluster 2 (n = 491) had the highest proportion of women and cluster 3 (n = 431) had the oldest mean age and highest proportion of current smokers. Regarding adiposity, Cluster 3 had the highest BMI, waist circumference, body fat percentage, and VAT in both men and women, while Cluster 2 had the lowest BMI, waist circumference and SAT, and Cluster 1 had the lowest VAT and VAT/SAT ratio. The distribution of glycemic status differed markedly across clusters. Cluster 3 had the highest proportion of type 2 diabetes (33%), IFG+IGT (25%) and iIGT (21%), while the majority of individuals in clusters 1 and 2 had normoglycemia (69% and 78%, respectively). Sex-stratified clustering (Supplementary table 1) produced three broadly similar clusters in both men and women, with consistent within and between-cluster differences similar to the main analysis.</w:t>
      </w:r>
    </w:p>
    <w:p>
      <w:pPr>
        <w:pStyle w:val="BodyText"/>
      </w:pPr>
      <w:r>
        <w:t xml:space="preserve">Figure 1 shows characteristics of clustering variables across clusters. The OGTT response patterns underlying these clusters are shown in Figure 2, with mean response curves for glucose, insulin, GLP-1, GIP and glucagon (</w:t>
      </w:r>
      <w:r>
        <w:rPr>
          <w:i/>
          <w:iCs/>
        </w:rPr>
        <w:t xml:space="preserve">Fig. 2A, B, C, D</w:t>
      </w:r>
      <w:r>
        <w:t xml:space="preserve"> </w:t>
      </w:r>
      <w:r>
        <w:t xml:space="preserve">and</w:t>
      </w:r>
      <w:r>
        <w:t xml:space="preserve"> </w:t>
      </w:r>
      <w:r>
        <w:rPr>
          <w:i/>
          <w:iCs/>
        </w:rPr>
        <w:t xml:space="preserve">E,</w:t>
      </w:r>
      <w:r>
        <w:t xml:space="preserve"> </w:t>
      </w:r>
      <w:r>
        <w:t xml:space="preserve">respectively) at all three time points (0, 30 and 120 minutes). Cluster 3 was characterized by the highest fasting glucose and 2hPG, alongside the highest insulin concentrations throughout the OGTT and the lowest insulin sensitivity across clusters. In contrast, cluster 2 had the lowest 2hPG, higher 30-minute insulin than cluster 1 and the highest insulin sensitivity. Cluster 1 had the lowest incretin secretion with substantially lower GLP-1 and GIP secretion than cluster 2. Glucagon response patterns also differed between clusters. Cluster 3 showed impaired early glucagon suppression, whereas cluster 2 had lower glucagon suppression than cluster 1 across all intervals. Despite differences in early and late response patterns, clusters 1 and 3 had similar overall glucagon suppression while cluster 3 had the highest overall glucagon secretion. Detailed OGTT measurements are shown in Supplementary table 2.</w:t>
      </w:r>
    </w:p>
    <w:bookmarkEnd w:id="26"/>
    <w:bookmarkStart w:id="27" w:name="Xa445ce3cf1b4064a0734acb40a9ce0650af768f"/>
    <w:p>
      <w:pPr>
        <w:pStyle w:val="Heading2"/>
      </w:pPr>
      <w:r>
        <w:t xml:space="preserve">3.3 Associations with measures of fat distribution</w:t>
      </w:r>
    </w:p>
    <w:p>
      <w:pPr>
        <w:pStyle w:val="FirstParagraph"/>
      </w:pPr>
      <w:r>
        <w:t xml:space="preserve">Estimates from all four outcome models, representing associations between cluster membership and measures of body fat distribution, are shown in Table 2 and reported as mean differences in SD units on the log-scale for VAT, SAT and VAT/SAT ratio and on the original scale for body fat percentage. In the model adjusted for age and sex, cluster 3 had higher VAT, SAT, VAT/SAT ratio and body fat percentage than cluster 2, with the largest differences observed in VAT and body fat percentage (0.68 SD, 95% CI 0.56; 0.81 and 0.63 SD, 95% CI 0.52; 0.73, respectively. Cluster 1 had similar VAT than cluster 2 (-0.03 SD, 95% CI -0.15; 0.09), but higher SAT (0.25 SD, 95% CI 0.12; 0.38), higher body fat percentage (0.15 SD, 95% CI 0.05; 0.25) and lower VAT/SAT ratio (-0.23, 95% CI -0.34; -0.11). Estimates were largely unchanged after further adjustment for smoking and physical activity. No sex-by-cluster interactions were observed for measures of body fat distribution (p &gt; 0.05), and interaction terms were therefore not included in the main models. Sex-specific associations are illustrated in Supplementary figure 1, and regression models on the original outcome scales can be found in Supplementary table 3.</w:t>
      </w:r>
    </w:p>
    <w:bookmarkEnd w:id="27"/>
    <w:bookmarkEnd w:id="28"/>
    <w:bookmarkStart w:id="29" w:name="conclusions"/>
    <w:p>
      <w:pPr>
        <w:pStyle w:val="Heading1"/>
      </w:pPr>
      <w:r>
        <w:t xml:space="preserve">4. Conclusions</w:t>
      </w:r>
    </w:p>
    <w:p>
      <w:pPr>
        <w:pStyle w:val="FirstParagraph"/>
      </w:pPr>
      <w:r>
        <w:t xml:space="preserve">In this study, we identified three metabolically distinct subgroups among individuals at high risk of type 2 diabetes, characterized by differences in glucose regulation, incretin secretion and glucagon suppression. The subgroups differed markedly in body fat distribution, with the insulin-resistant, dysglycemic subgroup exhibiting the highest visceral and subcutaneous adiposity, while the two more insulin-sensitive subgroups primarily differed in SAT, VAT/SAT ratio and body fat percentage despite similar glycemic status.</w:t>
      </w:r>
    </w:p>
    <w:p>
      <w:pPr>
        <w:pStyle w:val="BodyText"/>
      </w:pPr>
      <w:r>
        <w:t xml:space="preserve">Previous phenotyping studies have shown that metabolic heterogeneity is already present before diabetes onset. Wagner et al.</w:t>
      </w:r>
      <w:r>
        <w:t xml:space="preserve"> </w:t>
      </w:r>
      <w:r>
        <w:t xml:space="preserve">(5)</w:t>
      </w:r>
      <w:r>
        <w:t xml:space="preserve"> </w:t>
      </w:r>
      <w:r>
        <w:t xml:space="preserve">identified clusters that differed in glycemia, insulin sensitivity and secretion, body fat distribution and genetic risk, and showed that these phenotypes were related to progression to diabetes and their risk of diabetes-related complications. Similarly, Stroebel et al.</w:t>
      </w:r>
      <w:r>
        <w:t xml:space="preserve"> </w:t>
      </w:r>
      <w:r>
        <w:t xml:space="preserve">(6)</w:t>
      </w:r>
      <w:r>
        <w:t xml:space="preserve"> </w:t>
      </w:r>
      <w:r>
        <w:t xml:space="preserve">identified distinct prediabetes phenotypes using clinical risk factors, measures of insulin resistance and beta-cell function, and detailed measures of body fat distribution, showing that body composition further differentiated adiposity-related phenotypes. The present findings broadly align with these studies, as cluster 3 shared features with insulin-resistant phenotypes characterized by higher adiposity, whereas clusters 1 and 2 reflected more insulin-sensitive and normoglycemic phenotypes. Beyond these similarities, cluster 3 showed impaired early but preserved overall glucagon suppression and higher incretin secretion than cluster 1, suggesting a complex response pattern rather than consistent hormonal deficiency. This higher incretin secretion may reflect compensatory or adiposity-related responses, as suggested previously</w:t>
      </w:r>
      <w:r>
        <w:t xml:space="preserve"> </w:t>
      </w:r>
      <w:r>
        <w:t xml:space="preserve">(12, 33)</w:t>
      </w:r>
      <w:r>
        <w:t xml:space="preserve">. Clusters 1 and 2 differed markedly in their incretin and glucagon responses despite similar glycemic status and insulin sensitivity. Cluster 2 had the highest incretin secretion but lowest glucagon suppression across all clusters, whereas cluster 1 showed the opposite pattern. The low glucagon suppression in cluster 2 may reflect an insulin-sensitive phenotype rather than dysregulation, as suggested previously</w:t>
      </w:r>
      <w:r>
        <w:t xml:space="preserve"> </w:t>
      </w:r>
      <w:r>
        <w:t xml:space="preserve">(13, 14)</w:t>
      </w:r>
      <w:r>
        <w:t xml:space="preserve">. Notably, cluster 1 had the lowest GLP-1 secretion despite lower glycemia and higher insulin sensitivity than cluster 3, adding nuance to prior evidence linking lower GLP-1 secretion to prediabetes in the ADDITION-PRO cohort</w:t>
      </w:r>
      <w:r>
        <w:t xml:space="preserve"> </w:t>
      </w:r>
      <w:r>
        <w:t xml:space="preserve">(22)</w:t>
      </w:r>
      <w:r>
        <w:t xml:space="preserve">. Together, these findings suggest that OGTT-derived incretin and glucagon responses add another dimension to established glycemic and adiposity-based phenotypes, revealing heterogeneity that standard metabolic classification does not capture.</w:t>
      </w:r>
    </w:p>
    <w:p>
      <w:pPr>
        <w:pStyle w:val="BodyText"/>
      </w:pPr>
      <w:r>
        <w:t xml:space="preserve">Beyond hormonal responses, the three clusters differed in their associations with body fat distribution. The insulin-resistant profile of cluster 3 was associated with higher VAT, SAT, VAT/SAT ratio, and body fat percentage than cluster 2, consistent with previous findings from the ADDITION-PRO cohort</w:t>
      </w:r>
      <w:r>
        <w:t xml:space="preserve"> </w:t>
      </w:r>
      <w:r>
        <w:t xml:space="preserve">(25)</w:t>
      </w:r>
      <w:r>
        <w:t xml:space="preserve"> </w:t>
      </w:r>
      <w:r>
        <w:t xml:space="preserve">and evidence linking visceral adiposity to impaired fasting glucose, impaired glucose tolerance and newly diagnosed type 2 diabetes</w:t>
      </w:r>
      <w:r>
        <w:t xml:space="preserve"> </w:t>
      </w:r>
      <w:r>
        <w:t xml:space="preserve">(16)</w:t>
      </w:r>
      <w:r>
        <w:t xml:space="preserve">. Compared with cluster 2, cluster 1 had higher SAT and body fat percentage but a lower VAT/SAT ratio, while VAT was similar. This pattern suggests that cluster 1 may represent a subgroup with relatively more subcutaneous than visceral adiposity despite higher overall adiposity. Higher SAT has previously been suggested to be a protective metabolic trait, as it was found to be inversely associated with newly diagnosed type 2 diabetes</w:t>
      </w:r>
      <w:r>
        <w:t xml:space="preserve"> </w:t>
      </w:r>
      <w:r>
        <w:t xml:space="preserve">(16)</w:t>
      </w:r>
      <w:r>
        <w:t xml:space="preserve">. This is also consistent with Stroebel et al.</w:t>
      </w:r>
      <w:r>
        <w:t xml:space="preserve"> </w:t>
      </w:r>
      <w:r>
        <w:t xml:space="preserve">(6)</w:t>
      </w:r>
      <w:r>
        <w:t xml:space="preserve">, who identified a subcutaneous-adipose group with higher SAT, relatively lower VAT and a more favorable diabetes risk profile than phenotypes characterized by higher visceral adiposity.</w:t>
      </w:r>
    </w:p>
    <w:p>
      <w:pPr>
        <w:pStyle w:val="BodyText"/>
      </w:pPr>
      <w:r>
        <w:t xml:space="preserve">Sex composition is important when interpreting differences in fat distribution. Cluster 2 had a higher proportion of women, who would generally be expected to have higher SAT</w:t>
      </w:r>
      <w:r>
        <w:t xml:space="preserve"> </w:t>
      </w:r>
      <w:r>
        <w:t xml:space="preserve">(31)</w:t>
      </w:r>
      <w:r>
        <w:t xml:space="preserve">. Therefore, the higher SAT and lower VAT/SAT ratio in cluster 1, despite a lower proportion of women, suggest that these differences are unlikely to be explained solely by sex composition. Moreover, sex-stratified clustering produced broadly similar phenotypes in both men and women as in the main analysis, supporting the robustness of the primary clustering solution. Women had higher total GLP-1 and GIP but lower glucagon suppression across all clusters, consistent with previous findings in the ADDITION-PRO cohort</w:t>
      </w:r>
      <w:r>
        <w:t xml:space="preserve"> </w:t>
      </w:r>
      <w:r>
        <w:t xml:space="preserve">(22)</w:t>
      </w:r>
      <w:r>
        <w:t xml:space="preserve">. Although sex-by-cluster interaction models suggested some differences in body fat distribution, estimates were non-significant with wide confidence intervals, indicating statistical uncertainty. Because VAT has been shown to have a stronger association with cardiometabolic risk in women</w:t>
      </w:r>
      <w:r>
        <w:t xml:space="preserve"> </w:t>
      </w:r>
      <w:r>
        <w:t xml:space="preserve">(34)</w:t>
      </w:r>
      <w:r>
        <w:t xml:space="preserve">, the metabolic implications of the identified fat distribution differences may differ between sexes.</w:t>
      </w:r>
    </w:p>
    <w:p>
      <w:pPr>
        <w:pStyle w:val="BodyText"/>
      </w:pPr>
      <w:r>
        <w:t xml:space="preserve">The strengths of this study include the relatively large cohort of individuals with NGT, prediabetes and type 2 diabetes, sensitive and specific methods of measuring glucagon, GLP-1 and GIP through the OGTT</w:t>
      </w:r>
      <w:r>
        <w:t xml:space="preserve"> </w:t>
      </w:r>
      <w:r>
        <w:t xml:space="preserve">(10, 21, 23)</w:t>
      </w:r>
      <w:r>
        <w:t xml:space="preserve">, and detailed assessment of fat distribution by ultrasound. However, several limitations should be considered. First, the cross-sectional design precludes causal interpretations between cluster characteristics and fat distribution. Second, fully sex-stratified analyses, in which sex-specific clusters were subsequently related to body fat distribution, were not performed, which may have limited the identification of sex-specific phenotypes. Given known sex differences in fat distribution and incretin responses, future studies with larger samples should consider sex-stratified clustering as the primary approach. Moreover, because male sex contributed to the ADDITION-DK risk score</w:t>
      </w:r>
      <w:r>
        <w:t xml:space="preserve"> </w:t>
      </w:r>
      <w:r>
        <w:t xml:space="preserve">(19)</w:t>
      </w:r>
      <w:r>
        <w:t xml:space="preserve">, women in the cohort may have had a higher burden of other risk factors, potentially affecting comparability between sexes. Third, although the study population is referred to as high-risk individuals, some participants had screen-detected type 2 diabetes at the ADDITION-PRO health assessment. Their inclusion should be considered when generalizing to prediabetes populations, but this also allowed assessment of hormonal responses and fat distribution in individuals with untreated diabetes and thereby across all glycemic states. Fourth, as a hard clustering method, K-means assigns all observations to a cluster regardless of how well observations fit in their assigned cluster. The silhouette width of 0.21 indicated limited cluster separation, suggesting that some individuals may not be well-represented by a single cluster assignment</w:t>
      </w:r>
      <w:r>
        <w:t xml:space="preserve"> </w:t>
      </w:r>
      <w:r>
        <w:t xml:space="preserve">(35)</w:t>
      </w:r>
      <w:r>
        <w:t xml:space="preserve">. Finally, excluded participants tended to have higher BMI, visceral fat and HbA1c, suggesting that the included population may represent a metabolically healthier high-risk subgroup, which may have affected both the generalizability of the identified clusters and their associations with fat distribution.</w:t>
      </w:r>
    </w:p>
    <w:p>
      <w:pPr>
        <w:pStyle w:val="BodyText"/>
      </w:pPr>
      <w:r>
        <w:t xml:space="preserve">Together, these findings suggest that subgroups defined by distinct postload incretin and glucagon responses also differ in their associations with body fat distribution, supporting the hypothesis that endogenous incretin and glucagon secretion are related to different patterns of adiposity. If incretin and glucagon responses capture metabolic heterogeneity beyond glycemic measures, they may contribute to identifying individuals earlier in their glycemic trajectory. This is relevant because early identification may offer an opportunity for more effective prevention</w:t>
      </w:r>
      <w:r>
        <w:t xml:space="preserve"> </w:t>
      </w:r>
      <w:r>
        <w:t xml:space="preserve">(36)</w:t>
      </w:r>
      <w:r>
        <w:t xml:space="preserve">, and regression from prediabetes to normoglycemia has been associated with lower risk of cardiovascular disease and mortality</w:t>
      </w:r>
      <w:r>
        <w:t xml:space="preserve"> </w:t>
      </w:r>
      <w:r>
        <w:t xml:space="preserve">(37)</w:t>
      </w:r>
      <w:r>
        <w:t xml:space="preserve">. Furthermore, frameworks for prediabetes have been proposed that may help inform more targeted prevention strategies</w:t>
      </w:r>
      <w:r>
        <w:t xml:space="preserve"> </w:t>
      </w:r>
      <w:r>
        <w:t xml:space="preserve">(38)</w:t>
      </w:r>
      <w:r>
        <w:t xml:space="preserve">. Endogenous incretin and glucagon secretion may contribute to such strategies, with the aim of differentiating individuals who require minimal clinical attention from those who may benefit from lifestyle or pharmacological treatment, including incretin-based therapies. In this context, future prospective studies should examine whether endogenous incretin and glucagon responses are associated with different glycemic trajectories or cardiovascular outcomes and different responses to prevention strategies.</w:t>
      </w:r>
    </w:p>
    <w:bookmarkEnd w:id="29"/>
    <w:bookmarkStart w:id="30" w:name="acknowledgments"/>
    <w:p>
      <w:pPr>
        <w:pStyle w:val="Heading1"/>
      </w:pPr>
      <w:r>
        <w:t xml:space="preserve">5. Acknowledgments</w:t>
      </w:r>
    </w:p>
    <w:p>
      <w:pPr>
        <w:pStyle w:val="FirstParagraph"/>
      </w:pPr>
      <w:r>
        <w:t xml:space="preserve">The author wants to express his appreciation to Daniel R. Witte, Gunnar Toft and Jonas Frey Rosborg Schaarup for their supervision and the rest of the staff at Steno Diabetes Center Aarhus for providing an inspiring and collegial research environment.</w:t>
      </w:r>
    </w:p>
    <w:bookmarkEnd w:id="30"/>
    <w:bookmarkStart w:id="105" w:name="references"/>
    <w:p>
      <w:pPr>
        <w:pStyle w:val="Heading1"/>
      </w:pPr>
      <w:r>
        <w:t xml:space="preserve">6. References</w:t>
      </w:r>
    </w:p>
    <w:bookmarkStart w:id="104" w:name="refs"/>
    <w:bookmarkStart w:id="32" w:name="ref-saeedi2019"/>
    <w:p>
      <w:pPr>
        <w:pStyle w:val="Bibliography"/>
      </w:pPr>
      <w:r>
        <w:t xml:space="preserve">1.</w:t>
      </w:r>
      <w:r>
        <w:t xml:space="preserve"> </w:t>
      </w:r>
      <w:r>
        <w:t xml:space="preserve">	</w:t>
      </w:r>
      <w:r>
        <w:t xml:space="preserve">Saeedi P, Petersohn I, Salpea P, et al. Global and regional diabetes prevalence estimates for 2019 and projections for 2030 and 2045: Results from the international diabetes federation diabetes atlas, 9th edition.</w:t>
      </w:r>
      <w:r>
        <w:t xml:space="preserve"> </w:t>
      </w:r>
      <w:r>
        <w:rPr>
          <w:i/>
          <w:iCs/>
        </w:rPr>
        <w:t xml:space="preserve">Diabetes Research and Clinical Practice</w:t>
      </w:r>
      <w:r>
        <w:t xml:space="preserve">. 2019;157:107843. doi:</w:t>
      </w:r>
      <w:hyperlink r:id="rId31">
        <w:r>
          <w:rPr>
            <w:rStyle w:val="Hyperlink"/>
          </w:rPr>
          <w:t xml:space="preserve">https://doi.org/10.1016/j.diabres.2019.107843</w:t>
        </w:r>
      </w:hyperlink>
    </w:p>
    <w:bookmarkEnd w:id="32"/>
    <w:bookmarkStart w:id="34" w:name="ref-defronzo2004"/>
    <w:p>
      <w:pPr>
        <w:pStyle w:val="Bibliography"/>
      </w:pPr>
      <w:r>
        <w:t xml:space="preserve">2.</w:t>
      </w:r>
      <w:r>
        <w:t xml:space="preserve"> </w:t>
      </w:r>
      <w:r>
        <w:t xml:space="preserve">	</w:t>
      </w:r>
      <w:r>
        <w:t xml:space="preserve">DeFronzo RA. Pathogenesis of type 2 diabetes mellitus.</w:t>
      </w:r>
      <w:r>
        <w:t xml:space="preserve"> </w:t>
      </w:r>
      <w:r>
        <w:rPr>
          <w:i/>
          <w:iCs/>
        </w:rPr>
        <w:t xml:space="preserve">Medical Clinics of North America</w:t>
      </w:r>
      <w:r>
        <w:t xml:space="preserve">. 2004;88(4):787-835. doi:</w:t>
      </w:r>
      <w:hyperlink r:id="rId33">
        <w:r>
          <w:rPr>
            <w:rStyle w:val="Hyperlink"/>
          </w:rPr>
          <w:t xml:space="preserve">10.1016/j.mcna.2004.04.013</w:t>
        </w:r>
      </w:hyperlink>
    </w:p>
    <w:bookmarkEnd w:id="34"/>
    <w:bookmarkStart w:id="36" w:name="ref-ahlqvist2018"/>
    <w:p>
      <w:pPr>
        <w:pStyle w:val="Bibliography"/>
      </w:pPr>
      <w:r>
        <w:t xml:space="preserve">3.</w:t>
      </w:r>
      <w:r>
        <w:t xml:space="preserve"> </w:t>
      </w:r>
      <w:r>
        <w:t xml:space="preserve">	</w:t>
      </w:r>
      <w:r>
        <w:t xml:space="preserve">Ahlqvist E, Storm P, Käräjämäki A, et al. Novel subgroups of adult-onset diabetes and their association with outcomes: a data-driven cluster analysis of six variables.</w:t>
      </w:r>
      <w:r>
        <w:t xml:space="preserve"> </w:t>
      </w:r>
      <w:r>
        <w:rPr>
          <w:i/>
          <w:iCs/>
        </w:rPr>
        <w:t xml:space="preserve">Lancet Diabetes Endocrinol</w:t>
      </w:r>
      <w:r>
        <w:t xml:space="preserve">. 2018;6(5):361-369. doi:</w:t>
      </w:r>
      <w:hyperlink r:id="rId35">
        <w:r>
          <w:rPr>
            <w:rStyle w:val="Hyperlink"/>
          </w:rPr>
          <w:t xml:space="preserve">10.1016/s2213-8587(18)30051-2</w:t>
        </w:r>
      </w:hyperlink>
    </w:p>
    <w:bookmarkEnd w:id="36"/>
    <w:bookmarkStart w:id="38" w:name="ref-tobias2023"/>
    <w:p>
      <w:pPr>
        <w:pStyle w:val="Bibliography"/>
      </w:pPr>
      <w:r>
        <w:t xml:space="preserve">4.</w:t>
      </w:r>
      <w:r>
        <w:t xml:space="preserve"> </w:t>
      </w:r>
      <w:r>
        <w:t xml:space="preserve">	</w:t>
      </w:r>
      <w:r>
        <w:t xml:space="preserve">Tobias DK, Merino J, Ahmad A, et al. Second international consensus report on gaps and opportunities for the clinical translation of precision diabetes medicine.</w:t>
      </w:r>
      <w:r>
        <w:t xml:space="preserve"> </w:t>
      </w:r>
      <w:r>
        <w:rPr>
          <w:i/>
          <w:iCs/>
        </w:rPr>
        <w:t xml:space="preserve">Nature Medicine</w:t>
      </w:r>
      <w:r>
        <w:t xml:space="preserve">. 2023;29(10):2438-2457. doi:</w:t>
      </w:r>
      <w:hyperlink r:id="rId37">
        <w:r>
          <w:rPr>
            <w:rStyle w:val="Hyperlink"/>
          </w:rPr>
          <w:t xml:space="preserve">10.1038/s41591-023-02502-5</w:t>
        </w:r>
      </w:hyperlink>
    </w:p>
    <w:bookmarkEnd w:id="38"/>
    <w:bookmarkStart w:id="40" w:name="ref-wagner2021"/>
    <w:p>
      <w:pPr>
        <w:pStyle w:val="Bibliography"/>
      </w:pPr>
      <w:r>
        <w:t xml:space="preserve">5.</w:t>
      </w:r>
      <w:r>
        <w:t xml:space="preserve"> </w:t>
      </w:r>
      <w:r>
        <w:t xml:space="preserve">	</w:t>
      </w:r>
      <w:r>
        <w:t xml:space="preserve">Wagner R, Heni M, Tabák AG, et al. Pathophysiology-based subphenotyping of individuals at elevated risk for type 2 diabetes.</w:t>
      </w:r>
      <w:r>
        <w:t xml:space="preserve"> </w:t>
      </w:r>
      <w:r>
        <w:rPr>
          <w:i/>
          <w:iCs/>
        </w:rPr>
        <w:t xml:space="preserve">Nature Medicine</w:t>
      </w:r>
      <w:r>
        <w:t xml:space="preserve">. 2021;27(1):49-57. doi:</w:t>
      </w:r>
      <w:hyperlink r:id="rId39">
        <w:r>
          <w:rPr>
            <w:rStyle w:val="Hyperlink"/>
          </w:rPr>
          <w:t xml:space="preserve">10.1038/s41591-020-1116-9</w:t>
        </w:r>
      </w:hyperlink>
    </w:p>
    <w:bookmarkEnd w:id="40"/>
    <w:bookmarkStart w:id="42" w:name="ref-stroebel2025"/>
    <w:p>
      <w:pPr>
        <w:pStyle w:val="Bibliography"/>
      </w:pPr>
      <w:r>
        <w:t xml:space="preserve">6.</w:t>
      </w:r>
      <w:r>
        <w:t xml:space="preserve"> </w:t>
      </w:r>
      <w:r>
        <w:t xml:space="preserve">	</w:t>
      </w:r>
      <w:r>
        <w:t xml:space="preserve">Stroebel BM, Gadgil M, Lewis KA, Longoria KD, Zhang L, Flowers E. Body Composition Differentiates Prediabetes Phenotype Clusters in the Diabetes Prevention Program Study.</w:t>
      </w:r>
      <w:r>
        <w:t xml:space="preserve"> </w:t>
      </w:r>
      <w:r>
        <w:rPr>
          <w:i/>
          <w:iCs/>
        </w:rPr>
        <w:t xml:space="preserve">The Journal of Clinical Endocrinology and Metabolism</w:t>
      </w:r>
      <w:r>
        <w:t xml:space="preserve">. 2025;110(11):e3665-e3672. doi:</w:t>
      </w:r>
      <w:hyperlink r:id="rId41">
        <w:r>
          <w:rPr>
            <w:rStyle w:val="Hyperlink"/>
          </w:rPr>
          <w:t xml:space="preserve">10.1210/clinem/dgaf163</w:t>
        </w:r>
      </w:hyperlink>
    </w:p>
    <w:bookmarkEnd w:id="42"/>
    <w:bookmarkStart w:id="44" w:name="ref-holst2019"/>
    <w:p>
      <w:pPr>
        <w:pStyle w:val="Bibliography"/>
      </w:pPr>
      <w:r>
        <w:t xml:space="preserve">7.</w:t>
      </w:r>
      <w:r>
        <w:t xml:space="preserve"> </w:t>
      </w:r>
      <w:r>
        <w:t xml:space="preserve">	</w:t>
      </w:r>
      <w:r>
        <w:t xml:space="preserve">Holst JJ. The incretin system in healthy humans: The role of GIP and GLP-1.</w:t>
      </w:r>
      <w:r>
        <w:t xml:space="preserve"> </w:t>
      </w:r>
      <w:r>
        <w:rPr>
          <w:i/>
          <w:iCs/>
        </w:rPr>
        <w:t xml:space="preserve">Metabolism</w:t>
      </w:r>
      <w:r>
        <w:t xml:space="preserve">. 2019;96:46-55. doi:</w:t>
      </w:r>
      <w:hyperlink r:id="rId43">
        <w:r>
          <w:rPr>
            <w:rStyle w:val="Hyperlink"/>
          </w:rPr>
          <w:t xml:space="preserve">10.1016/j.metabol.2019.04.014</w:t>
        </w:r>
      </w:hyperlink>
    </w:p>
    <w:bookmarkEnd w:id="44"/>
    <w:bookmarkStart w:id="46" w:name="ref-holst2024"/>
    <w:p>
      <w:pPr>
        <w:pStyle w:val="Bibliography"/>
      </w:pPr>
      <w:r>
        <w:t xml:space="preserve">8.</w:t>
      </w:r>
      <w:r>
        <w:t xml:space="preserve"> </w:t>
      </w:r>
      <w:r>
        <w:t xml:space="preserve">	</w:t>
      </w:r>
      <w:r>
        <w:t xml:space="preserve">Holst JJ. GLP-1 physiology in obesity and development of incretin-based drugs for chronic weight management.</w:t>
      </w:r>
      <w:r>
        <w:t xml:space="preserve"> </w:t>
      </w:r>
      <w:r>
        <w:rPr>
          <w:i/>
          <w:iCs/>
        </w:rPr>
        <w:t xml:space="preserve">Nature Metabolism</w:t>
      </w:r>
      <w:r>
        <w:t xml:space="preserve">. 2024;6(10):1866-1885. doi:</w:t>
      </w:r>
      <w:hyperlink r:id="rId45">
        <w:r>
          <w:rPr>
            <w:rStyle w:val="Hyperlink"/>
          </w:rPr>
          <w:t xml:space="preserve">10.1038/s42255-024-01113-9</w:t>
        </w:r>
      </w:hyperlink>
    </w:p>
    <w:bookmarkEnd w:id="46"/>
    <w:bookmarkStart w:id="48" w:name="ref-ahrén2015"/>
    <w:p>
      <w:pPr>
        <w:pStyle w:val="Bibliography"/>
      </w:pPr>
      <w:r>
        <w:t xml:space="preserve">9.</w:t>
      </w:r>
      <w:r>
        <w:t xml:space="preserve"> </w:t>
      </w:r>
      <w:r>
        <w:t xml:space="preserve">	</w:t>
      </w:r>
      <w:r>
        <w:t xml:space="preserve">Ahrén B. Glucagon</w:t>
      </w:r>
      <w:r>
        <w:t xml:space="preserve"> </w:t>
      </w:r>
      <w:r>
        <w:t xml:space="preserve"> </w:t>
      </w:r>
      <w:r>
        <w:t xml:space="preserve">early breakthroughs and recent discoveries.</w:t>
      </w:r>
      <w:r>
        <w:t xml:space="preserve"> </w:t>
      </w:r>
      <w:r>
        <w:rPr>
          <w:i/>
          <w:iCs/>
        </w:rPr>
        <w:t xml:space="preserve">Peptides</w:t>
      </w:r>
      <w:r>
        <w:t xml:space="preserve">. 2015;67:74-81. doi:</w:t>
      </w:r>
      <w:hyperlink r:id="rId47">
        <w:r>
          <w:rPr>
            <w:rStyle w:val="Hyperlink"/>
          </w:rPr>
          <w:t xml:space="preserve">10.1016/j.peptides.2015.03.011</w:t>
        </w:r>
      </w:hyperlink>
    </w:p>
    <w:bookmarkEnd w:id="48"/>
    <w:bookmarkStart w:id="50" w:name="ref-toft-nielsen2001"/>
    <w:p>
      <w:pPr>
        <w:pStyle w:val="Bibliography"/>
      </w:pPr>
      <w:r>
        <w:t xml:space="preserve">10.</w:t>
      </w:r>
      <w:r>
        <w:t xml:space="preserve"> </w:t>
      </w:r>
      <w:r>
        <w:t xml:space="preserve">	</w:t>
      </w:r>
      <w:r>
        <w:t xml:space="preserve">Toft-Nielsen MB, Damholt MB, Madsbad S, et al. Determinants of the impaired secretion of glucagon-like peptide-1 in type 2 diabetic patients.</w:t>
      </w:r>
      <w:r>
        <w:t xml:space="preserve"> </w:t>
      </w:r>
      <w:r>
        <w:rPr>
          <w:i/>
          <w:iCs/>
        </w:rPr>
        <w:t xml:space="preserve">J Clin Endocrinol Metab</w:t>
      </w:r>
      <w:r>
        <w:t xml:space="preserve">. 2001;86(8):3717-3723. doi:</w:t>
      </w:r>
      <w:hyperlink r:id="rId49">
        <w:r>
          <w:rPr>
            <w:rStyle w:val="Hyperlink"/>
          </w:rPr>
          <w:t xml:space="preserve">10.1210/jcem.86.8.7750</w:t>
        </w:r>
      </w:hyperlink>
    </w:p>
    <w:bookmarkEnd w:id="50"/>
    <w:bookmarkStart w:id="52" w:name="ref-vollmer2008"/>
    <w:p>
      <w:pPr>
        <w:pStyle w:val="Bibliography"/>
      </w:pPr>
      <w:r>
        <w:t xml:space="preserve">11.</w:t>
      </w:r>
      <w:r>
        <w:t xml:space="preserve"> </w:t>
      </w:r>
      <w:r>
        <w:t xml:space="preserve">	</w:t>
      </w:r>
      <w:r>
        <w:t xml:space="preserve">Vollmer K, Holst JJ, Baller B, et al. Predictors of incretin concentrations in subjects with normal, impaired, and diabetic glucose tolerance.</w:t>
      </w:r>
      <w:r>
        <w:t xml:space="preserve"> </w:t>
      </w:r>
      <w:r>
        <w:rPr>
          <w:i/>
          <w:iCs/>
        </w:rPr>
        <w:t xml:space="preserve">Diabetes</w:t>
      </w:r>
      <w:r>
        <w:t xml:space="preserve">. 2008;57(3):678-687. doi:</w:t>
      </w:r>
      <w:hyperlink r:id="rId51">
        <w:r>
          <w:rPr>
            <w:rStyle w:val="Hyperlink"/>
          </w:rPr>
          <w:t xml:space="preserve">10.2337/db07-1124</w:t>
        </w:r>
      </w:hyperlink>
    </w:p>
    <w:bookmarkEnd w:id="52"/>
    <w:bookmarkStart w:id="54" w:name="ref-færch2008"/>
    <w:p>
      <w:pPr>
        <w:pStyle w:val="Bibliography"/>
      </w:pPr>
      <w:r>
        <w:t xml:space="preserve">12.</w:t>
      </w:r>
      <w:r>
        <w:t xml:space="preserve"> </w:t>
      </w:r>
      <w:r>
        <w:t xml:space="preserve">	</w:t>
      </w:r>
      <w:r>
        <w:t xml:space="preserve">Færch K, Vaag A, Holst JJ, Glümer C, Pedersen O, Borch-Johnsen K. Impaired fasting glycaemia vs impaired glucose tolerance: Similar impairment of pancreatic alpha and beta cell function but differential roles of incretin hormones and insulin action.</w:t>
      </w:r>
      <w:r>
        <w:t xml:space="preserve"> </w:t>
      </w:r>
      <w:r>
        <w:rPr>
          <w:i/>
          <w:iCs/>
        </w:rPr>
        <w:t xml:space="preserve">Diabetologia</w:t>
      </w:r>
      <w:r>
        <w:t xml:space="preserve">. 2008;51(5):853-861. doi:</w:t>
      </w:r>
      <w:hyperlink r:id="rId53">
        <w:r>
          <w:rPr>
            <w:rStyle w:val="Hyperlink"/>
          </w:rPr>
          <w:t xml:space="preserve">10.1007/s00125-008-0951-x</w:t>
        </w:r>
      </w:hyperlink>
    </w:p>
    <w:bookmarkEnd w:id="54"/>
    <w:bookmarkStart w:id="56" w:name="ref-færch2016"/>
    <w:p>
      <w:pPr>
        <w:pStyle w:val="Bibliography"/>
      </w:pPr>
      <w:r>
        <w:t xml:space="preserve">13.</w:t>
      </w:r>
      <w:r>
        <w:t xml:space="preserve"> </w:t>
      </w:r>
      <w:r>
        <w:t xml:space="preserve">	</w:t>
      </w:r>
      <w:r>
        <w:t xml:space="preserve">Færch K, Vistisen D, Pacini G, et al. Insulin Resistance Is Accompanied by Increased Fasting Glucagon and Delayed Glucagon Suppression in Individuals With Normal and Impaired Glucose Regulation.</w:t>
      </w:r>
      <w:r>
        <w:t xml:space="preserve"> </w:t>
      </w:r>
      <w:r>
        <w:rPr>
          <w:i/>
          <w:iCs/>
        </w:rPr>
        <w:t xml:space="preserve">Diabetes</w:t>
      </w:r>
      <w:r>
        <w:t xml:space="preserve">. 2016;65(11):3473-3481. doi:</w:t>
      </w:r>
      <w:hyperlink r:id="rId55">
        <w:r>
          <w:rPr>
            <w:rStyle w:val="Hyperlink"/>
          </w:rPr>
          <w:t xml:space="preserve">10.2337/db16-0240</w:t>
        </w:r>
      </w:hyperlink>
    </w:p>
    <w:bookmarkEnd w:id="56"/>
    <w:bookmarkStart w:id="58" w:name="ref-wagner2017"/>
    <w:p>
      <w:pPr>
        <w:pStyle w:val="Bibliography"/>
      </w:pPr>
      <w:r>
        <w:t xml:space="preserve">14.</w:t>
      </w:r>
      <w:r>
        <w:t xml:space="preserve"> </w:t>
      </w:r>
      <w:r>
        <w:t xml:space="preserve">	</w:t>
      </w:r>
      <w:r>
        <w:t xml:space="preserve">Wagner R, Hakaste LH, Ahlqvist E, et al. Nonsuppressed Glucagon After Glucose Challenge as a Potential Predictor for Glucose Tolerance.</w:t>
      </w:r>
      <w:r>
        <w:t xml:space="preserve"> </w:t>
      </w:r>
      <w:r>
        <w:rPr>
          <w:i/>
          <w:iCs/>
        </w:rPr>
        <w:t xml:space="preserve">Diabetes</w:t>
      </w:r>
      <w:r>
        <w:t xml:space="preserve">. 2017;66(5):1373-1379. doi:</w:t>
      </w:r>
      <w:hyperlink r:id="rId57">
        <w:r>
          <w:rPr>
            <w:rStyle w:val="Hyperlink"/>
          </w:rPr>
          <w:t xml:space="preserve">10.2337/db16-0354</w:t>
        </w:r>
      </w:hyperlink>
    </w:p>
    <w:bookmarkEnd w:id="58"/>
    <w:bookmarkStart w:id="60" w:name="ref-kahn2001a"/>
    <w:p>
      <w:pPr>
        <w:pStyle w:val="Bibliography"/>
      </w:pPr>
      <w:r>
        <w:t xml:space="preserve">15.</w:t>
      </w:r>
      <w:r>
        <w:t xml:space="preserve"> </w:t>
      </w:r>
      <w:r>
        <w:t xml:space="preserve">	</w:t>
      </w:r>
      <w:r>
        <w:t xml:space="preserve">Kahn SE, Prigeon RL, Schwartz RS, et al. Obesity, body fat distribution, insulin sensitivity and islet β-cell function as explanations for metabolic diversity.</w:t>
      </w:r>
      <w:r>
        <w:t xml:space="preserve"> </w:t>
      </w:r>
      <w:r>
        <w:rPr>
          <w:i/>
          <w:iCs/>
        </w:rPr>
        <w:t xml:space="preserve">The Journal of Nutrition</w:t>
      </w:r>
      <w:r>
        <w:t xml:space="preserve">. 2001;131(2):354S-360S. doi:</w:t>
      </w:r>
      <w:hyperlink r:id="rId59">
        <w:r>
          <w:rPr>
            <w:rStyle w:val="Hyperlink"/>
          </w:rPr>
          <w:t xml:space="preserve">10.1093/jn/131.2.354S</w:t>
        </w:r>
      </w:hyperlink>
    </w:p>
    <w:bookmarkEnd w:id="60"/>
    <w:bookmarkStart w:id="62" w:name="ref-borel2015"/>
    <w:p>
      <w:pPr>
        <w:pStyle w:val="Bibliography"/>
      </w:pPr>
      <w:r>
        <w:t xml:space="preserve">16.</w:t>
      </w:r>
      <w:r>
        <w:t xml:space="preserve"> </w:t>
      </w:r>
      <w:r>
        <w:t xml:space="preserve">	</w:t>
      </w:r>
      <w:r>
        <w:t xml:space="preserve">Borel AL, Nazare JA, Smith J, et al. Visceral, subcutaneous abdominal adiposity and liver fat content distribution in normal glucose tolerance, impaired fasting glucose and/or impaired glucose tolerance.</w:t>
      </w:r>
      <w:r>
        <w:t xml:space="preserve"> </w:t>
      </w:r>
      <w:r>
        <w:rPr>
          <w:i/>
          <w:iCs/>
        </w:rPr>
        <w:t xml:space="preserve">International Journal of Obesity</w:t>
      </w:r>
      <w:r>
        <w:t xml:space="preserve">. 2015;39(3):495-501. doi:</w:t>
      </w:r>
      <w:hyperlink r:id="rId61">
        <w:r>
          <w:rPr>
            <w:rStyle w:val="Hyperlink"/>
          </w:rPr>
          <w:t xml:space="preserve">10.1038/ijo.2014.163</w:t>
        </w:r>
      </w:hyperlink>
    </w:p>
    <w:bookmarkEnd w:id="62"/>
    <w:bookmarkStart w:id="64" w:name="ref-johansen2012"/>
    <w:p>
      <w:pPr>
        <w:pStyle w:val="Bibliography"/>
      </w:pPr>
      <w:r>
        <w:t xml:space="preserve">17.</w:t>
      </w:r>
      <w:r>
        <w:t xml:space="preserve"> </w:t>
      </w:r>
      <w:r>
        <w:t xml:space="preserve">	</w:t>
      </w:r>
      <w:r>
        <w:t xml:space="preserve">Johansen NB, Hansen ALS, Jensen TM, et al. Protocol for ADDITION-PRO: A longitudinal cohort study of the cardiovascular experience of individuals at high risk for diabetes recruited from danish primary care.</w:t>
      </w:r>
      <w:r>
        <w:t xml:space="preserve"> </w:t>
      </w:r>
      <w:r>
        <w:rPr>
          <w:i/>
          <w:iCs/>
        </w:rPr>
        <w:t xml:space="preserve">BMC Public Health</w:t>
      </w:r>
      <w:r>
        <w:t xml:space="preserve">. 2012;12(1):1078. doi:</w:t>
      </w:r>
      <w:hyperlink r:id="rId63">
        <w:r>
          <w:rPr>
            <w:rStyle w:val="Hyperlink"/>
          </w:rPr>
          <w:t xml:space="preserve">10.1186/1471-2458-12-1078</w:t>
        </w:r>
      </w:hyperlink>
    </w:p>
    <w:bookmarkEnd w:id="64"/>
    <w:bookmarkStart w:id="66" w:name="ref-lauritzen2000"/>
    <w:p>
      <w:pPr>
        <w:pStyle w:val="Bibliography"/>
      </w:pPr>
      <w:r>
        <w:t xml:space="preserve">18.</w:t>
      </w:r>
      <w:r>
        <w:t xml:space="preserve"> </w:t>
      </w:r>
      <w:r>
        <w:t xml:space="preserve">	</w:t>
      </w:r>
      <w:r>
        <w:t xml:space="preserve">Lauritzen T, Griffin S, Borch-Johnsen K, Wareham NJ, Wolffenbuttel BH, Rutten G. The ADDITION study: proposed trial of the cost-effectiveness of an intensive multifactorial intervention on morbidity and mortality among people with Type 2 diabetes detected by screening.</w:t>
      </w:r>
      <w:r>
        <w:t xml:space="preserve"> </w:t>
      </w:r>
      <w:r>
        <w:rPr>
          <w:i/>
          <w:iCs/>
        </w:rPr>
        <w:t xml:space="preserve">Int J Obes Relat Metab Disord</w:t>
      </w:r>
      <w:r>
        <w:t xml:space="preserve">. 2000;24 Suppl 3:S6-11. doi:</w:t>
      </w:r>
      <w:hyperlink r:id="rId65">
        <w:r>
          <w:rPr>
            <w:rStyle w:val="Hyperlink"/>
          </w:rPr>
          <w:t xml:space="preserve">10.1038/sj.ijo.0801420</w:t>
        </w:r>
      </w:hyperlink>
    </w:p>
    <w:bookmarkEnd w:id="66"/>
    <w:bookmarkStart w:id="68" w:name="ref-glümer2004"/>
    <w:p>
      <w:pPr>
        <w:pStyle w:val="Bibliography"/>
      </w:pPr>
      <w:r>
        <w:t xml:space="preserve">19.</w:t>
      </w:r>
      <w:r>
        <w:t xml:space="preserve"> </w:t>
      </w:r>
      <w:r>
        <w:t xml:space="preserve">	</w:t>
      </w:r>
      <w:r>
        <w:t xml:space="preserve">Glümer C, Carstensen B, Sandbaek A, Lauritzen T, Jørgensen T, Borch-Johnsen K. A Danish diabetes risk score for targeted screening: the Inter99 study.</w:t>
      </w:r>
      <w:r>
        <w:t xml:space="preserve"> </w:t>
      </w:r>
      <w:r>
        <w:rPr>
          <w:i/>
          <w:iCs/>
        </w:rPr>
        <w:t xml:space="preserve">Diabetes Care</w:t>
      </w:r>
      <w:r>
        <w:t xml:space="preserve">. 2004;27(3):727-733. doi:</w:t>
      </w:r>
      <w:hyperlink r:id="rId67">
        <w:r>
          <w:rPr>
            <w:rStyle w:val="Hyperlink"/>
          </w:rPr>
          <w:t xml:space="preserve">10.2337/diacare.27.3.727</w:t>
        </w:r>
      </w:hyperlink>
    </w:p>
    <w:bookmarkEnd w:id="68"/>
    <w:bookmarkStart w:id="69" w:name="ref-worldhealthorganization2006"/>
    <w:p>
      <w:pPr>
        <w:pStyle w:val="Bibliography"/>
      </w:pPr>
      <w:r>
        <w:t xml:space="preserve">20.</w:t>
      </w:r>
      <w:r>
        <w:t xml:space="preserve"> </w:t>
      </w:r>
      <w:r>
        <w:t xml:space="preserve">	</w:t>
      </w:r>
      <w:r>
        <w:t xml:space="preserve">World Health Organization.</w:t>
      </w:r>
      <w:r>
        <w:t xml:space="preserve"> </w:t>
      </w:r>
      <w:r>
        <w:rPr>
          <w:i/>
          <w:iCs/>
        </w:rPr>
        <w:t xml:space="preserve">Definition and Diagnosis of Diabetes Mellitus and Intermediate Hyperglycaemia</w:t>
      </w:r>
      <w:r>
        <w:t xml:space="preserve">. 2006.</w:t>
      </w:r>
    </w:p>
    <w:bookmarkEnd w:id="69"/>
    <w:bookmarkStart w:id="71" w:name="ref-orskov1994"/>
    <w:p>
      <w:pPr>
        <w:pStyle w:val="Bibliography"/>
      </w:pPr>
      <w:r>
        <w:t xml:space="preserve">21.</w:t>
      </w:r>
      <w:r>
        <w:t xml:space="preserve"> </w:t>
      </w:r>
      <w:r>
        <w:t xml:space="preserve">	</w:t>
      </w:r>
      <w:r>
        <w:t xml:space="preserve">Orskov C, Rabenhøj L, Wettergren A, Kofod H, Holst JJ. Tissue and plasma concentrations of amidated and glycine-extended glucagon-like peptide I in humans.</w:t>
      </w:r>
      <w:r>
        <w:t xml:space="preserve"> </w:t>
      </w:r>
      <w:r>
        <w:rPr>
          <w:i/>
          <w:iCs/>
        </w:rPr>
        <w:t xml:space="preserve">Diabetes</w:t>
      </w:r>
      <w:r>
        <w:t xml:space="preserve">. 1994;43(4):535-539. doi:</w:t>
      </w:r>
      <w:hyperlink r:id="rId70">
        <w:r>
          <w:rPr>
            <w:rStyle w:val="Hyperlink"/>
          </w:rPr>
          <w:t xml:space="preserve">10.2337/diab.43.4.535</w:t>
        </w:r>
      </w:hyperlink>
    </w:p>
    <w:bookmarkEnd w:id="71"/>
    <w:bookmarkStart w:id="73" w:name="ref-færch2015"/>
    <w:p>
      <w:pPr>
        <w:pStyle w:val="Bibliography"/>
      </w:pPr>
      <w:r>
        <w:t xml:space="preserve">22.</w:t>
      </w:r>
      <w:r>
        <w:t xml:space="preserve"> </w:t>
      </w:r>
      <w:r>
        <w:t xml:space="preserve">	</w:t>
      </w:r>
      <w:r>
        <w:t xml:space="preserve">Færch K, Torekov SS, Vistisen D, et al. GLP-1 Response to Oral Glucose Is Reduced in Prediabetes, Screen-Detected Type 2 Diabetes, and Obesity and Influenced by Sex: The ADDITION-PRO Study.</w:t>
      </w:r>
      <w:r>
        <w:t xml:space="preserve"> </w:t>
      </w:r>
      <w:r>
        <w:rPr>
          <w:i/>
          <w:iCs/>
        </w:rPr>
        <w:t xml:space="preserve">Diabetes</w:t>
      </w:r>
      <w:r>
        <w:t xml:space="preserve">. 2015;64(7):2513-2525. doi:</w:t>
      </w:r>
      <w:hyperlink r:id="rId72">
        <w:r>
          <w:rPr>
            <w:rStyle w:val="Hyperlink"/>
          </w:rPr>
          <w:t xml:space="preserve">10.2337/db14-1751</w:t>
        </w:r>
      </w:hyperlink>
    </w:p>
    <w:bookmarkEnd w:id="73"/>
    <w:bookmarkStart w:id="74" w:name="ref-holst1983"/>
    <w:p>
      <w:pPr>
        <w:pStyle w:val="Bibliography"/>
      </w:pPr>
      <w:r>
        <w:t xml:space="preserve">23.</w:t>
      </w:r>
      <w:r>
        <w:t xml:space="preserve"> </w:t>
      </w:r>
      <w:r>
        <w:t xml:space="preserve">	</w:t>
      </w:r>
      <w:r>
        <w:t xml:space="preserve">Holst JJ. Molecular heterogeneity of glucagon in normal subjects and in patients with glucagon-producing tumours.</w:t>
      </w:r>
      <w:r>
        <w:t xml:space="preserve"> </w:t>
      </w:r>
      <w:r>
        <w:rPr>
          <w:i/>
          <w:iCs/>
        </w:rPr>
        <w:t xml:space="preserve">Diabetologia</w:t>
      </w:r>
      <w:r>
        <w:t xml:space="preserve">. 1983;24(5):359-365.</w:t>
      </w:r>
    </w:p>
    <w:bookmarkEnd w:id="74"/>
    <w:bookmarkStart w:id="76" w:name="ref-stolk2001"/>
    <w:p>
      <w:pPr>
        <w:pStyle w:val="Bibliography"/>
      </w:pPr>
      <w:r>
        <w:t xml:space="preserve">24.</w:t>
      </w:r>
      <w:r>
        <w:t xml:space="preserve"> </w:t>
      </w:r>
      <w:r>
        <w:t xml:space="preserve">	</w:t>
      </w:r>
      <w:r>
        <w:t xml:space="preserve">Stolk RP, Wink O, Zelissen PMJ, Meijer R, Gils APG van, Grobbee DE. Validity and reproducibility of ultrasonography for the measurement of intra-abdominal adipose tissue.</w:t>
      </w:r>
      <w:r>
        <w:t xml:space="preserve"> </w:t>
      </w:r>
      <w:r>
        <w:rPr>
          <w:i/>
          <w:iCs/>
        </w:rPr>
        <w:t xml:space="preserve">International Journal of Obesity</w:t>
      </w:r>
      <w:r>
        <w:t xml:space="preserve">. 2001;25(9):1346-1351. doi:</w:t>
      </w:r>
      <w:hyperlink r:id="rId75">
        <w:r>
          <w:rPr>
            <w:rStyle w:val="Hyperlink"/>
          </w:rPr>
          <w:t xml:space="preserve">10.1038/sj.ijo.0801734</w:t>
        </w:r>
      </w:hyperlink>
    </w:p>
    <w:bookmarkEnd w:id="76"/>
    <w:bookmarkStart w:id="78" w:name="ref-philipsen2015"/>
    <w:p>
      <w:pPr>
        <w:pStyle w:val="Bibliography"/>
      </w:pPr>
      <w:r>
        <w:t xml:space="preserve">25.</w:t>
      </w:r>
      <w:r>
        <w:t xml:space="preserve"> </w:t>
      </w:r>
      <w:r>
        <w:t xml:space="preserve">	</w:t>
      </w:r>
      <w:r>
        <w:t xml:space="preserve">Philipsen A, Jørgensen ME, Vistisen D, et al. Associations between ultrasound measures of abdominal fat distribution and indices of glucose metabolism in a population at high risk of type 2 diabetes: The ADDITION-PRO study.</w:t>
      </w:r>
      <w:r>
        <w:t xml:space="preserve"> </w:t>
      </w:r>
      <w:r>
        <w:rPr>
          <w:i/>
          <w:iCs/>
        </w:rPr>
        <w:t xml:space="preserve">PLoS One</w:t>
      </w:r>
      <w:r>
        <w:t xml:space="preserve">. 2015;10(4):e0123062. doi:</w:t>
      </w:r>
      <w:hyperlink r:id="rId77">
        <w:r>
          <w:rPr>
            <w:rStyle w:val="Hyperlink"/>
          </w:rPr>
          <w:t xml:space="preserve">10.1371/journal.pone.0123062</w:t>
        </w:r>
      </w:hyperlink>
    </w:p>
    <w:bookmarkEnd w:id="78"/>
    <w:bookmarkStart w:id="80" w:name="ref-brage2005"/>
    <w:p>
      <w:pPr>
        <w:pStyle w:val="Bibliography"/>
      </w:pPr>
      <w:r>
        <w:t xml:space="preserve">26.</w:t>
      </w:r>
      <w:r>
        <w:t xml:space="preserve"> </w:t>
      </w:r>
      <w:r>
        <w:t xml:space="preserve">	</w:t>
      </w:r>
      <w:r>
        <w:t xml:space="preserve">Brage S, Brage N, Franks PW, Ekelund U, Wareham NJ. Reliability and validity of the combined heart rate and movement sensor Actiheart.</w:t>
      </w:r>
      <w:r>
        <w:t xml:space="preserve"> </w:t>
      </w:r>
      <w:r>
        <w:rPr>
          <w:i/>
          <w:iCs/>
        </w:rPr>
        <w:t xml:space="preserve">European Journal of Clinical Nutrition</w:t>
      </w:r>
      <w:r>
        <w:t xml:space="preserve">. 2005;59(4):561-570. doi:</w:t>
      </w:r>
      <w:hyperlink r:id="rId79">
        <w:r>
          <w:rPr>
            <w:rStyle w:val="Hyperlink"/>
          </w:rPr>
          <w:t xml:space="preserve">10.1038/sj.ejcn.1602118</w:t>
        </w:r>
      </w:hyperlink>
    </w:p>
    <w:bookmarkEnd w:id="80"/>
    <w:bookmarkStart w:id="82" w:name="ref-tai1994b"/>
    <w:p>
      <w:pPr>
        <w:pStyle w:val="Bibliography"/>
      </w:pPr>
      <w:r>
        <w:t xml:space="preserve">27.</w:t>
      </w:r>
      <w:r>
        <w:t xml:space="preserve"> </w:t>
      </w:r>
      <w:r>
        <w:t xml:space="preserve">	</w:t>
      </w:r>
      <w:r>
        <w:t xml:space="preserve">Tai MM. A mathematical model for the determination of total area under glucose tolerance and other metabolic curves.</w:t>
      </w:r>
      <w:r>
        <w:t xml:space="preserve"> </w:t>
      </w:r>
      <w:r>
        <w:rPr>
          <w:i/>
          <w:iCs/>
        </w:rPr>
        <w:t xml:space="preserve">Diabetes Care</w:t>
      </w:r>
      <w:r>
        <w:t xml:space="preserve">. 1994;17(2):152-154. doi:</w:t>
      </w:r>
      <w:hyperlink r:id="rId81">
        <w:r>
          <w:rPr>
            <w:rStyle w:val="Hyperlink"/>
          </w:rPr>
          <w:t xml:space="preserve">10.2337/diacare.17.2.152</w:t>
        </w:r>
      </w:hyperlink>
    </w:p>
    <w:bookmarkEnd w:id="82"/>
    <w:bookmarkStart w:id="84" w:name="ref-gutt2000"/>
    <w:p>
      <w:pPr>
        <w:pStyle w:val="Bibliography"/>
      </w:pPr>
      <w:r>
        <w:t xml:space="preserve">28.</w:t>
      </w:r>
      <w:r>
        <w:t xml:space="preserve"> </w:t>
      </w:r>
      <w:r>
        <w:t xml:space="preserve">	</w:t>
      </w:r>
      <w:r>
        <w:t xml:space="preserve">Gutt M, Davis CL, Spitzer SB, et al. Validation of the insulin sensitivity index (ISI(0,120)): comparison with other measures.</w:t>
      </w:r>
      <w:r>
        <w:t xml:space="preserve"> </w:t>
      </w:r>
      <w:r>
        <w:rPr>
          <w:i/>
          <w:iCs/>
        </w:rPr>
        <w:t xml:space="preserve">Diabetes Research and Clinical Practice</w:t>
      </w:r>
      <w:r>
        <w:t xml:space="preserve">. 2000;47(3):177-184. doi:</w:t>
      </w:r>
      <w:hyperlink r:id="rId83">
        <w:r>
          <w:rPr>
            <w:rStyle w:val="Hyperlink"/>
          </w:rPr>
          <w:t xml:space="preserve">10.1016/s0168-8227(99)00116-3</w:t>
        </w:r>
      </w:hyperlink>
    </w:p>
    <w:bookmarkEnd w:id="84"/>
    <w:bookmarkStart w:id="86" w:name="ref-james2021"/>
    <w:p>
      <w:pPr>
        <w:pStyle w:val="Bibliography"/>
      </w:pPr>
      <w:r>
        <w:t xml:space="preserve">29.</w:t>
      </w:r>
      <w:r>
        <w:t xml:space="preserve"> </w:t>
      </w:r>
      <w:r>
        <w:t xml:space="preserve">	</w:t>
      </w:r>
      <w:r>
        <w:t xml:space="preserve">James G, Witten D, Hastie T, Tibshirani R.</w:t>
      </w:r>
      <w:r>
        <w:t xml:space="preserve"> </w:t>
      </w:r>
      <w:r>
        <w:rPr>
          <w:i/>
          <w:iCs/>
        </w:rPr>
        <w:t xml:space="preserve">An Introduction to Statistical Learning: With Applications in r</w:t>
      </w:r>
      <w:r>
        <w:t xml:space="preserve">. Springer US; 2021. doi:</w:t>
      </w:r>
      <w:hyperlink r:id="rId85">
        <w:r>
          <w:rPr>
            <w:rStyle w:val="Hyperlink"/>
          </w:rPr>
          <w:t xml:space="preserve">10.1007/978-1-0716-1418-1</w:t>
        </w:r>
      </w:hyperlink>
    </w:p>
    <w:bookmarkEnd w:id="86"/>
    <w:bookmarkStart w:id="88" w:name="ref-charrad2014"/>
    <w:p>
      <w:pPr>
        <w:pStyle w:val="Bibliography"/>
      </w:pPr>
      <w:r>
        <w:t xml:space="preserve">30.</w:t>
      </w:r>
      <w:r>
        <w:t xml:space="preserve"> </w:t>
      </w:r>
      <w:r>
        <w:t xml:space="preserve">	</w:t>
      </w:r>
      <w:r>
        <w:t xml:space="preserve">Charrad M, Ghazzali N, Boiteau V, Niknafs A. NbClust: An r package for determining the relevant number of clusters in a data set.</w:t>
      </w:r>
      <w:r>
        <w:t xml:space="preserve"> </w:t>
      </w:r>
      <w:r>
        <w:rPr>
          <w:i/>
          <w:iCs/>
        </w:rPr>
        <w:t xml:space="preserve">Journal of Statistical Software</w:t>
      </w:r>
      <w:r>
        <w:t xml:space="preserve">. 2014;61:1-36. doi:</w:t>
      </w:r>
      <w:hyperlink r:id="rId87">
        <w:r>
          <w:rPr>
            <w:rStyle w:val="Hyperlink"/>
          </w:rPr>
          <w:t xml:space="preserve">10.18637/jss.v061.i06</w:t>
        </w:r>
      </w:hyperlink>
    </w:p>
    <w:bookmarkEnd w:id="88"/>
    <w:bookmarkStart w:id="90" w:name="ref-bredella2017"/>
    <w:p>
      <w:pPr>
        <w:pStyle w:val="Bibliography"/>
      </w:pPr>
      <w:r>
        <w:t xml:space="preserve">31.</w:t>
      </w:r>
      <w:r>
        <w:t xml:space="preserve"> </w:t>
      </w:r>
      <w:r>
        <w:t xml:space="preserve">	</w:t>
      </w:r>
      <w:r>
        <w:t xml:space="preserve">Bredella MA. Sex differences in body composition. In, ed.Mauvais-Jarvis F. Springer International Publishing; 2017:9-27. doi:</w:t>
      </w:r>
      <w:hyperlink r:id="rId89">
        <w:r>
          <w:rPr>
            <w:rStyle w:val="Hyperlink"/>
          </w:rPr>
          <w:t xml:space="preserve">10.1007/978-3-319-70178-3_2</w:t>
        </w:r>
      </w:hyperlink>
    </w:p>
    <w:bookmarkEnd w:id="90"/>
    <w:bookmarkStart w:id="91" w:name="ref-rcoreteam"/>
    <w:p>
      <w:pPr>
        <w:pStyle w:val="Bibliography"/>
      </w:pPr>
      <w:r>
        <w:t xml:space="preserve">32.</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w:t>
      </w:r>
    </w:p>
    <w:bookmarkEnd w:id="91"/>
    <w:bookmarkStart w:id="93" w:name="ref-vilsbøll2003"/>
    <w:p>
      <w:pPr>
        <w:pStyle w:val="Bibliography"/>
      </w:pPr>
      <w:r>
        <w:t xml:space="preserve">33.</w:t>
      </w:r>
      <w:r>
        <w:t xml:space="preserve"> </w:t>
      </w:r>
      <w:r>
        <w:t xml:space="preserve">	</w:t>
      </w:r>
      <w:r>
        <w:t xml:space="preserve">Vilsbøll T, Krarup T, Sonne J, et al. Incretin secretion in relation to meal size and body weight in healthy subjects and people with type 1 and type 2 diabetes mellitus.</w:t>
      </w:r>
      <w:r>
        <w:t xml:space="preserve"> </w:t>
      </w:r>
      <w:r>
        <w:rPr>
          <w:i/>
          <w:iCs/>
        </w:rPr>
        <w:t xml:space="preserve">The Journal of Clinical Endocrinology &amp; Metabolism</w:t>
      </w:r>
      <w:r>
        <w:t xml:space="preserve">. 2003;88(6):2706-2713. doi:</w:t>
      </w:r>
      <w:hyperlink r:id="rId92">
        <w:r>
          <w:rPr>
            <w:rStyle w:val="Hyperlink"/>
          </w:rPr>
          <w:t xml:space="preserve">10.1210/jc.2002-021873</w:t>
        </w:r>
      </w:hyperlink>
    </w:p>
    <w:bookmarkEnd w:id="93"/>
    <w:bookmarkStart w:id="95" w:name="ref-schorr2018"/>
    <w:p>
      <w:pPr>
        <w:pStyle w:val="Bibliography"/>
      </w:pPr>
      <w:r>
        <w:t xml:space="preserve">34.</w:t>
      </w:r>
      <w:r>
        <w:t xml:space="preserve"> </w:t>
      </w:r>
      <w:r>
        <w:t xml:space="preserve">	</w:t>
      </w:r>
      <w:r>
        <w:t xml:space="preserve">Schorr M, Dichtel LE, Gerweck AV, et al. Sex differences in body composition and association with cardiometabolic risk.</w:t>
      </w:r>
      <w:r>
        <w:t xml:space="preserve"> </w:t>
      </w:r>
      <w:r>
        <w:rPr>
          <w:i/>
          <w:iCs/>
        </w:rPr>
        <w:t xml:space="preserve">Biology of Sex Differences</w:t>
      </w:r>
      <w:r>
        <w:t xml:space="preserve">. 2018;9:28. doi:</w:t>
      </w:r>
      <w:hyperlink r:id="rId94">
        <w:r>
          <w:rPr>
            <w:rStyle w:val="Hyperlink"/>
          </w:rPr>
          <w:t xml:space="preserve">10.1186/s13293-018-0189-3</w:t>
        </w:r>
      </w:hyperlink>
    </w:p>
    <w:bookmarkEnd w:id="95"/>
    <w:bookmarkStart w:id="97" w:name="ref-mori2025"/>
    <w:p>
      <w:pPr>
        <w:pStyle w:val="Bibliography"/>
      </w:pPr>
      <w:r>
        <w:t xml:space="preserve">35.</w:t>
      </w:r>
      <w:r>
        <w:t xml:space="preserve"> </w:t>
      </w:r>
      <w:r>
        <w:t xml:space="preserve">	</w:t>
      </w:r>
      <w:r>
        <w:t xml:space="preserve">Mori T, Zaharia OP, Straßburger K, et al. Recognising, quantifying and accounting for classification uncertainty in type 2 diabetes subtypes.</w:t>
      </w:r>
      <w:r>
        <w:t xml:space="preserve"> </w:t>
      </w:r>
      <w:r>
        <w:rPr>
          <w:i/>
          <w:iCs/>
        </w:rPr>
        <w:t xml:space="preserve">Diabetologia</w:t>
      </w:r>
      <w:r>
        <w:t xml:space="preserve">. 2025;68(10):2139-2150. doi:</w:t>
      </w:r>
      <w:hyperlink r:id="rId96">
        <w:r>
          <w:rPr>
            <w:rStyle w:val="Hyperlink"/>
          </w:rPr>
          <w:t xml:space="preserve">10.1007/s00125-025-06486-4</w:t>
        </w:r>
      </w:hyperlink>
    </w:p>
    <w:bookmarkEnd w:id="97"/>
    <w:bookmarkStart w:id="99" w:name="ref-tabák2009"/>
    <w:p>
      <w:pPr>
        <w:pStyle w:val="Bibliography"/>
      </w:pPr>
      <w:r>
        <w:t xml:space="preserve">36.</w:t>
      </w:r>
      <w:r>
        <w:t xml:space="preserve"> </w:t>
      </w:r>
      <w:r>
        <w:t xml:space="preserve">	</w:t>
      </w:r>
      <w:r>
        <w:t xml:space="preserve">Tabák A, Jokela M, Akbaraly T, Brunner E, Kivimäki M, Witte D. Trajectories of glycemia, insulin sensitivity and insulin secretion preceding the diagnosis of type 2 diabetes: The whitehall II study.</w:t>
      </w:r>
      <w:r>
        <w:t xml:space="preserve"> </w:t>
      </w:r>
      <w:r>
        <w:rPr>
          <w:i/>
          <w:iCs/>
        </w:rPr>
        <w:t xml:space="preserve">Lancet</w:t>
      </w:r>
      <w:r>
        <w:t xml:space="preserve">. 2009;373(9682):2215-2221. doi:</w:t>
      </w:r>
      <w:hyperlink r:id="rId98">
        <w:r>
          <w:rPr>
            <w:rStyle w:val="Hyperlink"/>
          </w:rPr>
          <w:t xml:space="preserve">10.1016/S0140-6736(09)60619-X</w:t>
        </w:r>
      </w:hyperlink>
    </w:p>
    <w:bookmarkEnd w:id="99"/>
    <w:bookmarkStart w:id="101" w:name="ref-vistisen2019"/>
    <w:p>
      <w:pPr>
        <w:pStyle w:val="Bibliography"/>
      </w:pPr>
      <w:r>
        <w:t xml:space="preserve">37.</w:t>
      </w:r>
      <w:r>
        <w:t xml:space="preserve"> </w:t>
      </w:r>
      <w:r>
        <w:t xml:space="preserve">	</w:t>
      </w:r>
      <w:r>
        <w:t xml:space="preserve">Vistisen D, Kivimäki M, Perreault L, et al. Reversion from prediabetes to normoglycaemia and risk of cardiovascular disease and mortality: The whitehall II cohort study.</w:t>
      </w:r>
      <w:r>
        <w:t xml:space="preserve"> </w:t>
      </w:r>
      <w:r>
        <w:rPr>
          <w:i/>
          <w:iCs/>
        </w:rPr>
        <w:t xml:space="preserve">Diabetologia</w:t>
      </w:r>
      <w:r>
        <w:t xml:space="preserve">. 2019;62(8):1385-1390. doi:</w:t>
      </w:r>
      <w:hyperlink r:id="rId100">
        <w:r>
          <w:rPr>
            <w:rStyle w:val="Hyperlink"/>
          </w:rPr>
          <w:t xml:space="preserve">10.1007/s00125-019-4895-0</w:t>
        </w:r>
      </w:hyperlink>
    </w:p>
    <w:bookmarkEnd w:id="101"/>
    <w:bookmarkStart w:id="103" w:name="ref-wagner2026"/>
    <w:p>
      <w:pPr>
        <w:pStyle w:val="Bibliography"/>
      </w:pPr>
      <w:r>
        <w:t xml:space="preserve">38.</w:t>
      </w:r>
      <w:r>
        <w:t xml:space="preserve"> </w:t>
      </w:r>
      <w:r>
        <w:t xml:space="preserve">	</w:t>
      </w:r>
      <w:r>
        <w:t xml:space="preserve">Wagner R, Selvin E, Sehgal R, et al. Beyond Glucose-Rethinking Prediabetes for Precision Prevention.</w:t>
      </w:r>
      <w:r>
        <w:t xml:space="preserve"> </w:t>
      </w:r>
      <w:r>
        <w:rPr>
          <w:i/>
          <w:iCs/>
        </w:rPr>
        <w:t xml:space="preserve">Diabetes Care</w:t>
      </w:r>
      <w:r>
        <w:t xml:space="preserve">. 2026;49(2):226-235. doi:</w:t>
      </w:r>
      <w:hyperlink r:id="rId102">
        <w:r>
          <w:rPr>
            <w:rStyle w:val="Hyperlink"/>
          </w:rPr>
          <w:t xml:space="preserve">10.2337/dci25-0054</w:t>
        </w:r>
      </w:hyperlink>
    </w:p>
    <w:bookmarkEnd w:id="103"/>
    <w:bookmarkEnd w:id="104"/>
    <w:bookmarkEnd w:id="105"/>
    <w:bookmarkStart w:id="106" w:name="tables-and-figures"/>
    <w:p>
      <w:pPr>
        <w:pStyle w:val="Heading1"/>
      </w:pPr>
      <w:r>
        <w:t xml:space="preserve">7. Tables and figures</w:t>
      </w:r>
    </w:p>
    <w:bookmarkEnd w:id="106"/>
    <w:bookmarkStart w:id="107" w:name="supplementary-material"/>
    <w:p>
      <w:pPr>
        <w:pStyle w:val="Heading1"/>
      </w:pPr>
      <w:r>
        <w:t xml:space="preserve">8. Supplementary material</w:t>
      </w:r>
    </w:p>
    <w:bookmarkEnd w:id="107"/>
    <w:bookmarkStart w:id="108" w:name="conclusions-1"/>
    <w:p>
      <w:pPr>
        <w:pStyle w:val="Heading1"/>
      </w:pPr>
      <w:r>
        <w:t xml:space="preserve">9. Conclusions</w:t>
      </w:r>
    </w:p>
    <w:p>
      <w:pPr>
        <w:pStyle w:val="FirstParagraph"/>
      </w:pPr>
      <w:r>
        <w:t xml:space="preserve">In this study, we identified three metabolically distinct subgroups among individuals at high risk of type 2 diabetes, characterized by differences in glucose regulation, incretin secretion and glucagon suppression. The subgroups differed markedly in body fat distribution, with the insulin-resistant, dysglycemic subgroup exhibiting the highest visceral and subcutaneous adiposity, while the two more insulin-sensitive subgroups primarily differed in SAT, VAT/SAT ratio and body fat percentage despite similar glycemic status.</w:t>
      </w:r>
    </w:p>
    <w:p>
      <w:pPr>
        <w:pStyle w:val="BodyText"/>
      </w:pPr>
      <w:r>
        <w:t xml:space="preserve">Previous phenotyping studies have shown that metabolic heterogeneity is already present before diabetes onset. Wagner et al.</w:t>
      </w:r>
      <w:r>
        <w:t xml:space="preserve"> </w:t>
      </w:r>
      <w:r>
        <w:t xml:space="preserve">(5)</w:t>
      </w:r>
      <w:r>
        <w:t xml:space="preserve"> </w:t>
      </w:r>
      <w:r>
        <w:t xml:space="preserve">identified clusters that differed in glycemia, insulin sensitivity and secretion, body fat distribution and genetic risk, and showed that these phenotypes were related to progression to diabetes and their risk of diabetes-related complications. Similarly, Stroebel et al.</w:t>
      </w:r>
      <w:r>
        <w:t xml:space="preserve"> </w:t>
      </w:r>
      <w:r>
        <w:t xml:space="preserve">(6)</w:t>
      </w:r>
      <w:r>
        <w:t xml:space="preserve"> </w:t>
      </w:r>
      <w:r>
        <w:t xml:space="preserve">identified distinct prediabetes phenotypes using clinical risk factors, measures of insulin resistance and beta-cell function, and detailed measures of body fat distribution, showing that body composition further differentiated adiposity-related phenotypes. The present findings broadly align with these studies, as cluster 3 shared features with insulin-resistant phenotypes characterized by higher adiposity, whereas clusters 1 and 2 reflected more insulin-sensitive and normoglycemic phenotypes. Beyond these similarities, cluster 3 showed impaired early but preserved overall glucagon suppression and higher incretin secretion than cluster 1, suggesting a complex response pattern rather than consistent hormonal deficiency. This higher incretin secretion may reflect compensatory or adiposity-related responses, as suggested previously</w:t>
      </w:r>
      <w:r>
        <w:t xml:space="preserve"> </w:t>
      </w:r>
      <w:r>
        <w:t xml:space="preserve">(12, 33)</w:t>
      </w:r>
      <w:r>
        <w:t xml:space="preserve">. Clusters 1 and 2 differed markedly in their incretin and glucagon responses despite similar glycemic status and insulin sensitivity. Cluster 2 had the highest incretin secretion but lowest glucagon suppression across all clusters, whereas cluster 1 showed the opposite pattern. The low glucagon suppression in cluster 2 may reflect an insulin-sensitive phenotype rather than dysregulation, as suggested previously</w:t>
      </w:r>
      <w:r>
        <w:t xml:space="preserve"> </w:t>
      </w:r>
      <w:r>
        <w:t xml:space="preserve">(13, 14)</w:t>
      </w:r>
      <w:r>
        <w:t xml:space="preserve">. Notably, cluster 1 had the lowest GLP-1 secretion despite lower glycemia and higher insulin sensitivity than cluster 3, adding nuance to prior evidence linking lower GLP-1 secretion to prediabetes in the ADDITION-PRO cohort</w:t>
      </w:r>
      <w:r>
        <w:t xml:space="preserve"> </w:t>
      </w:r>
      <w:r>
        <w:t xml:space="preserve">(22)</w:t>
      </w:r>
      <w:r>
        <w:t xml:space="preserve">. Together, these findings suggest that OGTT-derived incretin and glucagon responses add another dimension to established glycemic and adiposity-based phenotypes, revealing heterogeneity that standard metabolic classification does not capture.</w:t>
      </w:r>
    </w:p>
    <w:p>
      <w:pPr>
        <w:pStyle w:val="BodyText"/>
      </w:pPr>
      <w:r>
        <w:t xml:space="preserve">Beyond hormonal responses, the three clusters differed in their associations with body fat distribution. The insulin-resistant profile of cluster 3 was associated with higher VAT, SAT, VAT/SAT ratio, and body fat percentage than cluster 2, consistent with previous findings from the ADDITION-PRO cohort</w:t>
      </w:r>
      <w:r>
        <w:t xml:space="preserve"> </w:t>
      </w:r>
      <w:r>
        <w:t xml:space="preserve">(25)</w:t>
      </w:r>
      <w:r>
        <w:t xml:space="preserve"> </w:t>
      </w:r>
      <w:r>
        <w:t xml:space="preserve">and evidence linking visceral adiposity to impaired fasting glucose, impaired glucose tolerance and newly diagnosed type 2 diabetes</w:t>
      </w:r>
      <w:r>
        <w:t xml:space="preserve"> </w:t>
      </w:r>
      <w:r>
        <w:t xml:space="preserve">(16)</w:t>
      </w:r>
      <w:r>
        <w:t xml:space="preserve">. Compared with cluster 2, cluster 1 had higher SAT and body fat percentage but a lower VAT/SAT ratio, while VAT was similar. This pattern suggests that cluster 1 may represent a subgroup with relatively more subcutaneous than visceral adiposity despite higher overall adiposity. Higher SAT has previously been suggested to be a protective metabolic trait, as it was found to be inversely associated with newly diagnosed type 2 diabetes</w:t>
      </w:r>
      <w:r>
        <w:t xml:space="preserve"> </w:t>
      </w:r>
      <w:r>
        <w:t xml:space="preserve">(16)</w:t>
      </w:r>
      <w:r>
        <w:t xml:space="preserve">. This is also consistent with Stroebel et al.</w:t>
      </w:r>
      <w:r>
        <w:t xml:space="preserve"> </w:t>
      </w:r>
      <w:r>
        <w:t xml:space="preserve">(6)</w:t>
      </w:r>
      <w:r>
        <w:t xml:space="preserve">, who identified a subcutaneous-adipose group with higher SAT, relatively lower VAT and a more favorable diabetes risk profile than phenotypes characterized by higher visceral adiposity.</w:t>
      </w:r>
    </w:p>
    <w:p>
      <w:pPr>
        <w:pStyle w:val="BodyText"/>
      </w:pPr>
      <w:r>
        <w:t xml:space="preserve">Sex composition is important when interpreting differences in fat distribution. Cluster 2 had a higher proportion of women, who would generally be expected to have higher SAT</w:t>
      </w:r>
      <w:r>
        <w:t xml:space="preserve"> </w:t>
      </w:r>
      <w:r>
        <w:t xml:space="preserve">(31)</w:t>
      </w:r>
      <w:r>
        <w:t xml:space="preserve">. Therefore, the higher SAT and lower VAT/SAT ratio in cluster 1, despite a lower proportion of women, suggest that these differences are unlikely to be explained solely by sex composition. Moreover, sex-stratified clustering produced broadly similar phenotypes in both men and women as in the main analysis, supporting the robustness of the primary clustering solution. Women had higher total GLP-1 and GIP but lower glucagon suppression across all clusters, consistent with previous findings in the ADDITION-PRO cohort</w:t>
      </w:r>
      <w:r>
        <w:t xml:space="preserve"> </w:t>
      </w:r>
      <w:r>
        <w:t xml:space="preserve">(22)</w:t>
      </w:r>
      <w:r>
        <w:t xml:space="preserve">. Although sex-by-cluster interaction models suggested some differences in body fat distribution, estimates were non-significant with wide confidence intervals, indicating statistical uncertainty. Because VAT has been shown to have a stronger association with cardiometabolic risk in women</w:t>
      </w:r>
      <w:r>
        <w:t xml:space="preserve"> </w:t>
      </w:r>
      <w:r>
        <w:t xml:space="preserve">(34)</w:t>
      </w:r>
      <w:r>
        <w:t xml:space="preserve">, the metabolic implications of the identified fat distribution differences may differ between sexes.</w:t>
      </w:r>
    </w:p>
    <w:p>
      <w:pPr>
        <w:pStyle w:val="BodyText"/>
      </w:pPr>
      <w:r>
        <w:t xml:space="preserve">The strengths of this study include the relatively large cohort of individuals with NGT, prediabetes and type 2 diabetes, sensitive and specific methods of measuring glucagon, GLP-1 and GIP through the OGTT</w:t>
      </w:r>
      <w:r>
        <w:t xml:space="preserve"> </w:t>
      </w:r>
      <w:r>
        <w:t xml:space="preserve">(10, 21, 23)</w:t>
      </w:r>
      <w:r>
        <w:t xml:space="preserve">, and detailed assessment of fat distribution by ultrasound. However, several limitations should be considered. First, the cross-sectional design precludes causal interpretations between cluster characteristics and fat distribution. Second, fully sex-stratified analyses, in which sex-specific clusters were subsequently related to body fat distribution, were not performed, which may have limited the identification of sex-specific phenotypes. Given known sex differences in fat distribution and incretin responses, future studies with larger samples should consider sex-stratified clustering as the primary approach. Moreover, because male sex contributed to the ADDITION-DK risk score</w:t>
      </w:r>
      <w:r>
        <w:t xml:space="preserve"> </w:t>
      </w:r>
      <w:r>
        <w:t xml:space="preserve">(19)</w:t>
      </w:r>
      <w:r>
        <w:t xml:space="preserve">, women in the cohort may have had a higher burden of other risk factors, potentially affecting comparability between sexes. Third, although the study population is referred to as high-risk individuals, some participants had screen-detected type 2 diabetes at the ADDITION-PRO health assessment. Their inclusion should be considered when generalizing to prediabetes populations, but this also allowed assessment of hormonal responses and fat distribution in individuals with untreated diabetes and thereby across all glycemic states. Fourth, as a hard clustering method, K-means assigns all observations to a cluster regardless of how well observations fit in their assigned cluster. The silhouette width of 0.21 indicated limited cluster separation, suggesting that some individuals may not be well-represented by a single cluster assignment</w:t>
      </w:r>
      <w:r>
        <w:t xml:space="preserve"> </w:t>
      </w:r>
      <w:r>
        <w:t xml:space="preserve">(35)</w:t>
      </w:r>
      <w:r>
        <w:t xml:space="preserve">. Finally, excluded participants tended to have higher BMI, visceral fat and HbA1c, suggesting that the included population may represent a metabolically healthier high-risk subgroup, which may have affected both the generalizability of the identified clusters and their associations with fat distribution.</w:t>
      </w:r>
    </w:p>
    <w:p>
      <w:pPr>
        <w:pStyle w:val="BodyText"/>
      </w:pPr>
      <w:r>
        <w:t xml:space="preserve">Together, these findings suggest that subgroups defined by distinct postload incretin and glucagon responses also differ in their associations with body fat distribution, supporting the hypothesis that endogenous incretin and glucagon secretion are related to different patterns of adiposity. If incretin and glucagon responses capture metabolic heterogeneity beyond glycemic measures, they may contribute to identifying individuals earlier in their glycemic trajectory. This is relevant because early identification may offer an opportunity for more effective prevention</w:t>
      </w:r>
      <w:r>
        <w:t xml:space="preserve"> </w:t>
      </w:r>
      <w:r>
        <w:t xml:space="preserve">(36)</w:t>
      </w:r>
      <w:r>
        <w:t xml:space="preserve">, and regression from prediabetes to normoglycemia has been associated with lower risk of cardiovascular disease and mortality</w:t>
      </w:r>
      <w:r>
        <w:t xml:space="preserve"> </w:t>
      </w:r>
      <w:r>
        <w:t xml:space="preserve">(37)</w:t>
      </w:r>
      <w:r>
        <w:t xml:space="preserve">. Furthermore, frameworks for prediabetes have been proposed that may help inform more targeted prevention strategies</w:t>
      </w:r>
      <w:r>
        <w:t xml:space="preserve"> </w:t>
      </w:r>
      <w:r>
        <w:t xml:space="preserve">(38)</w:t>
      </w:r>
      <w:r>
        <w:t xml:space="preserve">. Endogenous incretin and glucagon secretion may contribute to such strategies, with the aim of differentiating individuals who require minimal clinical attention from those who may benefit from lifestyle or pharmacological treatment, including incretin-based therapies. In this context, future prospective studies should examine whether endogenous incretin and glucagon responses are associated with different glycemic trajectories or cardiovascular outcomes and different responses to prevention strategies.</w:t>
      </w:r>
    </w:p>
    <w:bookmarkEnd w:id="108"/>
    <w:bookmarkStart w:id="109" w:name="acknowledgments-1"/>
    <w:p>
      <w:pPr>
        <w:pStyle w:val="Heading1"/>
      </w:pPr>
      <w:r>
        <w:t xml:space="preserve">10. Acknowledgments</w:t>
      </w:r>
    </w:p>
    <w:p>
      <w:pPr>
        <w:pStyle w:val="FirstParagraph"/>
      </w:pPr>
      <w:r>
        <w:t xml:space="preserve">The author wants to express his appreciation to Daniel R. Witte, Gunnar Toft and Jonas Frey Rosborg Schaarup for their supervision and the rest of the staff at Steno Diabetes Center Aarhus for providing an inspiring and collegial research environment.</w:t>
      </w:r>
    </w:p>
    <w:bookmarkEnd w:id="109"/>
    <w:bookmarkStart w:id="149" w:name="references-1"/>
    <w:p>
      <w:pPr>
        <w:pStyle w:val="Heading1"/>
      </w:pPr>
      <w:r>
        <w:t xml:space="preserve">11. References</w:t>
      </w:r>
    </w:p>
    <w:bookmarkStart w:id="148" w:name="refs"/>
    <w:bookmarkStart w:id="110" w:name="ref-saeedi2019"/>
    <w:p>
      <w:pPr>
        <w:pStyle w:val="Bibliography"/>
      </w:pPr>
      <w:r>
        <w:t xml:space="preserve">1.</w:t>
      </w:r>
      <w:r>
        <w:t xml:space="preserve"> </w:t>
      </w:r>
      <w:r>
        <w:t xml:space="preserve">	</w:t>
      </w:r>
      <w:r>
        <w:t xml:space="preserve">Saeedi P, Petersohn I, Salpea P, et al. Global and regional diabetes prevalence estimates for 2019 and projections for 2030 and 2045: Results from the international diabetes federation diabetes atlas, 9th edition.</w:t>
      </w:r>
      <w:r>
        <w:t xml:space="preserve"> </w:t>
      </w:r>
      <w:r>
        <w:rPr>
          <w:i/>
          <w:iCs/>
        </w:rPr>
        <w:t xml:space="preserve">Diabetes Research and Clinical Practice</w:t>
      </w:r>
      <w:r>
        <w:t xml:space="preserve">. 2019;157:107843. doi:</w:t>
      </w:r>
      <w:hyperlink r:id="rId31">
        <w:r>
          <w:rPr>
            <w:rStyle w:val="Hyperlink"/>
          </w:rPr>
          <w:t xml:space="preserve">https://doi.org/10.1016/j.diabres.2019.107843</w:t>
        </w:r>
      </w:hyperlink>
    </w:p>
    <w:bookmarkEnd w:id="110"/>
    <w:bookmarkStart w:id="111" w:name="ref-defronzo2004"/>
    <w:p>
      <w:pPr>
        <w:pStyle w:val="Bibliography"/>
      </w:pPr>
      <w:r>
        <w:t xml:space="preserve">2.</w:t>
      </w:r>
      <w:r>
        <w:t xml:space="preserve"> </w:t>
      </w:r>
      <w:r>
        <w:t xml:space="preserve">	</w:t>
      </w:r>
      <w:r>
        <w:t xml:space="preserve">DeFronzo RA. Pathogenesis of type 2 diabetes mellitus.</w:t>
      </w:r>
      <w:r>
        <w:t xml:space="preserve"> </w:t>
      </w:r>
      <w:r>
        <w:rPr>
          <w:i/>
          <w:iCs/>
        </w:rPr>
        <w:t xml:space="preserve">Medical Clinics of North America</w:t>
      </w:r>
      <w:r>
        <w:t xml:space="preserve">. 2004;88(4):787-835. doi:</w:t>
      </w:r>
      <w:hyperlink r:id="rId33">
        <w:r>
          <w:rPr>
            <w:rStyle w:val="Hyperlink"/>
          </w:rPr>
          <w:t xml:space="preserve">10.1016/j.mcna.2004.04.013</w:t>
        </w:r>
      </w:hyperlink>
    </w:p>
    <w:bookmarkEnd w:id="111"/>
    <w:bookmarkStart w:id="112" w:name="ref-ahlqvist2018"/>
    <w:p>
      <w:pPr>
        <w:pStyle w:val="Bibliography"/>
      </w:pPr>
      <w:r>
        <w:t xml:space="preserve">3.</w:t>
      </w:r>
      <w:r>
        <w:t xml:space="preserve"> </w:t>
      </w:r>
      <w:r>
        <w:t xml:space="preserve">	</w:t>
      </w:r>
      <w:r>
        <w:t xml:space="preserve">Ahlqvist E, Storm P, Käräjämäki A, et al. Novel subgroups of adult-onset diabetes and their association with outcomes: a data-driven cluster analysis of six variables.</w:t>
      </w:r>
      <w:r>
        <w:t xml:space="preserve"> </w:t>
      </w:r>
      <w:r>
        <w:rPr>
          <w:i/>
          <w:iCs/>
        </w:rPr>
        <w:t xml:space="preserve">Lancet Diabetes Endocrinol</w:t>
      </w:r>
      <w:r>
        <w:t xml:space="preserve">. 2018;6(5):361-369. doi:</w:t>
      </w:r>
      <w:hyperlink r:id="rId35">
        <w:r>
          <w:rPr>
            <w:rStyle w:val="Hyperlink"/>
          </w:rPr>
          <w:t xml:space="preserve">10.1016/s2213-8587(18)30051-2</w:t>
        </w:r>
      </w:hyperlink>
    </w:p>
    <w:bookmarkEnd w:id="112"/>
    <w:bookmarkStart w:id="113" w:name="ref-tobias2023"/>
    <w:p>
      <w:pPr>
        <w:pStyle w:val="Bibliography"/>
      </w:pPr>
      <w:r>
        <w:t xml:space="preserve">4.</w:t>
      </w:r>
      <w:r>
        <w:t xml:space="preserve"> </w:t>
      </w:r>
      <w:r>
        <w:t xml:space="preserve">	</w:t>
      </w:r>
      <w:r>
        <w:t xml:space="preserve">Tobias DK, Merino J, Ahmad A, et al. Second international consensus report on gaps and opportunities for the clinical translation of precision diabetes medicine.</w:t>
      </w:r>
      <w:r>
        <w:t xml:space="preserve"> </w:t>
      </w:r>
      <w:r>
        <w:rPr>
          <w:i/>
          <w:iCs/>
        </w:rPr>
        <w:t xml:space="preserve">Nature Medicine</w:t>
      </w:r>
      <w:r>
        <w:t xml:space="preserve">. 2023;29(10):2438-2457. doi:</w:t>
      </w:r>
      <w:hyperlink r:id="rId37">
        <w:r>
          <w:rPr>
            <w:rStyle w:val="Hyperlink"/>
          </w:rPr>
          <w:t xml:space="preserve">10.1038/s41591-023-02502-5</w:t>
        </w:r>
      </w:hyperlink>
    </w:p>
    <w:bookmarkEnd w:id="113"/>
    <w:bookmarkStart w:id="114" w:name="ref-wagner2021"/>
    <w:p>
      <w:pPr>
        <w:pStyle w:val="Bibliography"/>
      </w:pPr>
      <w:r>
        <w:t xml:space="preserve">5.</w:t>
      </w:r>
      <w:r>
        <w:t xml:space="preserve"> </w:t>
      </w:r>
      <w:r>
        <w:t xml:space="preserve">	</w:t>
      </w:r>
      <w:r>
        <w:t xml:space="preserve">Wagner R, Heni M, Tabák AG, et al. Pathophysiology-based subphenotyping of individuals at elevated risk for type 2 diabetes.</w:t>
      </w:r>
      <w:r>
        <w:t xml:space="preserve"> </w:t>
      </w:r>
      <w:r>
        <w:rPr>
          <w:i/>
          <w:iCs/>
        </w:rPr>
        <w:t xml:space="preserve">Nature Medicine</w:t>
      </w:r>
      <w:r>
        <w:t xml:space="preserve">. 2021;27(1):49-57. doi:</w:t>
      </w:r>
      <w:hyperlink r:id="rId39">
        <w:r>
          <w:rPr>
            <w:rStyle w:val="Hyperlink"/>
          </w:rPr>
          <w:t xml:space="preserve">10.1038/s41591-020-1116-9</w:t>
        </w:r>
      </w:hyperlink>
    </w:p>
    <w:bookmarkEnd w:id="114"/>
    <w:bookmarkStart w:id="115" w:name="ref-stroebel2025"/>
    <w:p>
      <w:pPr>
        <w:pStyle w:val="Bibliography"/>
      </w:pPr>
      <w:r>
        <w:t xml:space="preserve">6.</w:t>
      </w:r>
      <w:r>
        <w:t xml:space="preserve"> </w:t>
      </w:r>
      <w:r>
        <w:t xml:space="preserve">	</w:t>
      </w:r>
      <w:r>
        <w:t xml:space="preserve">Stroebel BM, Gadgil M, Lewis KA, Longoria KD, Zhang L, Flowers E. Body Composition Differentiates Prediabetes Phenotype Clusters in the Diabetes Prevention Program Study.</w:t>
      </w:r>
      <w:r>
        <w:t xml:space="preserve"> </w:t>
      </w:r>
      <w:r>
        <w:rPr>
          <w:i/>
          <w:iCs/>
        </w:rPr>
        <w:t xml:space="preserve">The Journal of Clinical Endocrinology and Metabolism</w:t>
      </w:r>
      <w:r>
        <w:t xml:space="preserve">. 2025;110(11):e3665-e3672. doi:</w:t>
      </w:r>
      <w:hyperlink r:id="rId41">
        <w:r>
          <w:rPr>
            <w:rStyle w:val="Hyperlink"/>
          </w:rPr>
          <w:t xml:space="preserve">10.1210/clinem/dgaf163</w:t>
        </w:r>
      </w:hyperlink>
    </w:p>
    <w:bookmarkEnd w:id="115"/>
    <w:bookmarkStart w:id="116" w:name="ref-holst2019"/>
    <w:p>
      <w:pPr>
        <w:pStyle w:val="Bibliography"/>
      </w:pPr>
      <w:r>
        <w:t xml:space="preserve">7.</w:t>
      </w:r>
      <w:r>
        <w:t xml:space="preserve"> </w:t>
      </w:r>
      <w:r>
        <w:t xml:space="preserve">	</w:t>
      </w:r>
      <w:r>
        <w:t xml:space="preserve">Holst JJ. The incretin system in healthy humans: The role of GIP and GLP-1.</w:t>
      </w:r>
      <w:r>
        <w:t xml:space="preserve"> </w:t>
      </w:r>
      <w:r>
        <w:rPr>
          <w:i/>
          <w:iCs/>
        </w:rPr>
        <w:t xml:space="preserve">Metabolism</w:t>
      </w:r>
      <w:r>
        <w:t xml:space="preserve">. 2019;96:46-55. doi:</w:t>
      </w:r>
      <w:hyperlink r:id="rId43">
        <w:r>
          <w:rPr>
            <w:rStyle w:val="Hyperlink"/>
          </w:rPr>
          <w:t xml:space="preserve">10.1016/j.metabol.2019.04.014</w:t>
        </w:r>
      </w:hyperlink>
    </w:p>
    <w:bookmarkEnd w:id="116"/>
    <w:bookmarkStart w:id="117" w:name="ref-holst2024"/>
    <w:p>
      <w:pPr>
        <w:pStyle w:val="Bibliography"/>
      </w:pPr>
      <w:r>
        <w:t xml:space="preserve">8.</w:t>
      </w:r>
      <w:r>
        <w:t xml:space="preserve"> </w:t>
      </w:r>
      <w:r>
        <w:t xml:space="preserve">	</w:t>
      </w:r>
      <w:r>
        <w:t xml:space="preserve">Holst JJ. GLP-1 physiology in obesity and development of incretin-based drugs for chronic weight management.</w:t>
      </w:r>
      <w:r>
        <w:t xml:space="preserve"> </w:t>
      </w:r>
      <w:r>
        <w:rPr>
          <w:i/>
          <w:iCs/>
        </w:rPr>
        <w:t xml:space="preserve">Nature Metabolism</w:t>
      </w:r>
      <w:r>
        <w:t xml:space="preserve">. 2024;6(10):1866-1885. doi:</w:t>
      </w:r>
      <w:hyperlink r:id="rId45">
        <w:r>
          <w:rPr>
            <w:rStyle w:val="Hyperlink"/>
          </w:rPr>
          <w:t xml:space="preserve">10.1038/s42255-024-01113-9</w:t>
        </w:r>
      </w:hyperlink>
    </w:p>
    <w:bookmarkEnd w:id="117"/>
    <w:bookmarkStart w:id="118" w:name="ref-ahrén2015"/>
    <w:p>
      <w:pPr>
        <w:pStyle w:val="Bibliography"/>
      </w:pPr>
      <w:r>
        <w:t xml:space="preserve">9.</w:t>
      </w:r>
      <w:r>
        <w:t xml:space="preserve"> </w:t>
      </w:r>
      <w:r>
        <w:t xml:space="preserve">	</w:t>
      </w:r>
      <w:r>
        <w:t xml:space="preserve">Ahrén B. Glucagon</w:t>
      </w:r>
      <w:r>
        <w:t xml:space="preserve"> </w:t>
      </w:r>
      <w:r>
        <w:t xml:space="preserve"> </w:t>
      </w:r>
      <w:r>
        <w:t xml:space="preserve">early breakthroughs and recent discoveries.</w:t>
      </w:r>
      <w:r>
        <w:t xml:space="preserve"> </w:t>
      </w:r>
      <w:r>
        <w:rPr>
          <w:i/>
          <w:iCs/>
        </w:rPr>
        <w:t xml:space="preserve">Peptides</w:t>
      </w:r>
      <w:r>
        <w:t xml:space="preserve">. 2015;67:74-81. doi:</w:t>
      </w:r>
      <w:hyperlink r:id="rId47">
        <w:r>
          <w:rPr>
            <w:rStyle w:val="Hyperlink"/>
          </w:rPr>
          <w:t xml:space="preserve">10.1016/j.peptides.2015.03.011</w:t>
        </w:r>
      </w:hyperlink>
    </w:p>
    <w:bookmarkEnd w:id="118"/>
    <w:bookmarkStart w:id="119" w:name="ref-toft-nielsen2001"/>
    <w:p>
      <w:pPr>
        <w:pStyle w:val="Bibliography"/>
      </w:pPr>
      <w:r>
        <w:t xml:space="preserve">10.</w:t>
      </w:r>
      <w:r>
        <w:t xml:space="preserve"> </w:t>
      </w:r>
      <w:r>
        <w:t xml:space="preserve">	</w:t>
      </w:r>
      <w:r>
        <w:t xml:space="preserve">Toft-Nielsen MB, Damholt MB, Madsbad S, et al. Determinants of the impaired secretion of glucagon-like peptide-1 in type 2 diabetic patients.</w:t>
      </w:r>
      <w:r>
        <w:t xml:space="preserve"> </w:t>
      </w:r>
      <w:r>
        <w:rPr>
          <w:i/>
          <w:iCs/>
        </w:rPr>
        <w:t xml:space="preserve">J Clin Endocrinol Metab</w:t>
      </w:r>
      <w:r>
        <w:t xml:space="preserve">. 2001;86(8):3717-3723. doi:</w:t>
      </w:r>
      <w:hyperlink r:id="rId49">
        <w:r>
          <w:rPr>
            <w:rStyle w:val="Hyperlink"/>
          </w:rPr>
          <w:t xml:space="preserve">10.1210/jcem.86.8.7750</w:t>
        </w:r>
      </w:hyperlink>
    </w:p>
    <w:bookmarkEnd w:id="119"/>
    <w:bookmarkStart w:id="120" w:name="ref-vollmer2008"/>
    <w:p>
      <w:pPr>
        <w:pStyle w:val="Bibliography"/>
      </w:pPr>
      <w:r>
        <w:t xml:space="preserve">11.</w:t>
      </w:r>
      <w:r>
        <w:t xml:space="preserve"> </w:t>
      </w:r>
      <w:r>
        <w:t xml:space="preserve">	</w:t>
      </w:r>
      <w:r>
        <w:t xml:space="preserve">Vollmer K, Holst JJ, Baller B, et al. Predictors of incretin concentrations in subjects with normal, impaired, and diabetic glucose tolerance.</w:t>
      </w:r>
      <w:r>
        <w:t xml:space="preserve"> </w:t>
      </w:r>
      <w:r>
        <w:rPr>
          <w:i/>
          <w:iCs/>
        </w:rPr>
        <w:t xml:space="preserve">Diabetes</w:t>
      </w:r>
      <w:r>
        <w:t xml:space="preserve">. 2008;57(3):678-687. doi:</w:t>
      </w:r>
      <w:hyperlink r:id="rId51">
        <w:r>
          <w:rPr>
            <w:rStyle w:val="Hyperlink"/>
          </w:rPr>
          <w:t xml:space="preserve">10.2337/db07-1124</w:t>
        </w:r>
      </w:hyperlink>
    </w:p>
    <w:bookmarkEnd w:id="120"/>
    <w:bookmarkStart w:id="121" w:name="ref-færch2008"/>
    <w:p>
      <w:pPr>
        <w:pStyle w:val="Bibliography"/>
      </w:pPr>
      <w:r>
        <w:t xml:space="preserve">12.</w:t>
      </w:r>
      <w:r>
        <w:t xml:space="preserve"> </w:t>
      </w:r>
      <w:r>
        <w:t xml:space="preserve">	</w:t>
      </w:r>
      <w:r>
        <w:t xml:space="preserve">Færch K, Vaag A, Holst JJ, Glümer C, Pedersen O, Borch-Johnsen K. Impaired fasting glycaemia vs impaired glucose tolerance: Similar impairment of pancreatic alpha and beta cell function but differential roles of incretin hormones and insulin action.</w:t>
      </w:r>
      <w:r>
        <w:t xml:space="preserve"> </w:t>
      </w:r>
      <w:r>
        <w:rPr>
          <w:i/>
          <w:iCs/>
        </w:rPr>
        <w:t xml:space="preserve">Diabetologia</w:t>
      </w:r>
      <w:r>
        <w:t xml:space="preserve">. 2008;51(5):853-861. doi:</w:t>
      </w:r>
      <w:hyperlink r:id="rId53">
        <w:r>
          <w:rPr>
            <w:rStyle w:val="Hyperlink"/>
          </w:rPr>
          <w:t xml:space="preserve">10.1007/s00125-008-0951-x</w:t>
        </w:r>
      </w:hyperlink>
    </w:p>
    <w:bookmarkEnd w:id="121"/>
    <w:bookmarkStart w:id="122" w:name="ref-færch2016"/>
    <w:p>
      <w:pPr>
        <w:pStyle w:val="Bibliography"/>
      </w:pPr>
      <w:r>
        <w:t xml:space="preserve">13.</w:t>
      </w:r>
      <w:r>
        <w:t xml:space="preserve"> </w:t>
      </w:r>
      <w:r>
        <w:t xml:space="preserve">	</w:t>
      </w:r>
      <w:r>
        <w:t xml:space="preserve">Færch K, Vistisen D, Pacini G, et al. Insulin Resistance Is Accompanied by Increased Fasting Glucagon and Delayed Glucagon Suppression in Individuals With Normal and Impaired Glucose Regulation.</w:t>
      </w:r>
      <w:r>
        <w:t xml:space="preserve"> </w:t>
      </w:r>
      <w:r>
        <w:rPr>
          <w:i/>
          <w:iCs/>
        </w:rPr>
        <w:t xml:space="preserve">Diabetes</w:t>
      </w:r>
      <w:r>
        <w:t xml:space="preserve">. 2016;65(11):3473-3481. doi:</w:t>
      </w:r>
      <w:hyperlink r:id="rId55">
        <w:r>
          <w:rPr>
            <w:rStyle w:val="Hyperlink"/>
          </w:rPr>
          <w:t xml:space="preserve">10.2337/db16-0240</w:t>
        </w:r>
      </w:hyperlink>
    </w:p>
    <w:bookmarkEnd w:id="122"/>
    <w:bookmarkStart w:id="123" w:name="ref-wagner2017"/>
    <w:p>
      <w:pPr>
        <w:pStyle w:val="Bibliography"/>
      </w:pPr>
      <w:r>
        <w:t xml:space="preserve">14.</w:t>
      </w:r>
      <w:r>
        <w:t xml:space="preserve"> </w:t>
      </w:r>
      <w:r>
        <w:t xml:space="preserve">	</w:t>
      </w:r>
      <w:r>
        <w:t xml:space="preserve">Wagner R, Hakaste LH, Ahlqvist E, et al. Nonsuppressed Glucagon After Glucose Challenge as a Potential Predictor for Glucose Tolerance.</w:t>
      </w:r>
      <w:r>
        <w:t xml:space="preserve"> </w:t>
      </w:r>
      <w:r>
        <w:rPr>
          <w:i/>
          <w:iCs/>
        </w:rPr>
        <w:t xml:space="preserve">Diabetes</w:t>
      </w:r>
      <w:r>
        <w:t xml:space="preserve">. 2017;66(5):1373-1379. doi:</w:t>
      </w:r>
      <w:hyperlink r:id="rId57">
        <w:r>
          <w:rPr>
            <w:rStyle w:val="Hyperlink"/>
          </w:rPr>
          <w:t xml:space="preserve">10.2337/db16-0354</w:t>
        </w:r>
      </w:hyperlink>
    </w:p>
    <w:bookmarkEnd w:id="123"/>
    <w:bookmarkStart w:id="124" w:name="ref-kahn2001a"/>
    <w:p>
      <w:pPr>
        <w:pStyle w:val="Bibliography"/>
      </w:pPr>
      <w:r>
        <w:t xml:space="preserve">15.</w:t>
      </w:r>
      <w:r>
        <w:t xml:space="preserve"> </w:t>
      </w:r>
      <w:r>
        <w:t xml:space="preserve">	</w:t>
      </w:r>
      <w:r>
        <w:t xml:space="preserve">Kahn SE, Prigeon RL, Schwartz RS, et al. Obesity, body fat distribution, insulin sensitivity and islet β-cell function as explanations for metabolic diversity.</w:t>
      </w:r>
      <w:r>
        <w:t xml:space="preserve"> </w:t>
      </w:r>
      <w:r>
        <w:rPr>
          <w:i/>
          <w:iCs/>
        </w:rPr>
        <w:t xml:space="preserve">The Journal of Nutrition</w:t>
      </w:r>
      <w:r>
        <w:t xml:space="preserve">. 2001;131(2):354S-360S. doi:</w:t>
      </w:r>
      <w:hyperlink r:id="rId59">
        <w:r>
          <w:rPr>
            <w:rStyle w:val="Hyperlink"/>
          </w:rPr>
          <w:t xml:space="preserve">10.1093/jn/131.2.354S</w:t>
        </w:r>
      </w:hyperlink>
    </w:p>
    <w:bookmarkEnd w:id="124"/>
    <w:bookmarkStart w:id="125" w:name="ref-borel2015"/>
    <w:p>
      <w:pPr>
        <w:pStyle w:val="Bibliography"/>
      </w:pPr>
      <w:r>
        <w:t xml:space="preserve">16.</w:t>
      </w:r>
      <w:r>
        <w:t xml:space="preserve"> </w:t>
      </w:r>
      <w:r>
        <w:t xml:space="preserve">	</w:t>
      </w:r>
      <w:r>
        <w:t xml:space="preserve">Borel AL, Nazare JA, Smith J, et al. Visceral, subcutaneous abdominal adiposity and liver fat content distribution in normal glucose tolerance, impaired fasting glucose and/or impaired glucose tolerance.</w:t>
      </w:r>
      <w:r>
        <w:t xml:space="preserve"> </w:t>
      </w:r>
      <w:r>
        <w:rPr>
          <w:i/>
          <w:iCs/>
        </w:rPr>
        <w:t xml:space="preserve">International Journal of Obesity</w:t>
      </w:r>
      <w:r>
        <w:t xml:space="preserve">. 2015;39(3):495-501. doi:</w:t>
      </w:r>
      <w:hyperlink r:id="rId61">
        <w:r>
          <w:rPr>
            <w:rStyle w:val="Hyperlink"/>
          </w:rPr>
          <w:t xml:space="preserve">10.1038/ijo.2014.163</w:t>
        </w:r>
      </w:hyperlink>
    </w:p>
    <w:bookmarkEnd w:id="125"/>
    <w:bookmarkStart w:id="126" w:name="ref-johansen2012"/>
    <w:p>
      <w:pPr>
        <w:pStyle w:val="Bibliography"/>
      </w:pPr>
      <w:r>
        <w:t xml:space="preserve">17.</w:t>
      </w:r>
      <w:r>
        <w:t xml:space="preserve"> </w:t>
      </w:r>
      <w:r>
        <w:t xml:space="preserve">	</w:t>
      </w:r>
      <w:r>
        <w:t xml:space="preserve">Johansen NB, Hansen ALS, Jensen TM, et al. Protocol for ADDITION-PRO: A longitudinal cohort study of the cardiovascular experience of individuals at high risk for diabetes recruited from danish primary care.</w:t>
      </w:r>
      <w:r>
        <w:t xml:space="preserve"> </w:t>
      </w:r>
      <w:r>
        <w:rPr>
          <w:i/>
          <w:iCs/>
        </w:rPr>
        <w:t xml:space="preserve">BMC Public Health</w:t>
      </w:r>
      <w:r>
        <w:t xml:space="preserve">. 2012;12(1):1078. doi:</w:t>
      </w:r>
      <w:hyperlink r:id="rId63">
        <w:r>
          <w:rPr>
            <w:rStyle w:val="Hyperlink"/>
          </w:rPr>
          <w:t xml:space="preserve">10.1186/1471-2458-12-1078</w:t>
        </w:r>
      </w:hyperlink>
    </w:p>
    <w:bookmarkEnd w:id="126"/>
    <w:bookmarkStart w:id="127" w:name="ref-lauritzen2000"/>
    <w:p>
      <w:pPr>
        <w:pStyle w:val="Bibliography"/>
      </w:pPr>
      <w:r>
        <w:t xml:space="preserve">18.</w:t>
      </w:r>
      <w:r>
        <w:t xml:space="preserve"> </w:t>
      </w:r>
      <w:r>
        <w:t xml:space="preserve">	</w:t>
      </w:r>
      <w:r>
        <w:t xml:space="preserve">Lauritzen T, Griffin S, Borch-Johnsen K, Wareham NJ, Wolffenbuttel BH, Rutten G. The ADDITION study: proposed trial of the cost-effectiveness of an intensive multifactorial intervention on morbidity and mortality among people with Type 2 diabetes detected by screening.</w:t>
      </w:r>
      <w:r>
        <w:t xml:space="preserve"> </w:t>
      </w:r>
      <w:r>
        <w:rPr>
          <w:i/>
          <w:iCs/>
        </w:rPr>
        <w:t xml:space="preserve">Int J Obes Relat Metab Disord</w:t>
      </w:r>
      <w:r>
        <w:t xml:space="preserve">. 2000;24 Suppl 3:S6-11. doi:</w:t>
      </w:r>
      <w:hyperlink r:id="rId65">
        <w:r>
          <w:rPr>
            <w:rStyle w:val="Hyperlink"/>
          </w:rPr>
          <w:t xml:space="preserve">10.1038/sj.ijo.0801420</w:t>
        </w:r>
      </w:hyperlink>
    </w:p>
    <w:bookmarkEnd w:id="127"/>
    <w:bookmarkStart w:id="128" w:name="ref-glümer2004"/>
    <w:p>
      <w:pPr>
        <w:pStyle w:val="Bibliography"/>
      </w:pPr>
      <w:r>
        <w:t xml:space="preserve">19.</w:t>
      </w:r>
      <w:r>
        <w:t xml:space="preserve"> </w:t>
      </w:r>
      <w:r>
        <w:t xml:space="preserve">	</w:t>
      </w:r>
      <w:r>
        <w:t xml:space="preserve">Glümer C, Carstensen B, Sandbaek A, Lauritzen T, Jørgensen T, Borch-Johnsen K. A Danish diabetes risk score for targeted screening: the Inter99 study.</w:t>
      </w:r>
      <w:r>
        <w:t xml:space="preserve"> </w:t>
      </w:r>
      <w:r>
        <w:rPr>
          <w:i/>
          <w:iCs/>
        </w:rPr>
        <w:t xml:space="preserve">Diabetes Care</w:t>
      </w:r>
      <w:r>
        <w:t xml:space="preserve">. 2004;27(3):727-733. doi:</w:t>
      </w:r>
      <w:hyperlink r:id="rId67">
        <w:r>
          <w:rPr>
            <w:rStyle w:val="Hyperlink"/>
          </w:rPr>
          <w:t xml:space="preserve">10.2337/diacare.27.3.727</w:t>
        </w:r>
      </w:hyperlink>
    </w:p>
    <w:bookmarkEnd w:id="128"/>
    <w:bookmarkStart w:id="129" w:name="ref-worldhealthorganization2006"/>
    <w:p>
      <w:pPr>
        <w:pStyle w:val="Bibliography"/>
      </w:pPr>
      <w:r>
        <w:t xml:space="preserve">20.</w:t>
      </w:r>
      <w:r>
        <w:t xml:space="preserve"> </w:t>
      </w:r>
      <w:r>
        <w:t xml:space="preserve">	</w:t>
      </w:r>
      <w:r>
        <w:t xml:space="preserve">World Health Organization.</w:t>
      </w:r>
      <w:r>
        <w:t xml:space="preserve"> </w:t>
      </w:r>
      <w:r>
        <w:rPr>
          <w:i/>
          <w:iCs/>
        </w:rPr>
        <w:t xml:space="preserve">Definition and Diagnosis of Diabetes Mellitus and Intermediate Hyperglycaemia</w:t>
      </w:r>
      <w:r>
        <w:t xml:space="preserve">. 2006.</w:t>
      </w:r>
    </w:p>
    <w:bookmarkEnd w:id="129"/>
    <w:bookmarkStart w:id="130" w:name="ref-orskov1994"/>
    <w:p>
      <w:pPr>
        <w:pStyle w:val="Bibliography"/>
      </w:pPr>
      <w:r>
        <w:t xml:space="preserve">21.</w:t>
      </w:r>
      <w:r>
        <w:t xml:space="preserve"> </w:t>
      </w:r>
      <w:r>
        <w:t xml:space="preserve">	</w:t>
      </w:r>
      <w:r>
        <w:t xml:space="preserve">Orskov C, Rabenhøj L, Wettergren A, Kofod H, Holst JJ. Tissue and plasma concentrations of amidated and glycine-extended glucagon-like peptide I in humans.</w:t>
      </w:r>
      <w:r>
        <w:t xml:space="preserve"> </w:t>
      </w:r>
      <w:r>
        <w:rPr>
          <w:i/>
          <w:iCs/>
        </w:rPr>
        <w:t xml:space="preserve">Diabetes</w:t>
      </w:r>
      <w:r>
        <w:t xml:space="preserve">. 1994;43(4):535-539. doi:</w:t>
      </w:r>
      <w:hyperlink r:id="rId70">
        <w:r>
          <w:rPr>
            <w:rStyle w:val="Hyperlink"/>
          </w:rPr>
          <w:t xml:space="preserve">10.2337/diab.43.4.535</w:t>
        </w:r>
      </w:hyperlink>
    </w:p>
    <w:bookmarkEnd w:id="130"/>
    <w:bookmarkStart w:id="131" w:name="ref-færch2015"/>
    <w:p>
      <w:pPr>
        <w:pStyle w:val="Bibliography"/>
      </w:pPr>
      <w:r>
        <w:t xml:space="preserve">22.</w:t>
      </w:r>
      <w:r>
        <w:t xml:space="preserve"> </w:t>
      </w:r>
      <w:r>
        <w:t xml:space="preserve">	</w:t>
      </w:r>
      <w:r>
        <w:t xml:space="preserve">Færch K, Torekov SS, Vistisen D, et al. GLP-1 Response to Oral Glucose Is Reduced in Prediabetes, Screen-Detected Type 2 Diabetes, and Obesity and Influenced by Sex: The ADDITION-PRO Study.</w:t>
      </w:r>
      <w:r>
        <w:t xml:space="preserve"> </w:t>
      </w:r>
      <w:r>
        <w:rPr>
          <w:i/>
          <w:iCs/>
        </w:rPr>
        <w:t xml:space="preserve">Diabetes</w:t>
      </w:r>
      <w:r>
        <w:t xml:space="preserve">. 2015;64(7):2513-2525. doi:</w:t>
      </w:r>
      <w:hyperlink r:id="rId72">
        <w:r>
          <w:rPr>
            <w:rStyle w:val="Hyperlink"/>
          </w:rPr>
          <w:t xml:space="preserve">10.2337/db14-1751</w:t>
        </w:r>
      </w:hyperlink>
    </w:p>
    <w:bookmarkEnd w:id="131"/>
    <w:bookmarkStart w:id="132" w:name="ref-holst1983"/>
    <w:p>
      <w:pPr>
        <w:pStyle w:val="Bibliography"/>
      </w:pPr>
      <w:r>
        <w:t xml:space="preserve">23.</w:t>
      </w:r>
      <w:r>
        <w:t xml:space="preserve"> </w:t>
      </w:r>
      <w:r>
        <w:t xml:space="preserve">	</w:t>
      </w:r>
      <w:r>
        <w:t xml:space="preserve">Holst JJ. Molecular heterogeneity of glucagon in normal subjects and in patients with glucagon-producing tumours.</w:t>
      </w:r>
      <w:r>
        <w:t xml:space="preserve"> </w:t>
      </w:r>
      <w:r>
        <w:rPr>
          <w:i/>
          <w:iCs/>
        </w:rPr>
        <w:t xml:space="preserve">Diabetologia</w:t>
      </w:r>
      <w:r>
        <w:t xml:space="preserve">. 1983;24(5):359-365.</w:t>
      </w:r>
    </w:p>
    <w:bookmarkEnd w:id="132"/>
    <w:bookmarkStart w:id="133" w:name="ref-stolk2001"/>
    <w:p>
      <w:pPr>
        <w:pStyle w:val="Bibliography"/>
      </w:pPr>
      <w:r>
        <w:t xml:space="preserve">24.</w:t>
      </w:r>
      <w:r>
        <w:t xml:space="preserve"> </w:t>
      </w:r>
      <w:r>
        <w:t xml:space="preserve">	</w:t>
      </w:r>
      <w:r>
        <w:t xml:space="preserve">Stolk RP, Wink O, Zelissen PMJ, Meijer R, Gils APG van, Grobbee DE. Validity and reproducibility of ultrasonography for the measurement of intra-abdominal adipose tissue.</w:t>
      </w:r>
      <w:r>
        <w:t xml:space="preserve"> </w:t>
      </w:r>
      <w:r>
        <w:rPr>
          <w:i/>
          <w:iCs/>
        </w:rPr>
        <w:t xml:space="preserve">International Journal of Obesity</w:t>
      </w:r>
      <w:r>
        <w:t xml:space="preserve">. 2001;25(9):1346-1351. doi:</w:t>
      </w:r>
      <w:hyperlink r:id="rId75">
        <w:r>
          <w:rPr>
            <w:rStyle w:val="Hyperlink"/>
          </w:rPr>
          <w:t xml:space="preserve">10.1038/sj.ijo.0801734</w:t>
        </w:r>
      </w:hyperlink>
    </w:p>
    <w:bookmarkEnd w:id="133"/>
    <w:bookmarkStart w:id="134" w:name="ref-philipsen2015"/>
    <w:p>
      <w:pPr>
        <w:pStyle w:val="Bibliography"/>
      </w:pPr>
      <w:r>
        <w:t xml:space="preserve">25.</w:t>
      </w:r>
      <w:r>
        <w:t xml:space="preserve"> </w:t>
      </w:r>
      <w:r>
        <w:t xml:space="preserve">	</w:t>
      </w:r>
      <w:r>
        <w:t xml:space="preserve">Philipsen A, Jørgensen ME, Vistisen D, et al. Associations between ultrasound measures of abdominal fat distribution and indices of glucose metabolism in a population at high risk of type 2 diabetes: The ADDITION-PRO study.</w:t>
      </w:r>
      <w:r>
        <w:t xml:space="preserve"> </w:t>
      </w:r>
      <w:r>
        <w:rPr>
          <w:i/>
          <w:iCs/>
        </w:rPr>
        <w:t xml:space="preserve">PLoS One</w:t>
      </w:r>
      <w:r>
        <w:t xml:space="preserve">. 2015;10(4):e0123062. doi:</w:t>
      </w:r>
      <w:hyperlink r:id="rId77">
        <w:r>
          <w:rPr>
            <w:rStyle w:val="Hyperlink"/>
          </w:rPr>
          <w:t xml:space="preserve">10.1371/journal.pone.0123062</w:t>
        </w:r>
      </w:hyperlink>
    </w:p>
    <w:bookmarkEnd w:id="134"/>
    <w:bookmarkStart w:id="135" w:name="ref-brage2005"/>
    <w:p>
      <w:pPr>
        <w:pStyle w:val="Bibliography"/>
      </w:pPr>
      <w:r>
        <w:t xml:space="preserve">26.</w:t>
      </w:r>
      <w:r>
        <w:t xml:space="preserve"> </w:t>
      </w:r>
      <w:r>
        <w:t xml:space="preserve">	</w:t>
      </w:r>
      <w:r>
        <w:t xml:space="preserve">Brage S, Brage N, Franks PW, Ekelund U, Wareham NJ. Reliability and validity of the combined heart rate and movement sensor Actiheart.</w:t>
      </w:r>
      <w:r>
        <w:t xml:space="preserve"> </w:t>
      </w:r>
      <w:r>
        <w:rPr>
          <w:i/>
          <w:iCs/>
        </w:rPr>
        <w:t xml:space="preserve">European Journal of Clinical Nutrition</w:t>
      </w:r>
      <w:r>
        <w:t xml:space="preserve">. 2005;59(4):561-570. doi:</w:t>
      </w:r>
      <w:hyperlink r:id="rId79">
        <w:r>
          <w:rPr>
            <w:rStyle w:val="Hyperlink"/>
          </w:rPr>
          <w:t xml:space="preserve">10.1038/sj.ejcn.1602118</w:t>
        </w:r>
      </w:hyperlink>
    </w:p>
    <w:bookmarkEnd w:id="135"/>
    <w:bookmarkStart w:id="136" w:name="ref-tai1994b"/>
    <w:p>
      <w:pPr>
        <w:pStyle w:val="Bibliography"/>
      </w:pPr>
      <w:r>
        <w:t xml:space="preserve">27.</w:t>
      </w:r>
      <w:r>
        <w:t xml:space="preserve"> </w:t>
      </w:r>
      <w:r>
        <w:t xml:space="preserve">	</w:t>
      </w:r>
      <w:r>
        <w:t xml:space="preserve">Tai MM. A mathematical model for the determination of total area under glucose tolerance and other metabolic curves.</w:t>
      </w:r>
      <w:r>
        <w:t xml:space="preserve"> </w:t>
      </w:r>
      <w:r>
        <w:rPr>
          <w:i/>
          <w:iCs/>
        </w:rPr>
        <w:t xml:space="preserve">Diabetes Care</w:t>
      </w:r>
      <w:r>
        <w:t xml:space="preserve">. 1994;17(2):152-154. doi:</w:t>
      </w:r>
      <w:hyperlink r:id="rId81">
        <w:r>
          <w:rPr>
            <w:rStyle w:val="Hyperlink"/>
          </w:rPr>
          <w:t xml:space="preserve">10.2337/diacare.17.2.152</w:t>
        </w:r>
      </w:hyperlink>
    </w:p>
    <w:bookmarkEnd w:id="136"/>
    <w:bookmarkStart w:id="137" w:name="ref-gutt2000"/>
    <w:p>
      <w:pPr>
        <w:pStyle w:val="Bibliography"/>
      </w:pPr>
      <w:r>
        <w:t xml:space="preserve">28.</w:t>
      </w:r>
      <w:r>
        <w:t xml:space="preserve"> </w:t>
      </w:r>
      <w:r>
        <w:t xml:space="preserve">	</w:t>
      </w:r>
      <w:r>
        <w:t xml:space="preserve">Gutt M, Davis CL, Spitzer SB, et al. Validation of the insulin sensitivity index (ISI(0,120)): comparison with other measures.</w:t>
      </w:r>
      <w:r>
        <w:t xml:space="preserve"> </w:t>
      </w:r>
      <w:r>
        <w:rPr>
          <w:i/>
          <w:iCs/>
        </w:rPr>
        <w:t xml:space="preserve">Diabetes Research and Clinical Practice</w:t>
      </w:r>
      <w:r>
        <w:t xml:space="preserve">. 2000;47(3):177-184. doi:</w:t>
      </w:r>
      <w:hyperlink r:id="rId83">
        <w:r>
          <w:rPr>
            <w:rStyle w:val="Hyperlink"/>
          </w:rPr>
          <w:t xml:space="preserve">10.1016/s0168-8227(99)00116-3</w:t>
        </w:r>
      </w:hyperlink>
    </w:p>
    <w:bookmarkEnd w:id="137"/>
    <w:bookmarkStart w:id="138" w:name="ref-james2021"/>
    <w:p>
      <w:pPr>
        <w:pStyle w:val="Bibliography"/>
      </w:pPr>
      <w:r>
        <w:t xml:space="preserve">29.</w:t>
      </w:r>
      <w:r>
        <w:t xml:space="preserve"> </w:t>
      </w:r>
      <w:r>
        <w:t xml:space="preserve">	</w:t>
      </w:r>
      <w:r>
        <w:t xml:space="preserve">James G, Witten D, Hastie T, Tibshirani R.</w:t>
      </w:r>
      <w:r>
        <w:t xml:space="preserve"> </w:t>
      </w:r>
      <w:r>
        <w:rPr>
          <w:i/>
          <w:iCs/>
        </w:rPr>
        <w:t xml:space="preserve">An Introduction to Statistical Learning: With Applications in r</w:t>
      </w:r>
      <w:r>
        <w:t xml:space="preserve">. Springer US; 2021. doi:</w:t>
      </w:r>
      <w:hyperlink r:id="rId85">
        <w:r>
          <w:rPr>
            <w:rStyle w:val="Hyperlink"/>
          </w:rPr>
          <w:t xml:space="preserve">10.1007/978-1-0716-1418-1</w:t>
        </w:r>
      </w:hyperlink>
    </w:p>
    <w:bookmarkEnd w:id="138"/>
    <w:bookmarkStart w:id="139" w:name="ref-charrad2014"/>
    <w:p>
      <w:pPr>
        <w:pStyle w:val="Bibliography"/>
      </w:pPr>
      <w:r>
        <w:t xml:space="preserve">30.</w:t>
      </w:r>
      <w:r>
        <w:t xml:space="preserve"> </w:t>
      </w:r>
      <w:r>
        <w:t xml:space="preserve">	</w:t>
      </w:r>
      <w:r>
        <w:t xml:space="preserve">Charrad M, Ghazzali N, Boiteau V, Niknafs A. NbClust: An r package for determining the relevant number of clusters in a data set.</w:t>
      </w:r>
      <w:r>
        <w:t xml:space="preserve"> </w:t>
      </w:r>
      <w:r>
        <w:rPr>
          <w:i/>
          <w:iCs/>
        </w:rPr>
        <w:t xml:space="preserve">Journal of Statistical Software</w:t>
      </w:r>
      <w:r>
        <w:t xml:space="preserve">. 2014;61:1-36. doi:</w:t>
      </w:r>
      <w:hyperlink r:id="rId87">
        <w:r>
          <w:rPr>
            <w:rStyle w:val="Hyperlink"/>
          </w:rPr>
          <w:t xml:space="preserve">10.18637/jss.v061.i06</w:t>
        </w:r>
      </w:hyperlink>
    </w:p>
    <w:bookmarkEnd w:id="139"/>
    <w:bookmarkStart w:id="140" w:name="ref-bredella2017"/>
    <w:p>
      <w:pPr>
        <w:pStyle w:val="Bibliography"/>
      </w:pPr>
      <w:r>
        <w:t xml:space="preserve">31.</w:t>
      </w:r>
      <w:r>
        <w:t xml:space="preserve"> </w:t>
      </w:r>
      <w:r>
        <w:t xml:space="preserve">	</w:t>
      </w:r>
      <w:r>
        <w:t xml:space="preserve">Bredella MA. Sex differences in body composition. In, ed.Mauvais-Jarvis F. Springer International Publishing; 2017:9-27. doi:</w:t>
      </w:r>
      <w:hyperlink r:id="rId89">
        <w:r>
          <w:rPr>
            <w:rStyle w:val="Hyperlink"/>
          </w:rPr>
          <w:t xml:space="preserve">10.1007/978-3-319-70178-3_2</w:t>
        </w:r>
      </w:hyperlink>
    </w:p>
    <w:bookmarkEnd w:id="140"/>
    <w:bookmarkStart w:id="141" w:name="ref-rcoreteam"/>
    <w:p>
      <w:pPr>
        <w:pStyle w:val="Bibliography"/>
      </w:pPr>
      <w:r>
        <w:t xml:space="preserve">32.</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w:t>
      </w:r>
    </w:p>
    <w:bookmarkEnd w:id="141"/>
    <w:bookmarkStart w:id="142" w:name="ref-vilsbøll2003"/>
    <w:p>
      <w:pPr>
        <w:pStyle w:val="Bibliography"/>
      </w:pPr>
      <w:r>
        <w:t xml:space="preserve">33.</w:t>
      </w:r>
      <w:r>
        <w:t xml:space="preserve"> </w:t>
      </w:r>
      <w:r>
        <w:t xml:space="preserve">	</w:t>
      </w:r>
      <w:r>
        <w:t xml:space="preserve">Vilsbøll T, Krarup T, Sonne J, et al. Incretin secretion in relation to meal size and body weight in healthy subjects and people with type 1 and type 2 diabetes mellitus.</w:t>
      </w:r>
      <w:r>
        <w:t xml:space="preserve"> </w:t>
      </w:r>
      <w:r>
        <w:rPr>
          <w:i/>
          <w:iCs/>
        </w:rPr>
        <w:t xml:space="preserve">The Journal of Clinical Endocrinology &amp; Metabolism</w:t>
      </w:r>
      <w:r>
        <w:t xml:space="preserve">. 2003;88(6):2706-2713. doi:</w:t>
      </w:r>
      <w:hyperlink r:id="rId92">
        <w:r>
          <w:rPr>
            <w:rStyle w:val="Hyperlink"/>
          </w:rPr>
          <w:t xml:space="preserve">10.1210/jc.2002-021873</w:t>
        </w:r>
      </w:hyperlink>
    </w:p>
    <w:bookmarkEnd w:id="142"/>
    <w:bookmarkStart w:id="143" w:name="ref-schorr2018"/>
    <w:p>
      <w:pPr>
        <w:pStyle w:val="Bibliography"/>
      </w:pPr>
      <w:r>
        <w:t xml:space="preserve">34.</w:t>
      </w:r>
      <w:r>
        <w:t xml:space="preserve"> </w:t>
      </w:r>
      <w:r>
        <w:t xml:space="preserve">	</w:t>
      </w:r>
      <w:r>
        <w:t xml:space="preserve">Schorr M, Dichtel LE, Gerweck AV, et al. Sex differences in body composition and association with cardiometabolic risk.</w:t>
      </w:r>
      <w:r>
        <w:t xml:space="preserve"> </w:t>
      </w:r>
      <w:r>
        <w:rPr>
          <w:i/>
          <w:iCs/>
        </w:rPr>
        <w:t xml:space="preserve">Biology of Sex Differences</w:t>
      </w:r>
      <w:r>
        <w:t xml:space="preserve">. 2018;9:28. doi:</w:t>
      </w:r>
      <w:hyperlink r:id="rId94">
        <w:r>
          <w:rPr>
            <w:rStyle w:val="Hyperlink"/>
          </w:rPr>
          <w:t xml:space="preserve">10.1186/s13293-018-0189-3</w:t>
        </w:r>
      </w:hyperlink>
    </w:p>
    <w:bookmarkEnd w:id="143"/>
    <w:bookmarkStart w:id="144" w:name="ref-mori2025"/>
    <w:p>
      <w:pPr>
        <w:pStyle w:val="Bibliography"/>
      </w:pPr>
      <w:r>
        <w:t xml:space="preserve">35.</w:t>
      </w:r>
      <w:r>
        <w:t xml:space="preserve"> </w:t>
      </w:r>
      <w:r>
        <w:t xml:space="preserve">	</w:t>
      </w:r>
      <w:r>
        <w:t xml:space="preserve">Mori T, Zaharia OP, Straßburger K, et al. Recognising, quantifying and accounting for classification uncertainty in type 2 diabetes subtypes.</w:t>
      </w:r>
      <w:r>
        <w:t xml:space="preserve"> </w:t>
      </w:r>
      <w:r>
        <w:rPr>
          <w:i/>
          <w:iCs/>
        </w:rPr>
        <w:t xml:space="preserve">Diabetologia</w:t>
      </w:r>
      <w:r>
        <w:t xml:space="preserve">. 2025;68(10):2139-2150. doi:</w:t>
      </w:r>
      <w:hyperlink r:id="rId96">
        <w:r>
          <w:rPr>
            <w:rStyle w:val="Hyperlink"/>
          </w:rPr>
          <w:t xml:space="preserve">10.1007/s00125-025-06486-4</w:t>
        </w:r>
      </w:hyperlink>
    </w:p>
    <w:bookmarkEnd w:id="144"/>
    <w:bookmarkStart w:id="145" w:name="ref-tabák2009"/>
    <w:p>
      <w:pPr>
        <w:pStyle w:val="Bibliography"/>
      </w:pPr>
      <w:r>
        <w:t xml:space="preserve">36.</w:t>
      </w:r>
      <w:r>
        <w:t xml:space="preserve"> </w:t>
      </w:r>
      <w:r>
        <w:t xml:space="preserve">	</w:t>
      </w:r>
      <w:r>
        <w:t xml:space="preserve">Tabák A, Jokela M, Akbaraly T, Brunner E, Kivimäki M, Witte D. Trajectories of glycemia, insulin sensitivity and insulin secretion preceding the diagnosis of type 2 diabetes: The whitehall II study.</w:t>
      </w:r>
      <w:r>
        <w:t xml:space="preserve"> </w:t>
      </w:r>
      <w:r>
        <w:rPr>
          <w:i/>
          <w:iCs/>
        </w:rPr>
        <w:t xml:space="preserve">Lancet</w:t>
      </w:r>
      <w:r>
        <w:t xml:space="preserve">. 2009;373(9682):2215-2221. doi:</w:t>
      </w:r>
      <w:hyperlink r:id="rId98">
        <w:r>
          <w:rPr>
            <w:rStyle w:val="Hyperlink"/>
          </w:rPr>
          <w:t xml:space="preserve">10.1016/S0140-6736(09)60619-X</w:t>
        </w:r>
      </w:hyperlink>
    </w:p>
    <w:bookmarkEnd w:id="145"/>
    <w:bookmarkStart w:id="146" w:name="ref-vistisen2019"/>
    <w:p>
      <w:pPr>
        <w:pStyle w:val="Bibliography"/>
      </w:pPr>
      <w:r>
        <w:t xml:space="preserve">37.</w:t>
      </w:r>
      <w:r>
        <w:t xml:space="preserve"> </w:t>
      </w:r>
      <w:r>
        <w:t xml:space="preserve">	</w:t>
      </w:r>
      <w:r>
        <w:t xml:space="preserve">Vistisen D, Kivimäki M, Perreault L, et al. Reversion from prediabetes to normoglycaemia and risk of cardiovascular disease and mortality: The whitehall II cohort study.</w:t>
      </w:r>
      <w:r>
        <w:t xml:space="preserve"> </w:t>
      </w:r>
      <w:r>
        <w:rPr>
          <w:i/>
          <w:iCs/>
        </w:rPr>
        <w:t xml:space="preserve">Diabetologia</w:t>
      </w:r>
      <w:r>
        <w:t xml:space="preserve">. 2019;62(8):1385-1390. doi:</w:t>
      </w:r>
      <w:hyperlink r:id="rId100">
        <w:r>
          <w:rPr>
            <w:rStyle w:val="Hyperlink"/>
          </w:rPr>
          <w:t xml:space="preserve">10.1007/s00125-019-4895-0</w:t>
        </w:r>
      </w:hyperlink>
    </w:p>
    <w:bookmarkEnd w:id="146"/>
    <w:bookmarkStart w:id="147" w:name="ref-wagner2026"/>
    <w:p>
      <w:pPr>
        <w:pStyle w:val="Bibliography"/>
      </w:pPr>
      <w:r>
        <w:t xml:space="preserve">38.</w:t>
      </w:r>
      <w:r>
        <w:t xml:space="preserve"> </w:t>
      </w:r>
      <w:r>
        <w:t xml:space="preserve">	</w:t>
      </w:r>
      <w:r>
        <w:t xml:space="preserve">Wagner R, Selvin E, Sehgal R, et al. Beyond Glucose-Rethinking Prediabetes for Precision Prevention.</w:t>
      </w:r>
      <w:r>
        <w:t xml:space="preserve"> </w:t>
      </w:r>
      <w:r>
        <w:rPr>
          <w:i/>
          <w:iCs/>
        </w:rPr>
        <w:t xml:space="preserve">Diabetes Care</w:t>
      </w:r>
      <w:r>
        <w:t xml:space="preserve">. 2026;49(2):226-235. doi:</w:t>
      </w:r>
      <w:hyperlink r:id="rId102">
        <w:r>
          <w:rPr>
            <w:rStyle w:val="Hyperlink"/>
          </w:rPr>
          <w:t xml:space="preserve">10.2337/dci25-0054</w:t>
        </w:r>
      </w:hyperlink>
    </w:p>
    <w:bookmarkEnd w:id="147"/>
    <w:bookmarkEnd w:id="148"/>
    <w:bookmarkEnd w:id="149"/>
    <w:bookmarkStart w:id="150" w:name="tables-and-figures-1"/>
    <w:p>
      <w:pPr>
        <w:pStyle w:val="Heading1"/>
      </w:pPr>
      <w:r>
        <w:t xml:space="preserve">12. Tables and figures</w:t>
      </w:r>
    </w:p>
    <w:bookmarkEnd w:id="150"/>
    <w:bookmarkStart w:id="151" w:name="supplementary-material-1"/>
    <w:p>
      <w:pPr>
        <w:pStyle w:val="Heading1"/>
      </w:pPr>
      <w:r>
        <w:t xml:space="preserve">13. Supplementary material</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5" Target="https://doi.org/10.1007/978-1-0716-1418-1" TargetMode="External" /><Relationship Type="http://schemas.openxmlformats.org/officeDocument/2006/relationships/hyperlink" Id="rId89" Target="https://doi.org/10.1007/978-3-319-70178-3_2" TargetMode="External" /><Relationship Type="http://schemas.openxmlformats.org/officeDocument/2006/relationships/hyperlink" Id="rId53" Target="https://doi.org/10.1007/s00125-008-0951-x" TargetMode="External" /><Relationship Type="http://schemas.openxmlformats.org/officeDocument/2006/relationships/hyperlink" Id="rId100" Target="https://doi.org/10.1007/s00125-019-4895-0" TargetMode="External" /><Relationship Type="http://schemas.openxmlformats.org/officeDocument/2006/relationships/hyperlink" Id="rId96" Target="https://doi.org/10.1007/s00125-025-06486-4" TargetMode="External" /><Relationship Type="http://schemas.openxmlformats.org/officeDocument/2006/relationships/hyperlink" Id="rId98" Target="https://doi.org/10.1016/S0140-6736(09)60619-X" TargetMode="External" /><Relationship Type="http://schemas.openxmlformats.org/officeDocument/2006/relationships/hyperlink" Id="rId31" Target="https://doi.org/10.1016/j.diabres.2019.107843" TargetMode="External" /><Relationship Type="http://schemas.openxmlformats.org/officeDocument/2006/relationships/hyperlink" Id="rId33" Target="https://doi.org/10.1016/j.mcna.2004.04.013" TargetMode="External" /><Relationship Type="http://schemas.openxmlformats.org/officeDocument/2006/relationships/hyperlink" Id="rId43" Target="https://doi.org/10.1016/j.metabol.2019.04.014" TargetMode="External" /><Relationship Type="http://schemas.openxmlformats.org/officeDocument/2006/relationships/hyperlink" Id="rId47" Target="https://doi.org/10.1016/j.peptides.2015.03.011" TargetMode="External" /><Relationship Type="http://schemas.openxmlformats.org/officeDocument/2006/relationships/hyperlink" Id="rId83" Target="https://doi.org/10.1016/s0168-8227(99)00116-3" TargetMode="External" /><Relationship Type="http://schemas.openxmlformats.org/officeDocument/2006/relationships/hyperlink" Id="rId35" Target="https://doi.org/10.1016/s2213-8587(18)30051-2" TargetMode="External" /><Relationship Type="http://schemas.openxmlformats.org/officeDocument/2006/relationships/hyperlink" Id="rId61" Target="https://doi.org/10.1038/ijo.2014.163" TargetMode="External" /><Relationship Type="http://schemas.openxmlformats.org/officeDocument/2006/relationships/hyperlink" Id="rId39" Target="https://doi.org/10.1038/s41591-020-1116-9" TargetMode="External" /><Relationship Type="http://schemas.openxmlformats.org/officeDocument/2006/relationships/hyperlink" Id="rId37" Target="https://doi.org/10.1038/s41591-023-02502-5" TargetMode="External" /><Relationship Type="http://schemas.openxmlformats.org/officeDocument/2006/relationships/hyperlink" Id="rId45" Target="https://doi.org/10.1038/s42255-024-01113-9" TargetMode="External" /><Relationship Type="http://schemas.openxmlformats.org/officeDocument/2006/relationships/hyperlink" Id="rId79" Target="https://doi.org/10.1038/sj.ejcn.1602118" TargetMode="External" /><Relationship Type="http://schemas.openxmlformats.org/officeDocument/2006/relationships/hyperlink" Id="rId65" Target="https://doi.org/10.1038/sj.ijo.0801420" TargetMode="External" /><Relationship Type="http://schemas.openxmlformats.org/officeDocument/2006/relationships/hyperlink" Id="rId75" Target="https://doi.org/10.1038/sj.ijo.0801734" TargetMode="External" /><Relationship Type="http://schemas.openxmlformats.org/officeDocument/2006/relationships/hyperlink" Id="rId59" Target="https://doi.org/10.1093/jn/131.2.354S" TargetMode="External" /><Relationship Type="http://schemas.openxmlformats.org/officeDocument/2006/relationships/hyperlink" Id="rId63" Target="https://doi.org/10.1186/1471-2458-12-1078" TargetMode="External" /><Relationship Type="http://schemas.openxmlformats.org/officeDocument/2006/relationships/hyperlink" Id="rId94" Target="https://doi.org/10.1186/s13293-018-0189-3" TargetMode="External" /><Relationship Type="http://schemas.openxmlformats.org/officeDocument/2006/relationships/hyperlink" Id="rId41" Target="https://doi.org/10.1210/clinem/dgaf163" TargetMode="External" /><Relationship Type="http://schemas.openxmlformats.org/officeDocument/2006/relationships/hyperlink" Id="rId92" Target="https://doi.org/10.1210/jc.2002-021873" TargetMode="External" /><Relationship Type="http://schemas.openxmlformats.org/officeDocument/2006/relationships/hyperlink" Id="rId49" Target="https://doi.org/10.1210/jcem.86.8.7750" TargetMode="External" /><Relationship Type="http://schemas.openxmlformats.org/officeDocument/2006/relationships/hyperlink" Id="rId77" Target="https://doi.org/10.1371/journal.pone.0123062" TargetMode="External" /><Relationship Type="http://schemas.openxmlformats.org/officeDocument/2006/relationships/hyperlink" Id="rId87" Target="https://doi.org/10.18637/jss.v061.i06" TargetMode="External" /><Relationship Type="http://schemas.openxmlformats.org/officeDocument/2006/relationships/hyperlink" Id="rId51" Target="https://doi.org/10.2337/db07-1124" TargetMode="External" /><Relationship Type="http://schemas.openxmlformats.org/officeDocument/2006/relationships/hyperlink" Id="rId72" Target="https://doi.org/10.2337/db14-1751" TargetMode="External" /><Relationship Type="http://schemas.openxmlformats.org/officeDocument/2006/relationships/hyperlink" Id="rId55" Target="https://doi.org/10.2337/db16-0240" TargetMode="External" /><Relationship Type="http://schemas.openxmlformats.org/officeDocument/2006/relationships/hyperlink" Id="rId57" Target="https://doi.org/10.2337/db16-0354" TargetMode="External" /><Relationship Type="http://schemas.openxmlformats.org/officeDocument/2006/relationships/hyperlink" Id="rId102" Target="https://doi.org/10.2337/dci25-0054" TargetMode="External" /><Relationship Type="http://schemas.openxmlformats.org/officeDocument/2006/relationships/hyperlink" Id="rId70" Target="https://doi.org/10.2337/diab.43.4.535" TargetMode="External" /><Relationship Type="http://schemas.openxmlformats.org/officeDocument/2006/relationships/hyperlink" Id="rId81" Target="https://doi.org/10.2337/diacare.17.2.152" TargetMode="External" /><Relationship Type="http://schemas.openxmlformats.org/officeDocument/2006/relationships/hyperlink" Id="rId67" Target="https://doi.org/10.2337/diacare.27.3.727" TargetMode="External" /><Relationship Type="http://schemas.openxmlformats.org/officeDocument/2006/relationships/hyperlink" Id="rId13" Target="https://orcid.org/0000-0002-0769-2922" TargetMode="External" /><Relationship Type="http://schemas.openxmlformats.org/officeDocument/2006/relationships/hyperlink" Id="rId12" Target="https://orcid.org/0000-0002-7209-2675" TargetMode="External" /><Relationship Type="http://schemas.openxmlformats.org/officeDocument/2006/relationships/hyperlink" Id="rId11" Target="https://orcid.org/0000-0002-7542-6853" TargetMode="External" /><Relationship Type="http://schemas.openxmlformats.org/officeDocument/2006/relationships/hyperlink" Id="rId10" Target="https://orcid.org/0009-0005-5360-3256"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1007/978-1-0716-1418-1" TargetMode="External" /><Relationship Type="http://schemas.openxmlformats.org/officeDocument/2006/relationships/hyperlink" Id="rId89" Target="https://doi.org/10.1007/978-3-319-70178-3_2" TargetMode="External" /><Relationship Type="http://schemas.openxmlformats.org/officeDocument/2006/relationships/hyperlink" Id="rId53" Target="https://doi.org/10.1007/s00125-008-0951-x" TargetMode="External" /><Relationship Type="http://schemas.openxmlformats.org/officeDocument/2006/relationships/hyperlink" Id="rId100" Target="https://doi.org/10.1007/s00125-019-4895-0" TargetMode="External" /><Relationship Type="http://schemas.openxmlformats.org/officeDocument/2006/relationships/hyperlink" Id="rId96" Target="https://doi.org/10.1007/s00125-025-06486-4" TargetMode="External" /><Relationship Type="http://schemas.openxmlformats.org/officeDocument/2006/relationships/hyperlink" Id="rId98" Target="https://doi.org/10.1016/S0140-6736(09)60619-X" TargetMode="External" /><Relationship Type="http://schemas.openxmlformats.org/officeDocument/2006/relationships/hyperlink" Id="rId31" Target="https://doi.org/10.1016/j.diabres.2019.107843" TargetMode="External" /><Relationship Type="http://schemas.openxmlformats.org/officeDocument/2006/relationships/hyperlink" Id="rId33" Target="https://doi.org/10.1016/j.mcna.2004.04.013" TargetMode="External" /><Relationship Type="http://schemas.openxmlformats.org/officeDocument/2006/relationships/hyperlink" Id="rId43" Target="https://doi.org/10.1016/j.metabol.2019.04.014" TargetMode="External" /><Relationship Type="http://schemas.openxmlformats.org/officeDocument/2006/relationships/hyperlink" Id="rId47" Target="https://doi.org/10.1016/j.peptides.2015.03.011" TargetMode="External" /><Relationship Type="http://schemas.openxmlformats.org/officeDocument/2006/relationships/hyperlink" Id="rId83" Target="https://doi.org/10.1016/s0168-8227(99)00116-3" TargetMode="External" /><Relationship Type="http://schemas.openxmlformats.org/officeDocument/2006/relationships/hyperlink" Id="rId35" Target="https://doi.org/10.1016/s2213-8587(18)30051-2" TargetMode="External" /><Relationship Type="http://schemas.openxmlformats.org/officeDocument/2006/relationships/hyperlink" Id="rId61" Target="https://doi.org/10.1038/ijo.2014.163" TargetMode="External" /><Relationship Type="http://schemas.openxmlformats.org/officeDocument/2006/relationships/hyperlink" Id="rId39" Target="https://doi.org/10.1038/s41591-020-1116-9" TargetMode="External" /><Relationship Type="http://schemas.openxmlformats.org/officeDocument/2006/relationships/hyperlink" Id="rId37" Target="https://doi.org/10.1038/s41591-023-02502-5" TargetMode="External" /><Relationship Type="http://schemas.openxmlformats.org/officeDocument/2006/relationships/hyperlink" Id="rId45" Target="https://doi.org/10.1038/s42255-024-01113-9" TargetMode="External" /><Relationship Type="http://schemas.openxmlformats.org/officeDocument/2006/relationships/hyperlink" Id="rId79" Target="https://doi.org/10.1038/sj.ejcn.1602118" TargetMode="External" /><Relationship Type="http://schemas.openxmlformats.org/officeDocument/2006/relationships/hyperlink" Id="rId65" Target="https://doi.org/10.1038/sj.ijo.0801420" TargetMode="External" /><Relationship Type="http://schemas.openxmlformats.org/officeDocument/2006/relationships/hyperlink" Id="rId75" Target="https://doi.org/10.1038/sj.ijo.0801734" TargetMode="External" /><Relationship Type="http://schemas.openxmlformats.org/officeDocument/2006/relationships/hyperlink" Id="rId59" Target="https://doi.org/10.1093/jn/131.2.354S" TargetMode="External" /><Relationship Type="http://schemas.openxmlformats.org/officeDocument/2006/relationships/hyperlink" Id="rId63" Target="https://doi.org/10.1186/1471-2458-12-1078" TargetMode="External" /><Relationship Type="http://schemas.openxmlformats.org/officeDocument/2006/relationships/hyperlink" Id="rId94" Target="https://doi.org/10.1186/s13293-018-0189-3" TargetMode="External" /><Relationship Type="http://schemas.openxmlformats.org/officeDocument/2006/relationships/hyperlink" Id="rId41" Target="https://doi.org/10.1210/clinem/dgaf163" TargetMode="External" /><Relationship Type="http://schemas.openxmlformats.org/officeDocument/2006/relationships/hyperlink" Id="rId92" Target="https://doi.org/10.1210/jc.2002-021873" TargetMode="External" /><Relationship Type="http://schemas.openxmlformats.org/officeDocument/2006/relationships/hyperlink" Id="rId49" Target="https://doi.org/10.1210/jcem.86.8.7750" TargetMode="External" /><Relationship Type="http://schemas.openxmlformats.org/officeDocument/2006/relationships/hyperlink" Id="rId77" Target="https://doi.org/10.1371/journal.pone.0123062" TargetMode="External" /><Relationship Type="http://schemas.openxmlformats.org/officeDocument/2006/relationships/hyperlink" Id="rId87" Target="https://doi.org/10.18637/jss.v061.i06" TargetMode="External" /><Relationship Type="http://schemas.openxmlformats.org/officeDocument/2006/relationships/hyperlink" Id="rId51" Target="https://doi.org/10.2337/db07-1124" TargetMode="External" /><Relationship Type="http://schemas.openxmlformats.org/officeDocument/2006/relationships/hyperlink" Id="rId72" Target="https://doi.org/10.2337/db14-1751" TargetMode="External" /><Relationship Type="http://schemas.openxmlformats.org/officeDocument/2006/relationships/hyperlink" Id="rId55" Target="https://doi.org/10.2337/db16-0240" TargetMode="External" /><Relationship Type="http://schemas.openxmlformats.org/officeDocument/2006/relationships/hyperlink" Id="rId57" Target="https://doi.org/10.2337/db16-0354" TargetMode="External" /><Relationship Type="http://schemas.openxmlformats.org/officeDocument/2006/relationships/hyperlink" Id="rId102" Target="https://doi.org/10.2337/dci25-0054" TargetMode="External" /><Relationship Type="http://schemas.openxmlformats.org/officeDocument/2006/relationships/hyperlink" Id="rId70" Target="https://doi.org/10.2337/diab.43.4.535" TargetMode="External" /><Relationship Type="http://schemas.openxmlformats.org/officeDocument/2006/relationships/hyperlink" Id="rId81" Target="https://doi.org/10.2337/diacare.17.2.152" TargetMode="External" /><Relationship Type="http://schemas.openxmlformats.org/officeDocument/2006/relationships/hyperlink" Id="rId67" Target="https://doi.org/10.2337/diacare.27.3.727" TargetMode="External" /><Relationship Type="http://schemas.openxmlformats.org/officeDocument/2006/relationships/hyperlink" Id="rId13" Target="https://orcid.org/0000-0002-0769-2922" TargetMode="External" /><Relationship Type="http://schemas.openxmlformats.org/officeDocument/2006/relationships/hyperlink" Id="rId12" Target="https://orcid.org/0000-0002-7209-2675" TargetMode="External" /><Relationship Type="http://schemas.openxmlformats.org/officeDocument/2006/relationships/hyperlink" Id="rId11" Target="https://orcid.org/0000-0002-7542-6853" TargetMode="External" /><Relationship Type="http://schemas.openxmlformats.org/officeDocument/2006/relationships/hyperlink" Id="rId10" Target="https://orcid.org/0009-0005-5360-32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2026-08-31T07:27:02Z</dcterms:created>
  <dcterms:modified xsi:type="dcterms:W3CDTF">2026-08-31T07:27:02Z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american-medical-association-parentheses.csl</vt:lpwstr>
  </property>
  <property fmtid="{D5CDD505-2E9C-101B-9397-08002B2CF9AE}" pid="7" name="csl-hanging-inden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False</vt:lpwstr>
  </property>
  <property fmtid="{D5CDD505-2E9C-101B-9397-08002B2CF9AE}" pid="14" name="template-partials">
    <vt:lpwstr/>
  </property>
  <property fmtid="{D5CDD505-2E9C-101B-9397-08002B2CF9AE}" pid="15" name="toc-title">
    <vt:lpwstr>Table of contents</vt:lpwstr>
  </property>
</Properties>
</file>