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6956B13" w14:textId="130AE379" w:rsidR="00DB6709" w:rsidRDefault="00542B2C" w:rsidP="007749D4">
      <w:pPr>
        <w:pStyle w:val="Overskrift1"/>
        <w:spacing w:line="360" w:lineRule="auto"/>
      </w:pPr>
      <w:bookmarkStart w:id="0" w:name="X75b25b21cedaac2f0ff366129ffb93ff06a0f84"/>
      <w:r>
        <w:t>Using c</w:t>
      </w:r>
      <w:r w:rsidR="00000000">
        <w:t>ontin</w:t>
      </w:r>
      <w:r w:rsidR="007749D4">
        <w:t>u</w:t>
      </w:r>
      <w:r w:rsidR="00000000">
        <w:t>ous glucose monitoring for metabolic profiling in prediabetes</w:t>
      </w:r>
    </w:p>
    <w:p w14:paraId="0D39A5D3" w14:textId="77777777" w:rsidR="00DB6709" w:rsidRDefault="00000000" w:rsidP="007749D4">
      <w:pPr>
        <w:pStyle w:val="Overskrift2"/>
        <w:spacing w:line="360" w:lineRule="auto"/>
      </w:pPr>
      <w:bookmarkStart w:id="1" w:name="background"/>
      <w:r>
        <w:t>Background</w:t>
      </w:r>
    </w:p>
    <w:p w14:paraId="779B5508" w14:textId="2EEB5120" w:rsidR="00DB6709" w:rsidRDefault="00000000" w:rsidP="007749D4">
      <w:pPr>
        <w:pStyle w:val="FirstParagraph"/>
        <w:spacing w:line="360" w:lineRule="auto"/>
      </w:pPr>
      <w:r>
        <w:t>Prediabetes is a state of elevated blood glucose levels below the threshold for type 2 diabetes and is associated with increased risk of diabetes [1], cardiovascular disease (CVD) and mortality [2]. According to the international Diabetes Federation, 537 million adults worldwide were living with prediabetes in 2021, which is projected to increase to 783 million by 2045 [3], highlighting a global need for prevention strategies. Prediabetes is currently defined by different glycemic thresholds; elevated glycated hemoglobin (HbA1c) level of 39-47 mmol/l [4] or 42-47 mmol/l [5], elevated fasting glucose levels (IFG) or elevated 2-hour-glucose (2hPG) after an oral glucose tolerance test (OGTT). While current diagnostic criteria for prediabetes capture the degree of dysglycemia at a single time-point, they offer limited insight into underlying pathophysiology. Individuals meeting the same glycemic criteria for prediabetes may differ substantially in their underlying metabolic drivers and risk trajectories. This includes distinct characteristics of insulin resistance, beta-cell function and body fat distribution along with varying risks of developing diabetes and related complications [6]. Given this substantial heterogeneity among individuals with prediabetes, effective prevention requires the ability to distinguish high-risk individuals who could benefit from early, intensive intervention from low-risk individuals who require minimal clinical attention [7]. However, as also recognized in these studies, assessment of the underlying metabolic drivers currently relies on complex tools, such as the OGTT for measuring post-load glucose regulation, or MRI and ultrasonography for the assessment of body fat distribution [8, 9].</w:t>
      </w:r>
      <w:r w:rsidR="00260975">
        <w:t xml:space="preserve"> </w:t>
      </w:r>
      <w:r>
        <w:t>An important step towards precision prevention is therefore to develop more clinically accessible tools capable of capturing underlying metabolic dimensions.</w:t>
      </w:r>
    </w:p>
    <w:p w14:paraId="1D1A1BC1" w14:textId="77777777" w:rsidR="00DB6709" w:rsidRDefault="00000000" w:rsidP="007749D4">
      <w:pPr>
        <w:pStyle w:val="Brdtekst"/>
        <w:spacing w:line="360" w:lineRule="auto"/>
      </w:pPr>
      <w:r>
        <w:lastRenderedPageBreak/>
        <w:t>Continuous glucose monitoring (CGM) offers a possibility to assess detailed and dynamic indices of glucose regulation under free-living conditions, and is already widely used in the management of type 1 and type 2 diabetes [10]. Emerging evidence suggests that the use of CGM could also be beneficial in the management of individuals with prediabetes [11]. Recent studies including large-scale machine learning models have shown that CGM- and wearable-derived measures can predict future glycemic deterioration, incident type 2 diabetes, cardiovascular outcomes [12] and insulin resistance [13], often outperforming HbA1c. While these approaches have the potential to provide important information for risk stratification, they provide limited insight into the distinction between insulin resistance and beta-cell function - a distinction that may be important not only for identifying who is at risk, but also for determining which type of preventative strategy, such as intensive lifestyle interventions or early pharmacological treatment, is most suitable for a given individual [6]. In this context, it remains unclear whether CGM- and wearable-derived information in free-living conditions can help identify underlying metabolic dimensions, such as insulin resistance and beta-cell function, among individuals with prediabetes, and how this could inform individualized prevention strategies.</w:t>
      </w:r>
    </w:p>
    <w:p w14:paraId="0DA77ABB" w14:textId="77777777" w:rsidR="00DB6709" w:rsidRDefault="00000000" w:rsidP="00542B2C">
      <w:pPr>
        <w:pStyle w:val="Overskrift2"/>
      </w:pPr>
      <w:bookmarkStart w:id="2" w:name="aims"/>
      <w:bookmarkEnd w:id="1"/>
      <w:r>
        <w:t>Aims</w:t>
      </w:r>
    </w:p>
    <w:p w14:paraId="478D8621" w14:textId="713C7D9F" w:rsidR="00260975" w:rsidRDefault="00000000" w:rsidP="00542B2C">
      <w:pPr>
        <w:pStyle w:val="FirstParagraph"/>
        <w:spacing w:line="360" w:lineRule="auto"/>
        <w:sectPr w:rsidR="00260975" w:rsidSect="007749D4">
          <w:headerReference w:type="default" r:id="rId7"/>
          <w:footnotePr>
            <w:numRestart w:val="eachSect"/>
          </w:footnotePr>
          <w:pgSz w:w="12240" w:h="15840"/>
          <w:pgMar w:top="1701" w:right="1134" w:bottom="1701" w:left="1134" w:header="708" w:footer="708" w:gutter="0"/>
          <w:cols w:space="708"/>
          <w:docGrid w:linePitch="326"/>
        </w:sectPr>
      </w:pPr>
      <w:r>
        <w:t>The overall aim of this PhD project is to assess whether continuous glucose monitoring, combined with other free-living data, can help characterize underlying metabolic dimensions, including insulin resistance and beta-cell function, among individuals with prediabetes. Through different data sources, the project spans from observational, cross-sectional and longitudinal studies to detailed physiological characterization.</w:t>
      </w:r>
    </w:p>
    <w:p w14:paraId="0B76405E" w14:textId="77777777" w:rsidR="00260975" w:rsidRDefault="00260975" w:rsidP="00260975"/>
    <w:p w14:paraId="028F7456" w14:textId="1493F6F8" w:rsidR="007749D4" w:rsidRDefault="00000000" w:rsidP="00260975">
      <w:r>
        <w:t>The project will be comprised of three studies:</w:t>
      </w:r>
    </w:p>
    <w:tbl>
      <w:tblPr>
        <w:tblStyle w:val="Tabel-Gitter"/>
        <w:tblW w:w="14034" w:type="dxa"/>
        <w:tblInd w:w="-459" w:type="dxa"/>
        <w:tblLook w:val="04A0" w:firstRow="1" w:lastRow="0" w:firstColumn="1" w:lastColumn="0" w:noHBand="0" w:noVBand="1"/>
      </w:tblPr>
      <w:tblGrid>
        <w:gridCol w:w="5245"/>
        <w:gridCol w:w="4111"/>
        <w:gridCol w:w="4678"/>
      </w:tblGrid>
      <w:tr w:rsidR="007749D4" w14:paraId="7F3ABCA8" w14:textId="77777777" w:rsidTr="007749D4">
        <w:tc>
          <w:tcPr>
            <w:tcW w:w="5245" w:type="dxa"/>
          </w:tcPr>
          <w:p w14:paraId="3EDB6BA8" w14:textId="31A776B4" w:rsidR="007749D4" w:rsidRDefault="007749D4" w:rsidP="007749D4">
            <w:pPr>
              <w:pStyle w:val="Brdtekst"/>
            </w:pPr>
            <w:r>
              <w:t>Study/Aim</w:t>
            </w:r>
          </w:p>
        </w:tc>
        <w:tc>
          <w:tcPr>
            <w:tcW w:w="4111" w:type="dxa"/>
          </w:tcPr>
          <w:p w14:paraId="02BDF370" w14:textId="714CC420" w:rsidR="007749D4" w:rsidRDefault="007749D4" w:rsidP="007749D4">
            <w:pPr>
              <w:pStyle w:val="Brdtekst"/>
            </w:pPr>
            <w:r>
              <w:t>Data source</w:t>
            </w:r>
          </w:p>
        </w:tc>
        <w:tc>
          <w:tcPr>
            <w:tcW w:w="4678" w:type="dxa"/>
          </w:tcPr>
          <w:p w14:paraId="4C30B646" w14:textId="3902031D" w:rsidR="007749D4" w:rsidRDefault="007749D4" w:rsidP="007749D4">
            <w:pPr>
              <w:pStyle w:val="Brdtekst"/>
            </w:pPr>
            <w:r>
              <w:t>Population</w:t>
            </w:r>
          </w:p>
        </w:tc>
      </w:tr>
      <w:tr w:rsidR="007749D4" w14:paraId="5C90838E" w14:textId="77777777" w:rsidTr="007749D4">
        <w:trPr>
          <w:trHeight w:val="2599"/>
        </w:trPr>
        <w:tc>
          <w:tcPr>
            <w:tcW w:w="5245" w:type="dxa"/>
          </w:tcPr>
          <w:p w14:paraId="0B6470D8" w14:textId="411E3FB5" w:rsidR="007749D4" w:rsidRDefault="007749D4" w:rsidP="007749D4">
            <w:pPr>
              <w:pStyle w:val="Brdtekst"/>
              <w:spacing w:line="360" w:lineRule="auto"/>
            </w:pPr>
            <w:r>
              <w:rPr>
                <w:b/>
                <w:bCs/>
                <w:u w:val="single"/>
              </w:rPr>
              <w:t>Study 1</w:t>
            </w:r>
            <w:r>
              <w:rPr>
                <w:b/>
                <w:bCs/>
                <w:u w:val="single"/>
              </w:rPr>
              <w:t xml:space="preserve"> (Cross-sectional)</w:t>
            </w:r>
            <w:r>
              <w:rPr>
                <w:b/>
                <w:bCs/>
                <w:u w:val="single"/>
              </w:rPr>
              <w:br/>
            </w:r>
            <w:r>
              <w:t>Assess how CGM-derived glycemic patterns along with free-living lifestyle data (physical activity, sleep, diet) is associated to insulin resistance and beta-cell function among individuals with prediabetes.</w:t>
            </w:r>
          </w:p>
        </w:tc>
        <w:tc>
          <w:tcPr>
            <w:tcW w:w="4111" w:type="dxa"/>
          </w:tcPr>
          <w:p w14:paraId="2749D308" w14:textId="22906AF8" w:rsidR="007749D4" w:rsidRDefault="007749D4" w:rsidP="007749D4">
            <w:pPr>
              <w:pStyle w:val="Brdtekst"/>
              <w:spacing w:line="360" w:lineRule="auto"/>
            </w:pPr>
            <w:r>
              <w:t xml:space="preserve">Baseline data from the DP-NEXY study: </w:t>
            </w:r>
            <w:hyperlink r:id="rId8">
              <w:r>
                <w:rPr>
                  <w:rStyle w:val="Hyperlink"/>
                </w:rPr>
                <w:t>DP-NEXT, Work Package 3: Heterogeneity</w:t>
              </w:r>
            </w:hyperlink>
            <w:r>
              <w:t>, a Danish study that will characterize heterogeneity among individuals with prediabetes.</w:t>
            </w:r>
            <w:r>
              <w:br/>
            </w:r>
          </w:p>
        </w:tc>
        <w:tc>
          <w:tcPr>
            <w:tcW w:w="4678" w:type="dxa"/>
          </w:tcPr>
          <w:p w14:paraId="56319519" w14:textId="658E0589" w:rsidR="007749D4" w:rsidRDefault="007749D4" w:rsidP="007749D4">
            <w:pPr>
              <w:pStyle w:val="Brdtekst"/>
              <w:spacing w:line="360" w:lineRule="auto"/>
            </w:pPr>
            <w:r>
              <w:t>Danish adults aged between 40-50 years with an HbA1c measurement between 42-47 mmol/l</w:t>
            </w:r>
            <w:r>
              <w:t>.</w:t>
            </w:r>
          </w:p>
        </w:tc>
      </w:tr>
      <w:tr w:rsidR="007749D4" w14:paraId="4CF09786" w14:textId="77777777" w:rsidTr="007749D4">
        <w:tc>
          <w:tcPr>
            <w:tcW w:w="5245" w:type="dxa"/>
          </w:tcPr>
          <w:p w14:paraId="2F13D367" w14:textId="6324DEA2" w:rsidR="007749D4" w:rsidRDefault="007749D4" w:rsidP="007749D4">
            <w:pPr>
              <w:pStyle w:val="Brdtekst"/>
              <w:spacing w:line="360" w:lineRule="auto"/>
            </w:pPr>
            <w:r>
              <w:rPr>
                <w:b/>
                <w:bCs/>
                <w:u w:val="single"/>
              </w:rPr>
              <w:t>Study 2</w:t>
            </w:r>
            <w:r>
              <w:rPr>
                <w:b/>
                <w:bCs/>
                <w:u w:val="single"/>
              </w:rPr>
              <w:t xml:space="preserve"> (Longitudinal)</w:t>
            </w:r>
            <w:r>
              <w:rPr>
                <w:b/>
                <w:bCs/>
                <w:u w:val="single"/>
              </w:rPr>
              <w:br/>
            </w:r>
            <w:r>
              <w:t>Investigate how CGM-derived patterns and related lifestyle characteristics are associated with long-term outcomes, including type 2 diabetes, cardiovascular disease and mortality.</w:t>
            </w:r>
          </w:p>
        </w:tc>
        <w:tc>
          <w:tcPr>
            <w:tcW w:w="4111" w:type="dxa"/>
          </w:tcPr>
          <w:p w14:paraId="26A1D0B7" w14:textId="2AE40DB8" w:rsidR="007749D4" w:rsidRDefault="007749D4" w:rsidP="007749D4">
            <w:pPr>
              <w:pStyle w:val="Brdtekst"/>
              <w:spacing w:line="360" w:lineRule="auto"/>
            </w:pPr>
            <w:r>
              <w:t xml:space="preserve">Baseline and follow-up data from </w:t>
            </w:r>
            <w:hyperlink r:id="rId9">
              <w:r>
                <w:rPr>
                  <w:rStyle w:val="Hyperlink"/>
                </w:rPr>
                <w:t>The Maastricht Study</w:t>
              </w:r>
            </w:hyperlink>
            <w:r>
              <w:t>, a Dutch phenotyping study focusing on the etiology of type 2 diabetes.</w:t>
            </w:r>
          </w:p>
        </w:tc>
        <w:tc>
          <w:tcPr>
            <w:tcW w:w="4678" w:type="dxa"/>
          </w:tcPr>
          <w:p w14:paraId="28D0BC19" w14:textId="77C0A8E4" w:rsidR="007749D4" w:rsidRDefault="007749D4" w:rsidP="007749D4">
            <w:pPr>
              <w:pStyle w:val="Brdtekst"/>
              <w:spacing w:line="360" w:lineRule="auto"/>
            </w:pPr>
            <w:r>
              <w:t>Dutch adults aged between 40-75 years enriched with individuals with type 2 diabetes.</w:t>
            </w:r>
          </w:p>
        </w:tc>
      </w:tr>
      <w:tr w:rsidR="007749D4" w14:paraId="2C5A462D" w14:textId="77777777" w:rsidTr="007749D4">
        <w:tc>
          <w:tcPr>
            <w:tcW w:w="5245" w:type="dxa"/>
          </w:tcPr>
          <w:p w14:paraId="6A9629D1" w14:textId="339A2469" w:rsidR="007749D4" w:rsidRDefault="007749D4" w:rsidP="007749D4">
            <w:pPr>
              <w:pStyle w:val="Brdtekst"/>
              <w:spacing w:line="360" w:lineRule="auto"/>
            </w:pPr>
            <w:r>
              <w:rPr>
                <w:b/>
                <w:bCs/>
                <w:u w:val="single"/>
              </w:rPr>
              <w:t>Study 3</w:t>
            </w:r>
            <w:r>
              <w:rPr>
                <w:b/>
                <w:bCs/>
                <w:u w:val="single"/>
              </w:rPr>
              <w:t xml:space="preserve"> (Exploratory physiological study)</w:t>
            </w:r>
            <w:r>
              <w:rPr>
                <w:b/>
                <w:bCs/>
                <w:u w:val="single"/>
              </w:rPr>
              <w:br/>
            </w:r>
            <w:r>
              <w:t>Characterize underlying metabolic dimensions, including insulin resistance, beta-cell function and substrate metabolism and how they relate to CGM response patterns.</w:t>
            </w:r>
          </w:p>
        </w:tc>
        <w:tc>
          <w:tcPr>
            <w:tcW w:w="4111" w:type="dxa"/>
          </w:tcPr>
          <w:p w14:paraId="1DCF24FF" w14:textId="3B739FCB" w:rsidR="007749D4" w:rsidRDefault="007749D4" w:rsidP="007749D4">
            <w:pPr>
              <w:pStyle w:val="Brdtekst"/>
              <w:spacing w:line="360" w:lineRule="auto"/>
            </w:pPr>
            <w:r>
              <w:t>Exploratory physiological study using whole-room Indirect calorimetry at steno diabetes center Aarhus</w:t>
            </w:r>
            <w:r>
              <w:t>.</w:t>
            </w:r>
          </w:p>
        </w:tc>
        <w:tc>
          <w:tcPr>
            <w:tcW w:w="4678" w:type="dxa"/>
          </w:tcPr>
          <w:p w14:paraId="2ECB1DF5" w14:textId="20690DEE" w:rsidR="007749D4" w:rsidRDefault="007749D4" w:rsidP="007749D4">
            <w:pPr>
              <w:pStyle w:val="Brdtekst"/>
              <w:spacing w:line="360" w:lineRule="auto"/>
            </w:pPr>
            <w:r>
              <w:t>5-10 participants with prediabetes from work package 3 in the DP-NEXT study.</w:t>
            </w:r>
          </w:p>
        </w:tc>
      </w:tr>
    </w:tbl>
    <w:p w14:paraId="1B5F85D2" w14:textId="77777777" w:rsidR="00260975" w:rsidRDefault="00260975" w:rsidP="007749D4">
      <w:pPr>
        <w:pStyle w:val="Brdtekst"/>
        <w:spacing w:line="360" w:lineRule="auto"/>
        <w:sectPr w:rsidR="00260975" w:rsidSect="00260975">
          <w:footnotePr>
            <w:numRestart w:val="eachSect"/>
          </w:footnotePr>
          <w:pgSz w:w="15840" w:h="12240" w:orient="landscape"/>
          <w:pgMar w:top="1134" w:right="1701" w:bottom="1134" w:left="1701" w:header="708" w:footer="708" w:gutter="0"/>
          <w:cols w:space="708"/>
          <w:docGrid w:linePitch="326"/>
        </w:sectPr>
      </w:pPr>
    </w:p>
    <w:p w14:paraId="3740138B" w14:textId="77777777" w:rsidR="007749D4" w:rsidRDefault="007749D4" w:rsidP="007749D4">
      <w:pPr>
        <w:pStyle w:val="Brdtekst"/>
        <w:spacing w:line="360" w:lineRule="auto"/>
      </w:pPr>
    </w:p>
    <w:p w14:paraId="62FBFE67" w14:textId="77777777" w:rsidR="00DB6709" w:rsidRDefault="00000000" w:rsidP="007749D4">
      <w:pPr>
        <w:pStyle w:val="Overskrift2"/>
        <w:spacing w:line="360" w:lineRule="auto"/>
      </w:pPr>
      <w:bookmarkStart w:id="3" w:name="research-design-and-methods"/>
      <w:bookmarkEnd w:id="2"/>
      <w:r>
        <w:t>Research design and methods</w:t>
      </w:r>
    </w:p>
    <w:p w14:paraId="785BAA01" w14:textId="77777777" w:rsidR="00DB6709" w:rsidRDefault="00000000" w:rsidP="007749D4">
      <w:pPr>
        <w:pStyle w:val="FirstParagraph"/>
        <w:spacing w:line="360" w:lineRule="auto"/>
      </w:pPr>
      <w:r>
        <w:rPr>
          <w:b/>
          <w:bCs/>
        </w:rPr>
        <w:t>Study 1:</w:t>
      </w:r>
      <w:r>
        <w:t xml:space="preserve"> Cross-sectional study of the associations between CGM-derived glucose patterns, free-living measures of physical activity, sleep, diet and oral glucose tolerance test-derived indices of insulin resistance and beta-cell function.</w:t>
      </w:r>
    </w:p>
    <w:p w14:paraId="6F95DA7A" w14:textId="77777777" w:rsidR="00DB6709" w:rsidRDefault="00000000" w:rsidP="007749D4">
      <w:pPr>
        <w:pStyle w:val="Brdtekst"/>
        <w:spacing w:line="360" w:lineRule="auto"/>
      </w:pPr>
      <w:r>
        <w:t>The aim of work package 3 in the DP-NEXT study is to characterize heterogeneity among individuals with prediabetes and will collect a large variety of data. In this study, we will use the following data from the DP-NEXT study (but not limited to):</w:t>
      </w:r>
    </w:p>
    <w:p w14:paraId="62EB6CBC" w14:textId="77777777" w:rsidR="00DB6709" w:rsidRDefault="00000000" w:rsidP="007749D4">
      <w:pPr>
        <w:numPr>
          <w:ilvl w:val="0"/>
          <w:numId w:val="2"/>
        </w:numPr>
        <w:spacing w:line="360" w:lineRule="auto"/>
      </w:pPr>
      <w:r>
        <w:t>Free-living glucose dynamics through continuous glucose monitoring</w:t>
      </w:r>
    </w:p>
    <w:p w14:paraId="7CB75038" w14:textId="77777777" w:rsidR="00DB6709" w:rsidRDefault="00000000" w:rsidP="007749D4">
      <w:pPr>
        <w:numPr>
          <w:ilvl w:val="0"/>
          <w:numId w:val="2"/>
        </w:numPr>
        <w:spacing w:line="360" w:lineRule="auto"/>
      </w:pPr>
      <w:r>
        <w:t>Physical activity and sleep through wrist-worn actigraphy</w:t>
      </w:r>
    </w:p>
    <w:p w14:paraId="1F8D7213" w14:textId="77777777" w:rsidR="00DB6709" w:rsidRDefault="00000000" w:rsidP="007749D4">
      <w:pPr>
        <w:numPr>
          <w:ilvl w:val="0"/>
          <w:numId w:val="2"/>
        </w:numPr>
        <w:spacing w:line="360" w:lineRule="auto"/>
      </w:pPr>
      <w:r>
        <w:t>Eating behavior assessed through the Adult Eating Behavior Questionnaire (AEBQ) [14]</w:t>
      </w:r>
    </w:p>
    <w:p w14:paraId="105E14CD" w14:textId="77777777" w:rsidR="00DB6709" w:rsidRDefault="00000000" w:rsidP="007749D4">
      <w:pPr>
        <w:numPr>
          <w:ilvl w:val="0"/>
          <w:numId w:val="2"/>
        </w:numPr>
        <w:spacing w:line="360" w:lineRule="auto"/>
      </w:pPr>
      <w:r>
        <w:t>Glucose and insulin measures from a 4-point oral glucose tolerance test</w:t>
      </w:r>
    </w:p>
    <w:p w14:paraId="0450C468" w14:textId="77777777" w:rsidR="00DB6709" w:rsidRDefault="00000000" w:rsidP="007749D4">
      <w:pPr>
        <w:numPr>
          <w:ilvl w:val="0"/>
          <w:numId w:val="2"/>
        </w:numPr>
        <w:spacing w:line="360" w:lineRule="auto"/>
      </w:pPr>
      <w:r>
        <w:t>Sociodemographic information from DP-NEXT questionnaires</w:t>
      </w:r>
    </w:p>
    <w:p w14:paraId="298B8BA5" w14:textId="77777777" w:rsidR="00DB6709" w:rsidRDefault="00000000" w:rsidP="007749D4">
      <w:pPr>
        <w:numPr>
          <w:ilvl w:val="0"/>
          <w:numId w:val="2"/>
        </w:numPr>
        <w:spacing w:line="360" w:lineRule="auto"/>
      </w:pPr>
      <w:r>
        <w:t>Anthropometry (height, weight, waist and hip circumference)</w:t>
      </w:r>
    </w:p>
    <w:p w14:paraId="0A30BFB8" w14:textId="0B4C78C1" w:rsidR="007749D4" w:rsidRDefault="007749D4" w:rsidP="007749D4">
      <w:pPr>
        <w:spacing w:line="360" w:lineRule="auto"/>
      </w:pPr>
      <w:r>
        <w:br w:type="page"/>
      </w:r>
    </w:p>
    <w:p w14:paraId="0FC13AAA" w14:textId="77777777" w:rsidR="007749D4" w:rsidRDefault="007749D4" w:rsidP="007749D4">
      <w:pPr>
        <w:spacing w:line="360" w:lineRule="auto"/>
      </w:pPr>
    </w:p>
    <w:p w14:paraId="4D94FA44" w14:textId="38AC26F0" w:rsidR="007749D4" w:rsidRDefault="007749D4" w:rsidP="00260975">
      <w:pPr>
        <w:pStyle w:val="Overskrift"/>
        <w:spacing w:line="276" w:lineRule="auto"/>
      </w:pPr>
      <w:r>
        <w:t>Literature</w:t>
      </w:r>
    </w:p>
    <w:p w14:paraId="697905D1" w14:textId="77777777" w:rsidR="00DB6709" w:rsidRDefault="00000000" w:rsidP="00260975">
      <w:pPr>
        <w:pStyle w:val="Bibliografi"/>
        <w:spacing w:line="276" w:lineRule="auto"/>
      </w:pPr>
      <w:bookmarkStart w:id="4" w:name="ref-tabák2012"/>
      <w:bookmarkStart w:id="5" w:name="refs"/>
      <w:r>
        <w:t xml:space="preserve">1. </w:t>
      </w:r>
      <w:r>
        <w:tab/>
        <w:t xml:space="preserve">Tabák AG, Herder C, Rathmann W, Brunner EJ, Kivimäki M (2012) Prediabetes: A high-risk state for developing diabetes. Lancet 379(9833):2279–2290. </w:t>
      </w:r>
      <w:hyperlink r:id="rId10">
        <w:r>
          <w:rPr>
            <w:rStyle w:val="Hyperlink"/>
          </w:rPr>
          <w:t>https://doi.org/10.1016/S0140-6736(12)60283-9</w:t>
        </w:r>
      </w:hyperlink>
    </w:p>
    <w:p w14:paraId="62E10AB3" w14:textId="77777777" w:rsidR="00DB6709" w:rsidRDefault="00000000" w:rsidP="00260975">
      <w:pPr>
        <w:pStyle w:val="Bibliografi"/>
        <w:spacing w:line="276" w:lineRule="auto"/>
      </w:pPr>
      <w:bookmarkStart w:id="6" w:name="ref-vistisen2018"/>
      <w:bookmarkEnd w:id="4"/>
      <w:r>
        <w:t xml:space="preserve">2. </w:t>
      </w:r>
      <w:r>
        <w:tab/>
        <w:t xml:space="preserve">Vistisen D, Witte DR, Brunner EJ, et al (2018) Risk of Cardiovascular Disease and Death in Individuals With Prediabetes Defined by Different Criteria: The Whitehall II Study. Diabetes Care 41(4):899–906. </w:t>
      </w:r>
      <w:hyperlink r:id="rId11">
        <w:r>
          <w:rPr>
            <w:rStyle w:val="Hyperlink"/>
          </w:rPr>
          <w:t>https://doi.org/10.2337/dc17-2530</w:t>
        </w:r>
      </w:hyperlink>
    </w:p>
    <w:p w14:paraId="6E6464D1" w14:textId="77777777" w:rsidR="00DB6709" w:rsidRDefault="00000000" w:rsidP="00260975">
      <w:pPr>
        <w:pStyle w:val="Bibliografi"/>
        <w:spacing w:line="276" w:lineRule="auto"/>
      </w:pPr>
      <w:bookmarkStart w:id="7" w:name="ref-sun2022"/>
      <w:bookmarkEnd w:id="6"/>
      <w:r>
        <w:t xml:space="preserve">3. </w:t>
      </w:r>
      <w:r>
        <w:tab/>
        <w:t xml:space="preserve">Sun H, Saeedi P, Karuranga S, et al (2022) IDF Diabetes Atlas: Global, regional and country-level diabetes prevalence estimates for 2021 and projections for 2045. Diabetes Research and Clinical Practice 183:109119. </w:t>
      </w:r>
      <w:hyperlink r:id="rId12">
        <w:r>
          <w:rPr>
            <w:rStyle w:val="Hyperlink"/>
          </w:rPr>
          <w:t>https://doi.org/10.1016/j.diabres.2021.109119</w:t>
        </w:r>
      </w:hyperlink>
    </w:p>
    <w:p w14:paraId="1C7CA66E" w14:textId="77777777" w:rsidR="00DB6709" w:rsidRDefault="00000000" w:rsidP="00260975">
      <w:pPr>
        <w:pStyle w:val="Bibliografi"/>
        <w:spacing w:line="276" w:lineRule="auto"/>
      </w:pPr>
      <w:bookmarkStart w:id="8" w:name="X1e24658f2f8a6e2fdda66ed8f0fcf0fd4a06c62"/>
      <w:bookmarkEnd w:id="7"/>
      <w:r>
        <w:t xml:space="preserve">4. </w:t>
      </w:r>
      <w:r>
        <w:tab/>
        <w:t xml:space="preserve">American Diabetes Association Professional Practice Committee (2025) 2. Diagnosis and Classification of Diabetes: Standards of Care in Diabetes-2025. Diabetes Care 48(1 Suppl 1):S27–S49. </w:t>
      </w:r>
      <w:hyperlink r:id="rId13">
        <w:r>
          <w:rPr>
            <w:rStyle w:val="Hyperlink"/>
          </w:rPr>
          <w:t>https://doi.org/10.2337/dc25-S002</w:t>
        </w:r>
      </w:hyperlink>
    </w:p>
    <w:p w14:paraId="75099137" w14:textId="77777777" w:rsidR="00DB6709" w:rsidRDefault="00000000" w:rsidP="00260975">
      <w:pPr>
        <w:pStyle w:val="Bibliografi"/>
        <w:spacing w:line="276" w:lineRule="auto"/>
      </w:pPr>
      <w:bookmarkStart w:id="9" w:name="ref-internat2009"/>
      <w:bookmarkEnd w:id="8"/>
      <w:r>
        <w:t xml:space="preserve">5. </w:t>
      </w:r>
      <w:r>
        <w:tab/>
        <w:t xml:space="preserve">(2009) International expert committee report on the role of the A1C assay in the diagnosis of diabetes. Diabetes Care 32(7):1327–1334. </w:t>
      </w:r>
      <w:hyperlink r:id="rId14">
        <w:r>
          <w:rPr>
            <w:rStyle w:val="Hyperlink"/>
          </w:rPr>
          <w:t>https://doi.org/10.2337/dc09-9033</w:t>
        </w:r>
      </w:hyperlink>
    </w:p>
    <w:p w14:paraId="0B14E139" w14:textId="77777777" w:rsidR="00DB6709" w:rsidRDefault="00000000" w:rsidP="00260975">
      <w:pPr>
        <w:pStyle w:val="Bibliografi"/>
        <w:spacing w:line="276" w:lineRule="auto"/>
      </w:pPr>
      <w:bookmarkStart w:id="10" w:name="ref-wagner2026"/>
      <w:bookmarkEnd w:id="9"/>
      <w:r>
        <w:t xml:space="preserve">6. </w:t>
      </w:r>
      <w:r>
        <w:tab/>
        <w:t xml:space="preserve">Wagner R, Selvin E, Sehgal R, et al (2026) Beyond Glucose-Rethinking Prediabetes for Precision Prevention. Diabetes Care 49(2):226–235. </w:t>
      </w:r>
      <w:hyperlink r:id="rId15">
        <w:r>
          <w:rPr>
            <w:rStyle w:val="Hyperlink"/>
          </w:rPr>
          <w:t>https://doi.org/10.2337/dci25-0054</w:t>
        </w:r>
      </w:hyperlink>
    </w:p>
    <w:p w14:paraId="3B10ECF2" w14:textId="77777777" w:rsidR="00DB6709" w:rsidRDefault="00000000" w:rsidP="00260975">
      <w:pPr>
        <w:pStyle w:val="Bibliografi"/>
        <w:spacing w:line="276" w:lineRule="auto"/>
      </w:pPr>
      <w:bookmarkStart w:id="11" w:name="ref-blond2023"/>
      <w:bookmarkEnd w:id="10"/>
      <w:r>
        <w:t xml:space="preserve">7. </w:t>
      </w:r>
      <w:r>
        <w:tab/>
        <w:t xml:space="preserve">Blond MB, Færch K, Herder C, Ziegler D, Stehouwer CDA (2023) The prediabetes conundrum: striking the balance between risk and resources. Diabetologia 66(6):1016–1023. </w:t>
      </w:r>
      <w:hyperlink r:id="rId16">
        <w:r>
          <w:rPr>
            <w:rStyle w:val="Hyperlink"/>
          </w:rPr>
          <w:t>https://doi.org/10.1007/s00125-023-05890-y</w:t>
        </w:r>
      </w:hyperlink>
    </w:p>
    <w:p w14:paraId="135EE452" w14:textId="77777777" w:rsidR="00DB6709" w:rsidRDefault="00000000" w:rsidP="00260975">
      <w:pPr>
        <w:pStyle w:val="Bibliografi"/>
        <w:spacing w:line="276" w:lineRule="auto"/>
      </w:pPr>
      <w:bookmarkStart w:id="12" w:name="ref-wagner2021"/>
      <w:bookmarkEnd w:id="11"/>
      <w:r>
        <w:t xml:space="preserve">8. </w:t>
      </w:r>
      <w:r>
        <w:tab/>
        <w:t xml:space="preserve">Wagner R, Heni M, Tabák AG, et al (2021) Pathophysiology-based subphenotyping of individuals at elevated risk for type 2 diabetes. Nature Medicine 27(1):49–57. </w:t>
      </w:r>
      <w:hyperlink r:id="rId17">
        <w:r>
          <w:rPr>
            <w:rStyle w:val="Hyperlink"/>
          </w:rPr>
          <w:t>https://doi.org/10.1038/s41591-020-1116-9</w:t>
        </w:r>
      </w:hyperlink>
    </w:p>
    <w:p w14:paraId="3A69E08D" w14:textId="77777777" w:rsidR="00DB6709" w:rsidRDefault="00000000" w:rsidP="00260975">
      <w:pPr>
        <w:pStyle w:val="Bibliografi"/>
        <w:spacing w:line="276" w:lineRule="auto"/>
      </w:pPr>
      <w:bookmarkStart w:id="13" w:name="ref-stroebel2025"/>
      <w:bookmarkEnd w:id="12"/>
      <w:r>
        <w:t xml:space="preserve">9. </w:t>
      </w:r>
      <w:r>
        <w:tab/>
        <w:t xml:space="preserve">Stroebel BM, Gadgil M, Lewis KA, Longoria KD, Zhang L, Flowers E (2025) Body composition differentiates prediabetes phenotype clusters in the diabetes prevention program study. The Journal of Clinical Endocrinology &amp; Metabolism 110(11):e3665–e3672. </w:t>
      </w:r>
      <w:hyperlink r:id="rId18">
        <w:r>
          <w:rPr>
            <w:rStyle w:val="Hyperlink"/>
          </w:rPr>
          <w:t>https://doi.org/10.1210/clinem/dgaf163</w:t>
        </w:r>
      </w:hyperlink>
    </w:p>
    <w:p w14:paraId="0AD854FF" w14:textId="77777777" w:rsidR="00DB6709" w:rsidRDefault="00000000" w:rsidP="00260975">
      <w:pPr>
        <w:pStyle w:val="Bibliografi"/>
        <w:spacing w:line="276" w:lineRule="auto"/>
      </w:pPr>
      <w:bookmarkStart w:id="14" w:name="ref-battelino2025"/>
      <w:bookmarkEnd w:id="13"/>
      <w:r>
        <w:lastRenderedPageBreak/>
        <w:t xml:space="preserve">10. </w:t>
      </w:r>
      <w:r>
        <w:tab/>
        <w:t xml:space="preserve">Battelino T, Lalic N, Hussain S, et al (2025) The use of continuous glucose monitoring in people living with obesity, intermediate hyperglycemia or type 2 diabetes. Diabetes Research and Clinical Practice 223:112111. </w:t>
      </w:r>
      <w:hyperlink r:id="rId19">
        <w:r>
          <w:rPr>
            <w:rStyle w:val="Hyperlink"/>
          </w:rPr>
          <w:t>https://doi.org/10.1016/j.diabres.2025.112111</w:t>
        </w:r>
      </w:hyperlink>
    </w:p>
    <w:p w14:paraId="284170F6" w14:textId="77777777" w:rsidR="00DB6709" w:rsidRDefault="00000000" w:rsidP="00260975">
      <w:pPr>
        <w:pStyle w:val="Bibliografi"/>
        <w:spacing w:line="276" w:lineRule="auto"/>
      </w:pPr>
      <w:bookmarkStart w:id="15" w:name="ref-zahalka2024"/>
      <w:bookmarkEnd w:id="14"/>
      <w:r>
        <w:t xml:space="preserve">11. </w:t>
      </w:r>
      <w:r>
        <w:tab/>
        <w:t xml:space="preserve">Zahalka SJ, Galindo RJ, Shah VN, Low Wang CC (2024) Continuous Glucose Monitoring for Prediabetes: What Are the Best Metrics? Journal of Diabetes Science and Technology 18(4):835–846. </w:t>
      </w:r>
      <w:hyperlink r:id="rId20">
        <w:r>
          <w:rPr>
            <w:rStyle w:val="Hyperlink"/>
          </w:rPr>
          <w:t>https://doi.org/10.1177/19322968241242487</w:t>
        </w:r>
      </w:hyperlink>
    </w:p>
    <w:p w14:paraId="71975B4A" w14:textId="77777777" w:rsidR="00DB6709" w:rsidRDefault="00000000" w:rsidP="00260975">
      <w:pPr>
        <w:pStyle w:val="Bibliografi"/>
        <w:spacing w:line="276" w:lineRule="auto"/>
      </w:pPr>
      <w:bookmarkStart w:id="16" w:name="ref-lutsker2026"/>
      <w:bookmarkEnd w:id="15"/>
      <w:r>
        <w:t xml:space="preserve">12. </w:t>
      </w:r>
      <w:r>
        <w:tab/>
        <w:t xml:space="preserve">Lutsker G, Sapir G, Shilo S, et al (2026) A foundation model for continuous glucose monitoring data. Nature 650(8103):978–986. </w:t>
      </w:r>
      <w:hyperlink r:id="rId21">
        <w:r>
          <w:rPr>
            <w:rStyle w:val="Hyperlink"/>
          </w:rPr>
          <w:t>https://doi.org/10.1038/s41586-025-09925-9</w:t>
        </w:r>
      </w:hyperlink>
    </w:p>
    <w:p w14:paraId="5696227D" w14:textId="77777777" w:rsidR="00DB6709" w:rsidRDefault="00000000" w:rsidP="00260975">
      <w:pPr>
        <w:pStyle w:val="Bibliografi"/>
        <w:spacing w:line="276" w:lineRule="auto"/>
      </w:pPr>
      <w:bookmarkStart w:id="17" w:name="ref-insulin"/>
      <w:bookmarkEnd w:id="16"/>
      <w:r>
        <w:t xml:space="preserve">13. </w:t>
      </w:r>
      <w:r>
        <w:tab/>
      </w:r>
      <w:hyperlink r:id="rId22">
        <w:r>
          <w:rPr>
            <w:rStyle w:val="Hyperlink"/>
          </w:rPr>
          <w:t>Insulin resistance prediction from wearables and routine blood biomarkers | nature</w:t>
        </w:r>
      </w:hyperlink>
    </w:p>
    <w:p w14:paraId="58B5F1F2" w14:textId="77777777" w:rsidR="00DB6709" w:rsidRDefault="00000000" w:rsidP="00260975">
      <w:pPr>
        <w:pStyle w:val="Bibliografi"/>
        <w:spacing w:line="276" w:lineRule="auto"/>
      </w:pPr>
      <w:bookmarkStart w:id="18" w:name="ref-hunot2016"/>
      <w:bookmarkEnd w:id="17"/>
      <w:r>
        <w:t xml:space="preserve">14. </w:t>
      </w:r>
      <w:r>
        <w:tab/>
        <w:t xml:space="preserve">Hunot C, Fildes A, Croker H, Llewellyn CH, Wardle J, Beeken RJ (2016) Appetitive traits and relationships with BMI in adults: Development of the adult eating behaviour questionnaire. Appetite 105:356–363. </w:t>
      </w:r>
      <w:hyperlink r:id="rId23">
        <w:r>
          <w:rPr>
            <w:rStyle w:val="Hyperlink"/>
          </w:rPr>
          <w:t>https://doi.org/10.1016/j.appet.2016.05.024</w:t>
        </w:r>
      </w:hyperlink>
      <w:bookmarkEnd w:id="0"/>
      <w:bookmarkEnd w:id="3"/>
      <w:bookmarkEnd w:id="5"/>
      <w:bookmarkEnd w:id="18"/>
    </w:p>
    <w:sectPr w:rsidR="00DB6709" w:rsidSect="007749D4">
      <w:footnotePr>
        <w:numRestart w:val="eachSect"/>
      </w:footnotePr>
      <w:pgSz w:w="12240" w:h="15840"/>
      <w:pgMar w:top="1701" w:right="1134" w:bottom="1701" w:left="1134"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A2F7A6" w14:textId="77777777" w:rsidR="00352BC7" w:rsidRDefault="00352BC7" w:rsidP="007749D4">
      <w:pPr>
        <w:spacing w:after="0"/>
      </w:pPr>
      <w:r>
        <w:separator/>
      </w:r>
    </w:p>
  </w:endnote>
  <w:endnote w:type="continuationSeparator" w:id="0">
    <w:p w14:paraId="6BE7F920" w14:textId="77777777" w:rsidR="00352BC7" w:rsidRDefault="00352BC7" w:rsidP="007749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2FCB2E" w14:textId="77777777" w:rsidR="00352BC7" w:rsidRDefault="00352BC7" w:rsidP="007749D4">
      <w:pPr>
        <w:spacing w:after="0"/>
      </w:pPr>
      <w:r>
        <w:separator/>
      </w:r>
    </w:p>
  </w:footnote>
  <w:footnote w:type="continuationSeparator" w:id="0">
    <w:p w14:paraId="029A98F1" w14:textId="77777777" w:rsidR="00352BC7" w:rsidRDefault="00352BC7" w:rsidP="007749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C4E9CA" w14:textId="08D64C1C" w:rsidR="007749D4" w:rsidRPr="007749D4" w:rsidRDefault="007749D4">
    <w:pPr>
      <w:pStyle w:val="Sidehoved"/>
      <w:rPr>
        <w:lang w:val="da-DK"/>
      </w:rPr>
    </w:pPr>
    <w:r>
      <w:rPr>
        <w:lang w:val="da-DK"/>
      </w:rPr>
      <w:t>Mikkel Errboe Steentoft</w:t>
    </w:r>
    <w:r>
      <w:rPr>
        <w:lang w:val="da-DK"/>
      </w:rPr>
      <w:tab/>
    </w:r>
    <w:r>
      <w:rPr>
        <w:lang w:val="da-DK"/>
      </w:rPr>
      <w:tab/>
      <w:t>04-08-2026</w:t>
    </w:r>
    <w:r>
      <w:rPr>
        <w:lang w:val="da-DK"/>
      </w:rPr>
      <w:br/>
      <w:t>Research Assistant</w:t>
    </w:r>
    <w:r>
      <w:rPr>
        <w:lang w:val="da-DK"/>
      </w:rPr>
      <w:tab/>
      <w:t>Application for DDEA PhD funding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1A707A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76864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341618735">
    <w:abstractNumId w:val="0"/>
  </w:num>
  <w:num w:numId="2" w16cid:durableId="1984043065">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B6709"/>
    <w:rsid w:val="00260975"/>
    <w:rsid w:val="00352BC7"/>
    <w:rsid w:val="00542B2C"/>
    <w:rsid w:val="006C026B"/>
    <w:rsid w:val="007749D4"/>
    <w:rsid w:val="00DB6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DAB3C"/>
  <w15:docId w15:val="{856C141A-38EA-9945-A66C-2B4352738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Overskrift1">
    <w:name w:val="heading 1"/>
    <w:basedOn w:val="Normal"/>
    <w:next w:val="Brdtekst"/>
    <w:link w:val="Overskrift1Teg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Brdtekst"/>
    <w:link w:val="Overskrift2Tegn"/>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Brdtekst"/>
    <w:link w:val="Overskrift3Teg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Brdtekst"/>
    <w:link w:val="Overskrift4Teg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Brdtekst"/>
    <w:link w:val="Overskrift5Teg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Brdtekst"/>
    <w:link w:val="Overskrift6Teg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Brdtekst"/>
    <w:link w:val="Overskrift7Teg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Brdtekst"/>
    <w:link w:val="Overskrift8Teg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Brdtekst"/>
    <w:link w:val="Overskrift9Teg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Brdtekst">
    <w:name w:val="Body Text"/>
    <w:basedOn w:val="Normal"/>
    <w:qFormat/>
    <w:pPr>
      <w:spacing w:before="180" w:after="180"/>
    </w:pPr>
  </w:style>
  <w:style w:type="paragraph" w:customStyle="1" w:styleId="FirstParagraph">
    <w:name w:val="First Paragraph"/>
    <w:basedOn w:val="Brdtekst"/>
    <w:next w:val="Brdtekst"/>
    <w:qFormat/>
  </w:style>
  <w:style w:type="paragraph" w:customStyle="1" w:styleId="Compact">
    <w:name w:val="Compact"/>
    <w:basedOn w:val="Brdtekst"/>
    <w:qFormat/>
    <w:pPr>
      <w:spacing w:before="36" w:after="36"/>
    </w:pPr>
  </w:style>
  <w:style w:type="paragraph" w:styleId="Titel">
    <w:name w:val="Title"/>
    <w:basedOn w:val="Normal"/>
    <w:next w:val="Brdtekst"/>
    <w:link w:val="TitelTeg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Tegn">
    <w:name w:val="Titel Tegn"/>
    <w:basedOn w:val="Standardskrifttypeiafsnit"/>
    <w:link w:val="Titel"/>
    <w:uiPriority w:val="10"/>
    <w:rsid w:val="00A10FD9"/>
    <w:rPr>
      <w:rFonts w:asciiTheme="majorHAnsi" w:eastAsiaTheme="majorEastAsia" w:hAnsiTheme="majorHAnsi" w:cstheme="majorBidi"/>
      <w:sz w:val="56"/>
      <w:szCs w:val="56"/>
    </w:rPr>
  </w:style>
  <w:style w:type="paragraph" w:styleId="Undertitel">
    <w:name w:val="Subtitle"/>
    <w:basedOn w:val="Titel"/>
    <w:next w:val="Brdtekst"/>
    <w:link w:val="UndertitelTegn"/>
    <w:uiPriority w:val="11"/>
    <w:qFormat/>
    <w:rsid w:val="00A10FD9"/>
    <w:pPr>
      <w:numPr>
        <w:ilvl w:val="1"/>
      </w:numPr>
    </w:pPr>
    <w:rPr>
      <w:spacing w:val="15"/>
      <w:sz w:val="28"/>
      <w:szCs w:val="28"/>
    </w:rPr>
  </w:style>
  <w:style w:type="character" w:customStyle="1" w:styleId="UndertitelTegn">
    <w:name w:val="Undertitel Tegn"/>
    <w:basedOn w:val="Standardskrifttypeiafsnit"/>
    <w:link w:val="Und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Brdtekst"/>
    <w:qFormat/>
    <w:pPr>
      <w:keepNext/>
      <w:keepLines/>
    </w:pPr>
    <w:rPr>
      <w:sz w:val="24"/>
      <w:szCs w:val="24"/>
    </w:rPr>
  </w:style>
  <w:style w:type="paragraph" w:styleId="Dato">
    <w:name w:val="Date"/>
    <w:basedOn w:val="Titel"/>
    <w:next w:val="Brdteks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rdtekst"/>
    <w:qFormat/>
    <w:pPr>
      <w:keepNext/>
      <w:keepLines/>
      <w:spacing w:before="100" w:after="300"/>
    </w:pPr>
    <w:rPr>
      <w:sz w:val="20"/>
      <w:szCs w:val="20"/>
    </w:rPr>
  </w:style>
  <w:style w:type="paragraph" w:styleId="Bibliografi">
    <w:name w:val="Bibliography"/>
    <w:basedOn w:val="Normal"/>
    <w:qFormat/>
  </w:style>
  <w:style w:type="character" w:customStyle="1" w:styleId="Overskrift1Tegn">
    <w:name w:val="Overskrift 1 Tegn"/>
    <w:basedOn w:val="Standardskrifttypeiafsnit"/>
    <w:link w:val="Overskrift1"/>
    <w:uiPriority w:val="9"/>
    <w:rsid w:val="00A10FD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rsid w:val="00A10FD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A10FD9"/>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A10FD9"/>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A10FD9"/>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A10FD9"/>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A10FD9"/>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A10FD9"/>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A10FD9"/>
    <w:rPr>
      <w:rFonts w:eastAsiaTheme="majorEastAsia" w:cstheme="majorBidi"/>
      <w:color w:val="272727" w:themeColor="text1" w:themeTint="D8"/>
    </w:rPr>
  </w:style>
  <w:style w:type="paragraph" w:styleId="Bloktekst">
    <w:name w:val="Block Text"/>
    <w:basedOn w:val="Brdtekst"/>
    <w:next w:val="Brdtekst"/>
    <w:uiPriority w:val="9"/>
    <w:unhideWhenUsed/>
    <w:qFormat/>
    <w:pPr>
      <w:spacing w:before="100" w:after="100"/>
      <w:ind w:left="480" w:right="480"/>
    </w:pPr>
  </w:style>
  <w:style w:type="paragraph" w:styleId="Fodnotetekst">
    <w:name w:val="footnote text"/>
    <w:basedOn w:val="Normal"/>
    <w:uiPriority w:val="9"/>
    <w:unhideWhenUsed/>
    <w:qFormat/>
  </w:style>
  <w:style w:type="paragraph" w:customStyle="1" w:styleId="FootnoteBlockText">
    <w:name w:val="Footnote Block Text"/>
    <w:basedOn w:val="Fodnotetekst"/>
    <w:next w:val="Fodnoteteks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Billedtekst">
    <w:name w:val="caption"/>
    <w:basedOn w:val="Normal"/>
    <w:link w:val="BilledtekstTegn"/>
    <w:pPr>
      <w:spacing w:after="120"/>
    </w:pPr>
    <w:rPr>
      <w:i/>
    </w:rPr>
  </w:style>
  <w:style w:type="paragraph" w:customStyle="1" w:styleId="TableCaption">
    <w:name w:val="Table Caption"/>
    <w:basedOn w:val="Billedtekst"/>
    <w:pPr>
      <w:keepNext/>
    </w:pPr>
  </w:style>
  <w:style w:type="paragraph" w:customStyle="1" w:styleId="ImageCaption">
    <w:name w:val="Image Caption"/>
    <w:basedOn w:val="Billedtekst"/>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illedtekstTegn">
    <w:name w:val="Billedtekst Tegn"/>
    <w:basedOn w:val="Standardskrifttypeiafsnit"/>
    <w:link w:val="Billedtekst"/>
  </w:style>
  <w:style w:type="character" w:customStyle="1" w:styleId="VerbatimChar">
    <w:name w:val="Verbatim Char"/>
    <w:basedOn w:val="BilledtekstTegn"/>
    <w:link w:val="SourceCode"/>
    <w:rPr>
      <w:rFonts w:ascii="Consolas" w:hAnsi="Consolas"/>
      <w:sz w:val="22"/>
    </w:rPr>
  </w:style>
  <w:style w:type="character" w:customStyle="1" w:styleId="SectionNumber">
    <w:name w:val="Section Number"/>
    <w:basedOn w:val="BilledtekstTegn"/>
  </w:style>
  <w:style w:type="character" w:styleId="Fodnotehenvisning">
    <w:name w:val="footnote reference"/>
    <w:basedOn w:val="BilledtekstTegn"/>
    <w:rPr>
      <w:vertAlign w:val="superscript"/>
    </w:rPr>
  </w:style>
  <w:style w:type="character" w:styleId="Hyperlink">
    <w:name w:val="Hyperlink"/>
    <w:basedOn w:val="BilledtekstTegn"/>
    <w:rPr>
      <w:color w:val="156082" w:themeColor="accent1"/>
    </w:rPr>
  </w:style>
  <w:style w:type="paragraph" w:styleId="Overskrift">
    <w:name w:val="TOC Heading"/>
    <w:basedOn w:val="Overskrift1"/>
    <w:next w:val="Brdteks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Sidehoved">
    <w:name w:val="header"/>
    <w:basedOn w:val="Normal"/>
    <w:link w:val="SidehovedTegn"/>
    <w:rsid w:val="007749D4"/>
    <w:pPr>
      <w:tabs>
        <w:tab w:val="center" w:pos="4819"/>
        <w:tab w:val="right" w:pos="9638"/>
      </w:tabs>
      <w:spacing w:after="0"/>
    </w:pPr>
  </w:style>
  <w:style w:type="character" w:customStyle="1" w:styleId="SidehovedTegn">
    <w:name w:val="Sidehoved Tegn"/>
    <w:basedOn w:val="Standardskrifttypeiafsnit"/>
    <w:link w:val="Sidehoved"/>
    <w:rsid w:val="007749D4"/>
  </w:style>
  <w:style w:type="paragraph" w:styleId="Sidefod">
    <w:name w:val="footer"/>
    <w:basedOn w:val="Normal"/>
    <w:link w:val="SidefodTegn"/>
    <w:rsid w:val="007749D4"/>
    <w:pPr>
      <w:tabs>
        <w:tab w:val="center" w:pos="4819"/>
        <w:tab w:val="right" w:pos="9638"/>
      </w:tabs>
      <w:spacing w:after="0"/>
    </w:pPr>
  </w:style>
  <w:style w:type="character" w:customStyle="1" w:styleId="SidefodTegn">
    <w:name w:val="Sidefod Tegn"/>
    <w:basedOn w:val="Standardskrifttypeiafsnit"/>
    <w:link w:val="Sidefod"/>
    <w:rsid w:val="007749D4"/>
  </w:style>
  <w:style w:type="table" w:styleId="Tabel-Gitter">
    <w:name w:val="Table Grid"/>
    <w:basedOn w:val="Tabel-Normal"/>
    <w:rsid w:val="007749D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BesgtLink">
    <w:name w:val="FollowedHyperlink"/>
    <w:basedOn w:val="Standardskrifttypeiafsnit"/>
    <w:rsid w:val="007749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p-next.github.io/wp3.html" TargetMode="External"/><Relationship Id="rId13" Type="http://schemas.openxmlformats.org/officeDocument/2006/relationships/hyperlink" Target="https://doi.org/10.2337/dc25-S002" TargetMode="External"/><Relationship Id="rId18" Type="http://schemas.openxmlformats.org/officeDocument/2006/relationships/hyperlink" Target="https://doi.org/10.1210/clinem/dgaf163" TargetMode="External"/><Relationship Id="rId3" Type="http://schemas.openxmlformats.org/officeDocument/2006/relationships/settings" Target="settings.xml"/><Relationship Id="rId21" Type="http://schemas.openxmlformats.org/officeDocument/2006/relationships/hyperlink" Target="https://doi.org/10.1038/s41586-025-09925-9" TargetMode="External"/><Relationship Id="rId7" Type="http://schemas.openxmlformats.org/officeDocument/2006/relationships/header" Target="header1.xml"/><Relationship Id="rId12" Type="http://schemas.openxmlformats.org/officeDocument/2006/relationships/hyperlink" Target="https://doi.org/10.1016/j.diabres.2021.109119" TargetMode="External"/><Relationship Id="rId17" Type="http://schemas.openxmlformats.org/officeDocument/2006/relationships/hyperlink" Target="https://doi.org/10.1038/s41591-020-1116-9"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07/s00125-023-05890-y" TargetMode="External"/><Relationship Id="rId20" Type="http://schemas.openxmlformats.org/officeDocument/2006/relationships/hyperlink" Target="https://doi.org/10.1177/1932296824124248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2337/dc17-2530"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2337/dci25-0054" TargetMode="External"/><Relationship Id="rId23" Type="http://schemas.openxmlformats.org/officeDocument/2006/relationships/hyperlink" Target="https://doi.org/10.1016/j.appet.2016.05.024" TargetMode="External"/><Relationship Id="rId10" Type="http://schemas.openxmlformats.org/officeDocument/2006/relationships/hyperlink" Target="https://doi.org/10.1016/S0140-6736(12)60283-9" TargetMode="External"/><Relationship Id="rId19" Type="http://schemas.openxmlformats.org/officeDocument/2006/relationships/hyperlink" Target="https://doi.org/10.1016/j.diabres.2025.112111" TargetMode="External"/><Relationship Id="rId4" Type="http://schemas.openxmlformats.org/officeDocument/2006/relationships/webSettings" Target="webSettings.xml"/><Relationship Id="rId9" Type="http://schemas.openxmlformats.org/officeDocument/2006/relationships/hyperlink" Target="https://www.demaastrichtstudie.nl/research" TargetMode="External"/><Relationship Id="rId14" Type="http://schemas.openxmlformats.org/officeDocument/2006/relationships/hyperlink" Target="https://doi.org/10.2337/dc09-9033" TargetMode="External"/><Relationship Id="rId22" Type="http://schemas.openxmlformats.org/officeDocument/2006/relationships/hyperlink" Target="https://www.nature.com/articles/s41586-026-10179-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1418</Words>
  <Characters>8652</Characters>
  <Application>Microsoft Office Word</Application>
  <DocSecurity>0</DocSecurity>
  <Lines>72</Lines>
  <Paragraphs>20</Paragraphs>
  <ScaleCrop>false</ScaleCrop>
  <HeadingPairs>
    <vt:vector size="2" baseType="variant">
      <vt:variant>
        <vt:lpstr>Titel</vt:lpstr>
      </vt:variant>
      <vt:variant>
        <vt:i4>1</vt:i4>
      </vt:variant>
    </vt:vector>
  </HeadingPairs>
  <TitlesOfParts>
    <vt:vector size="1" baseType="lpstr">
      <vt:lpstr>Protocol</vt:lpstr>
    </vt:vector>
  </TitlesOfParts>
  <Company/>
  <LinksUpToDate>false</LinksUpToDate>
  <CharactersWithSpaces>10050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dc:title>
  <dc:creator>Mikkel Errboe Steentoft</dc:creator>
  <cp:keywords/>
  <cp:lastModifiedBy>Mikkel Errboe Steentoft</cp:lastModifiedBy>
  <cp:revision>2</cp:revision>
  <dcterms:created xsi:type="dcterms:W3CDTF">2026-08-04T07:35:00Z</dcterms:created>
  <dcterms:modified xsi:type="dcterms:W3CDTF">2026-08-04T08:16:00Z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https://zotero.org/styles/diabetologia</vt:lpwstr>
  </property>
  <property fmtid="{D5CDD505-2E9C-101B-9397-08002B2CF9AE}" pid="7" name="editor">
    <vt:lpwstr>visual</vt:lpwstr>
  </property>
  <property fmtid="{D5CDD505-2E9C-101B-9397-08002B2CF9AE}" pid="8" name="engines">
    <vt:lpwstr/>
  </property>
  <property fmtid="{D5CDD505-2E9C-101B-9397-08002B2CF9AE}" pid="9" name="fontsize">
    <vt:lpwstr>12pt</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mainfont">
    <vt:lpwstr>Times New Roman</vt:lpwstr>
  </property>
  <property fmtid="{D5CDD505-2E9C-101B-9397-08002B2CF9AE}" pid="15" name="toc-title">
    <vt:lpwstr>Table of contents</vt:lpwstr>
  </property>
</Properties>
</file>