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A7" w:rsidRPr="00163535" w:rsidRDefault="000041A7" w:rsidP="000041A7">
      <w:pPr>
        <w:pStyle w:val="Nagwek1"/>
        <w:jc w:val="center"/>
        <w:rPr>
          <w:sz w:val="44"/>
        </w:rPr>
      </w:pPr>
      <w:r w:rsidRPr="00163535">
        <w:rPr>
          <w:sz w:val="44"/>
        </w:rPr>
        <w:t>Sprawozdanie</w:t>
      </w:r>
      <w:r>
        <w:rPr>
          <w:sz w:val="44"/>
        </w:rPr>
        <w:t xml:space="preserve"> nr 2</w:t>
      </w:r>
    </w:p>
    <w:p w:rsidR="000041A7" w:rsidRDefault="000041A7" w:rsidP="000041A7">
      <w:pPr>
        <w:pStyle w:val="Nagwek4"/>
        <w:spacing w:before="0"/>
        <w:jc w:val="center"/>
        <w:rPr>
          <w:sz w:val="28"/>
        </w:rPr>
      </w:pPr>
      <w:r>
        <w:rPr>
          <w:sz w:val="28"/>
        </w:rPr>
        <w:t>Analiza sekwencji i struktury drugorzędowej białek</w:t>
      </w:r>
    </w:p>
    <w:p w:rsidR="000041A7" w:rsidRDefault="000041A7" w:rsidP="000041A7">
      <w:pPr>
        <w:pStyle w:val="Podtytu"/>
        <w:jc w:val="center"/>
      </w:pPr>
      <w:r>
        <w:t xml:space="preserve">Małgorzata Stęperska 151546, Adam </w:t>
      </w:r>
      <w:proofErr w:type="spellStart"/>
      <w:r>
        <w:t>Dachtera</w:t>
      </w:r>
      <w:proofErr w:type="spellEnd"/>
      <w:r>
        <w:t xml:space="preserve"> 147890</w:t>
      </w:r>
    </w:p>
    <w:p w:rsidR="006364DC" w:rsidRPr="006364DC" w:rsidRDefault="006364DC" w:rsidP="006364DC">
      <w:r>
        <w:t xml:space="preserve">Legenda: </w:t>
      </w:r>
      <w:r w:rsidRPr="006364DC">
        <w:rPr>
          <w:color w:val="FF0000"/>
        </w:rPr>
        <w:t>do uzupełnienia</w:t>
      </w:r>
      <w:r>
        <w:t xml:space="preserve">, </w:t>
      </w:r>
      <w:r w:rsidRPr="006364DC">
        <w:rPr>
          <w:color w:val="FF66CC"/>
        </w:rPr>
        <w:t>nie jestem pewna</w:t>
      </w:r>
    </w:p>
    <w:p w:rsidR="000041A7" w:rsidRPr="000041A7" w:rsidRDefault="000041A7" w:rsidP="00EF3020">
      <w:pPr>
        <w:ind w:left="426" w:hanging="142"/>
        <w:rPr>
          <w:i/>
          <w:color w:val="FF0000"/>
          <w:sz w:val="28"/>
        </w:rPr>
      </w:pPr>
      <w:r w:rsidRPr="000041A7">
        <w:rPr>
          <w:sz w:val="28"/>
        </w:rPr>
        <w:t xml:space="preserve">II. Algorytm </w:t>
      </w:r>
      <w:r w:rsidRPr="000041A7">
        <w:rPr>
          <w:i/>
          <w:color w:val="FF0000"/>
          <w:sz w:val="28"/>
        </w:rPr>
        <w:t>wpisać algorytm</w:t>
      </w:r>
      <w:r w:rsidR="00EF3020">
        <w:rPr>
          <w:i/>
          <w:color w:val="FF0000"/>
          <w:sz w:val="28"/>
        </w:rPr>
        <w:br/>
      </w:r>
      <w:r w:rsidRPr="000041A7">
        <w:rPr>
          <w:i/>
          <w:color w:val="FF0000"/>
          <w:sz w:val="28"/>
        </w:rPr>
        <w:t>Wkleić link</w:t>
      </w:r>
    </w:p>
    <w:p w:rsidR="000041A7" w:rsidRDefault="000041A7" w:rsidP="000041A7">
      <w:pPr>
        <w:pStyle w:val="Akapitzlist"/>
        <w:numPr>
          <w:ilvl w:val="0"/>
          <w:numId w:val="1"/>
        </w:numPr>
        <w:ind w:left="567" w:hanging="283"/>
        <w:rPr>
          <w:sz w:val="28"/>
        </w:rPr>
      </w:pPr>
      <w:r w:rsidRPr="000041A7">
        <w:rPr>
          <w:sz w:val="28"/>
        </w:rPr>
        <w:t>BLAST</w:t>
      </w:r>
    </w:p>
    <w:p w:rsidR="000041A7" w:rsidRDefault="000041A7" w:rsidP="000041A7">
      <w:pPr>
        <w:pStyle w:val="Akapitzlist"/>
        <w:ind w:left="567"/>
        <w:rPr>
          <w:rFonts w:cstheme="minorHAnsi"/>
          <w:sz w:val="24"/>
        </w:rPr>
      </w:pPr>
      <w:r>
        <w:rPr>
          <w:sz w:val="28"/>
        </w:rPr>
        <w:t>W miejscu wyszukiwania wpisaliśmy „</w:t>
      </w:r>
      <w:proofErr w:type="spellStart"/>
      <w:r>
        <w:rPr>
          <w:sz w:val="28"/>
        </w:rPr>
        <w:t>myoglobin</w:t>
      </w:r>
      <w:proofErr w:type="spellEnd"/>
      <w:r>
        <w:rPr>
          <w:sz w:val="28"/>
        </w:rPr>
        <w:t>”, dzięki czemu znaleźliś</w:t>
      </w:r>
      <w:r w:rsidR="00B92104">
        <w:rPr>
          <w:sz w:val="28"/>
        </w:rPr>
        <w:t>my strukturę</w:t>
      </w:r>
      <w:r>
        <w:rPr>
          <w:sz w:val="28"/>
        </w:rPr>
        <w:t xml:space="preserve"> 1MCY </w:t>
      </w:r>
      <w:r w:rsidRPr="000041A7">
        <w:rPr>
          <w:sz w:val="24"/>
        </w:rPr>
        <w:t xml:space="preserve">(sperm </w:t>
      </w:r>
      <w:proofErr w:type="spellStart"/>
      <w:r w:rsidRPr="000041A7">
        <w:rPr>
          <w:sz w:val="24"/>
        </w:rPr>
        <w:t>whale</w:t>
      </w:r>
      <w:proofErr w:type="spellEnd"/>
      <w:r w:rsidRPr="000041A7">
        <w:rPr>
          <w:sz w:val="24"/>
        </w:rPr>
        <w:t xml:space="preserve"> </w:t>
      </w:r>
      <w:proofErr w:type="spellStart"/>
      <w:r w:rsidRPr="000041A7">
        <w:rPr>
          <w:rFonts w:cstheme="minorHAnsi"/>
          <w:sz w:val="24"/>
        </w:rPr>
        <w:t>myoglobin</w:t>
      </w:r>
      <w:proofErr w:type="spellEnd"/>
      <w:r w:rsidRPr="000041A7">
        <w:rPr>
          <w:rFonts w:cstheme="minorHAnsi"/>
          <w:sz w:val="24"/>
        </w:rPr>
        <w:t xml:space="preserve"> (mutant </w:t>
      </w:r>
      <w:proofErr w:type="spellStart"/>
      <w:r w:rsidRPr="000041A7">
        <w:rPr>
          <w:rFonts w:cstheme="minorHAnsi"/>
          <w:sz w:val="24"/>
        </w:rPr>
        <w:t>with</w:t>
      </w:r>
      <w:proofErr w:type="spellEnd"/>
      <w:r w:rsidRPr="000041A7">
        <w:rPr>
          <w:rFonts w:cstheme="minorHAnsi"/>
          <w:sz w:val="24"/>
        </w:rPr>
        <w:t xml:space="preserve"> </w:t>
      </w:r>
      <w:proofErr w:type="spellStart"/>
      <w:r w:rsidRPr="000041A7">
        <w:rPr>
          <w:rFonts w:cstheme="minorHAnsi"/>
          <w:sz w:val="24"/>
        </w:rPr>
        <w:t>initiator</w:t>
      </w:r>
      <w:proofErr w:type="spellEnd"/>
      <w:r w:rsidRPr="000041A7">
        <w:rPr>
          <w:rFonts w:cstheme="minorHAnsi"/>
          <w:sz w:val="24"/>
        </w:rPr>
        <w:t xml:space="preserve"> met and </w:t>
      </w:r>
      <w:proofErr w:type="spellStart"/>
      <w:r w:rsidRPr="000041A7">
        <w:rPr>
          <w:rFonts w:cstheme="minorHAnsi"/>
          <w:sz w:val="24"/>
        </w:rPr>
        <w:t>with</w:t>
      </w:r>
      <w:proofErr w:type="spellEnd"/>
      <w:r w:rsidRPr="000041A7">
        <w:rPr>
          <w:rFonts w:cstheme="minorHAnsi"/>
          <w:sz w:val="24"/>
        </w:rPr>
        <w:t xml:space="preserve"> his 64 </w:t>
      </w:r>
      <w:proofErr w:type="spellStart"/>
      <w:r w:rsidRPr="000041A7">
        <w:rPr>
          <w:rFonts w:cstheme="minorHAnsi"/>
          <w:sz w:val="24"/>
        </w:rPr>
        <w:t>replaced</w:t>
      </w:r>
      <w:proofErr w:type="spellEnd"/>
      <w:r w:rsidRPr="000041A7">
        <w:rPr>
          <w:rFonts w:cstheme="minorHAnsi"/>
          <w:sz w:val="24"/>
        </w:rPr>
        <w:t xml:space="preserve"> by </w:t>
      </w:r>
      <w:proofErr w:type="spellStart"/>
      <w:r w:rsidRPr="000041A7">
        <w:rPr>
          <w:rFonts w:cstheme="minorHAnsi"/>
          <w:sz w:val="24"/>
        </w:rPr>
        <w:t>gln</w:t>
      </w:r>
      <w:proofErr w:type="spellEnd"/>
      <w:r w:rsidRPr="000041A7">
        <w:rPr>
          <w:rFonts w:cstheme="minorHAnsi"/>
          <w:sz w:val="24"/>
        </w:rPr>
        <w:t xml:space="preserve">, </w:t>
      </w:r>
      <w:proofErr w:type="spellStart"/>
      <w:r w:rsidRPr="000041A7">
        <w:rPr>
          <w:rFonts w:cstheme="minorHAnsi"/>
          <w:sz w:val="24"/>
        </w:rPr>
        <w:t>leu</w:t>
      </w:r>
      <w:proofErr w:type="spellEnd"/>
      <w:r w:rsidRPr="000041A7">
        <w:rPr>
          <w:rFonts w:cstheme="minorHAnsi"/>
          <w:sz w:val="24"/>
        </w:rPr>
        <w:t xml:space="preserve"> 29 </w:t>
      </w:r>
      <w:proofErr w:type="spellStart"/>
      <w:r w:rsidRPr="000041A7">
        <w:rPr>
          <w:rFonts w:cstheme="minorHAnsi"/>
          <w:sz w:val="24"/>
        </w:rPr>
        <w:t>replaced</w:t>
      </w:r>
      <w:proofErr w:type="spellEnd"/>
      <w:r w:rsidRPr="000041A7">
        <w:rPr>
          <w:rFonts w:cstheme="minorHAnsi"/>
          <w:sz w:val="24"/>
        </w:rPr>
        <w:t xml:space="preserve"> by </w:t>
      </w:r>
      <w:proofErr w:type="spellStart"/>
      <w:r w:rsidRPr="000041A7">
        <w:rPr>
          <w:rFonts w:cstheme="minorHAnsi"/>
          <w:sz w:val="24"/>
        </w:rPr>
        <w:t>phe</w:t>
      </w:r>
      <w:proofErr w:type="spellEnd"/>
      <w:r w:rsidRPr="000041A7">
        <w:rPr>
          <w:rFonts w:cstheme="minorHAnsi"/>
          <w:sz w:val="24"/>
        </w:rPr>
        <w:t>))</w:t>
      </w:r>
      <w:r>
        <w:rPr>
          <w:rFonts w:cstheme="minorHAnsi"/>
          <w:sz w:val="24"/>
        </w:rPr>
        <w:t>.</w:t>
      </w:r>
    </w:p>
    <w:p w:rsidR="000041A7" w:rsidRDefault="000041A7" w:rsidP="000041A7">
      <w:pPr>
        <w:pStyle w:val="Akapitzlist"/>
        <w:ind w:left="567"/>
        <w:rPr>
          <w:sz w:val="28"/>
        </w:rPr>
      </w:pPr>
      <w:r>
        <w:rPr>
          <w:sz w:val="28"/>
        </w:rPr>
        <w:t xml:space="preserve">Następnie </w:t>
      </w:r>
      <w:r w:rsidR="00B92104">
        <w:rPr>
          <w:sz w:val="28"/>
        </w:rPr>
        <w:t xml:space="preserve">przy pomocy narzędzia </w:t>
      </w:r>
      <w:proofErr w:type="spellStart"/>
      <w:r w:rsidR="00B92104">
        <w:rPr>
          <w:sz w:val="28"/>
        </w:rPr>
        <w:t>blastp</w:t>
      </w:r>
      <w:proofErr w:type="spellEnd"/>
      <w:r w:rsidR="00B92104">
        <w:rPr>
          <w:sz w:val="28"/>
        </w:rPr>
        <w:t xml:space="preserve"> wyszukaliśmy sekwencji homologicznych do </w:t>
      </w:r>
      <w:r>
        <w:rPr>
          <w:sz w:val="28"/>
        </w:rPr>
        <w:t>sekwencj</w:t>
      </w:r>
      <w:r w:rsidR="00B92104">
        <w:rPr>
          <w:sz w:val="28"/>
        </w:rPr>
        <w:t>i</w:t>
      </w:r>
      <w:r>
        <w:rPr>
          <w:sz w:val="28"/>
        </w:rPr>
        <w:t xml:space="preserve"> </w:t>
      </w:r>
      <w:r w:rsidR="00B92104">
        <w:rPr>
          <w:sz w:val="28"/>
        </w:rPr>
        <w:t>z pliku .</w:t>
      </w:r>
      <w:proofErr w:type="spellStart"/>
      <w:r w:rsidR="00B92104">
        <w:rPr>
          <w:sz w:val="28"/>
        </w:rPr>
        <w:t>fasta</w:t>
      </w:r>
      <w:proofErr w:type="spellEnd"/>
      <w:r w:rsidR="00B92104">
        <w:rPr>
          <w:sz w:val="28"/>
        </w:rPr>
        <w:t xml:space="preserve"> dla struktury 1MCY pobranego z bazy PDB.</w:t>
      </w:r>
    </w:p>
    <w:p w:rsidR="00B92104" w:rsidRPr="00B92104" w:rsidRDefault="00B92104" w:rsidP="000041A7">
      <w:pPr>
        <w:pStyle w:val="Akapitzlist"/>
        <w:ind w:left="567"/>
        <w:rPr>
          <w:b/>
          <w:sz w:val="28"/>
        </w:rPr>
      </w:pPr>
      <w:r w:rsidRPr="00B92104">
        <w:rPr>
          <w:b/>
          <w:sz w:val="28"/>
        </w:rPr>
        <w:t>Wyniki</w:t>
      </w:r>
      <w:r w:rsidR="00A12B6F">
        <w:rPr>
          <w:b/>
          <w:sz w:val="28"/>
        </w:rPr>
        <w:t xml:space="preserve"> i ich interpretacja</w:t>
      </w:r>
    </w:p>
    <w:p w:rsidR="00B92104" w:rsidRDefault="00EF3020" w:rsidP="000041A7">
      <w:pPr>
        <w:pStyle w:val="Akapitzlist"/>
        <w:ind w:left="567"/>
        <w:rPr>
          <w:sz w:val="28"/>
        </w:rPr>
      </w:pPr>
      <w:r>
        <w:rPr>
          <w:noProof/>
          <w:sz w:val="28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110490</wp:posOffset>
            </wp:positionH>
            <wp:positionV relativeFrom="margin">
              <wp:posOffset>4445635</wp:posOffset>
            </wp:positionV>
            <wp:extent cx="5762625" cy="1610360"/>
            <wp:effectExtent l="19050" t="0" r="952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3020" w:rsidRDefault="00EF3020" w:rsidP="00EF3020">
      <w:pPr>
        <w:pStyle w:val="Akapitzlist"/>
        <w:tabs>
          <w:tab w:val="left" w:pos="142"/>
        </w:tabs>
        <w:ind w:left="567"/>
        <w:rPr>
          <w:sz w:val="28"/>
        </w:rPr>
      </w:pPr>
      <w:r>
        <w:rPr>
          <w:noProof/>
          <w:sz w:val="28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110490</wp:posOffset>
            </wp:positionH>
            <wp:positionV relativeFrom="margin">
              <wp:posOffset>6443980</wp:posOffset>
            </wp:positionV>
            <wp:extent cx="5760085" cy="1659890"/>
            <wp:effectExtent l="1905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3020" w:rsidRDefault="00EF3020" w:rsidP="000041A7">
      <w:pPr>
        <w:pStyle w:val="Akapitzlist"/>
        <w:ind w:left="567"/>
        <w:rPr>
          <w:sz w:val="28"/>
        </w:rPr>
      </w:pPr>
    </w:p>
    <w:p w:rsidR="00EF3020" w:rsidRDefault="00EF3020" w:rsidP="000041A7">
      <w:pPr>
        <w:pStyle w:val="Akapitzlist"/>
        <w:ind w:left="567"/>
        <w:rPr>
          <w:sz w:val="28"/>
        </w:rPr>
      </w:pPr>
    </w:p>
    <w:p w:rsidR="00EF3020" w:rsidRDefault="00EF3020" w:rsidP="000041A7">
      <w:pPr>
        <w:pStyle w:val="Akapitzlist"/>
        <w:ind w:left="567"/>
        <w:rPr>
          <w:sz w:val="28"/>
        </w:rPr>
      </w:pPr>
    </w:p>
    <w:p w:rsidR="00EF3020" w:rsidRDefault="00EF3020" w:rsidP="000041A7">
      <w:pPr>
        <w:pStyle w:val="Akapitzlist"/>
        <w:ind w:left="567"/>
        <w:rPr>
          <w:sz w:val="28"/>
        </w:rPr>
      </w:pPr>
    </w:p>
    <w:p w:rsidR="00B92104" w:rsidRDefault="00EF3020" w:rsidP="000041A7">
      <w:pPr>
        <w:pStyle w:val="Akapitzlist"/>
        <w:ind w:left="567"/>
        <w:rPr>
          <w:sz w:val="28"/>
        </w:rPr>
      </w:pPr>
      <w:r>
        <w:rPr>
          <w:noProof/>
          <w:sz w:val="28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111760</wp:posOffset>
            </wp:positionH>
            <wp:positionV relativeFrom="margin">
              <wp:align>top</wp:align>
            </wp:positionV>
            <wp:extent cx="5762625" cy="1708785"/>
            <wp:effectExtent l="19050" t="0" r="952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0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2B6F">
        <w:rPr>
          <w:sz w:val="28"/>
        </w:rPr>
        <w:t xml:space="preserve">Wynikiem działania narzędzia jest </w:t>
      </w:r>
      <w:r w:rsidR="006364DC">
        <w:rPr>
          <w:sz w:val="28"/>
        </w:rPr>
        <w:t xml:space="preserve">pięć najlepszych dopasowań. Jeśli jest taka możliwość, każde dopasowanie pochodzi z innego organizmu. Rezultaty przedstawione są w postaci drzewa filogenetycznego </w:t>
      </w:r>
      <w:r w:rsidR="006364DC" w:rsidRPr="004E39FC">
        <w:rPr>
          <w:color w:val="FF66CC"/>
          <w:sz w:val="28"/>
        </w:rPr>
        <w:t xml:space="preserve">oraz graficznej (na schemacie po lewej stronie). </w:t>
      </w:r>
      <w:r w:rsidR="006364DC" w:rsidRPr="006364DC">
        <w:rPr>
          <w:color w:val="FF66CC"/>
          <w:sz w:val="28"/>
        </w:rPr>
        <w:t xml:space="preserve">Dodatkowo </w:t>
      </w:r>
      <w:proofErr w:type="spellStart"/>
      <w:r w:rsidR="006364DC" w:rsidRPr="006364DC">
        <w:rPr>
          <w:color w:val="FF66CC"/>
          <w:sz w:val="28"/>
        </w:rPr>
        <w:t>SmartBLAST</w:t>
      </w:r>
      <w:proofErr w:type="spellEnd"/>
      <w:r w:rsidR="006364DC" w:rsidRPr="006364DC">
        <w:rPr>
          <w:color w:val="FF66CC"/>
          <w:sz w:val="28"/>
        </w:rPr>
        <w:t xml:space="preserve"> pokazuje dopasowania z bazy konserwatywnych domen.</w:t>
      </w:r>
      <w:r w:rsidR="006364DC">
        <w:rPr>
          <w:color w:val="FF66CC"/>
          <w:sz w:val="28"/>
        </w:rPr>
        <w:t xml:space="preserve"> </w:t>
      </w:r>
      <w:r w:rsidR="004E39FC" w:rsidRPr="004E39FC">
        <w:rPr>
          <w:sz w:val="28"/>
        </w:rPr>
        <w:t>O</w:t>
      </w:r>
      <w:r w:rsidR="004E39FC">
        <w:rPr>
          <w:sz w:val="28"/>
        </w:rPr>
        <w:t>dniesienia</w:t>
      </w:r>
      <w:r w:rsidR="006364DC">
        <w:rPr>
          <w:sz w:val="28"/>
        </w:rPr>
        <w:t xml:space="preserve"> w środkowej części </w:t>
      </w:r>
      <w:r w:rsidR="004E39FC">
        <w:rPr>
          <w:sz w:val="28"/>
        </w:rPr>
        <w:t xml:space="preserve">przenoszą do sekcji </w:t>
      </w:r>
      <w:proofErr w:type="spellStart"/>
      <w:r w:rsidR="004E39FC">
        <w:rPr>
          <w:i/>
          <w:sz w:val="28"/>
        </w:rPr>
        <w:t>alignments</w:t>
      </w:r>
      <w:proofErr w:type="spellEnd"/>
      <w:r w:rsidR="004E39FC">
        <w:rPr>
          <w:i/>
          <w:sz w:val="28"/>
        </w:rPr>
        <w:t>,</w:t>
      </w:r>
      <w:r w:rsidR="004E39FC" w:rsidRPr="004E39FC">
        <w:rPr>
          <w:sz w:val="28"/>
        </w:rPr>
        <w:t xml:space="preserve"> gdzie</w:t>
      </w:r>
      <w:r w:rsidR="004E39FC">
        <w:rPr>
          <w:i/>
          <w:sz w:val="28"/>
        </w:rPr>
        <w:t xml:space="preserve"> </w:t>
      </w:r>
      <w:r w:rsidR="006364DC">
        <w:rPr>
          <w:sz w:val="28"/>
        </w:rPr>
        <w:t xml:space="preserve">możemy uzyskać </w:t>
      </w:r>
      <w:r w:rsidR="004E39FC">
        <w:rPr>
          <w:sz w:val="28"/>
        </w:rPr>
        <w:t xml:space="preserve">informacje </w:t>
      </w:r>
      <w:r w:rsidR="004E39FC" w:rsidRPr="004E39FC">
        <w:rPr>
          <w:color w:val="FF0000"/>
          <w:sz w:val="28"/>
        </w:rPr>
        <w:t>jakie?</w:t>
      </w:r>
    </w:p>
    <w:p w:rsidR="006364DC" w:rsidRDefault="006364DC" w:rsidP="000041A7">
      <w:pPr>
        <w:pStyle w:val="Akapitzlist"/>
        <w:ind w:left="567"/>
        <w:rPr>
          <w:sz w:val="28"/>
        </w:rPr>
      </w:pPr>
      <w:r>
        <w:rPr>
          <w:sz w:val="28"/>
        </w:rPr>
        <w:t xml:space="preserve">Ogólny graficzny zarys wyników (po lewej) należy odczytywać następująco: na zielono zaznaczone są dopasowania z </w:t>
      </w:r>
      <w:proofErr w:type="spellStart"/>
      <w:r w:rsidRPr="006364DC">
        <w:rPr>
          <w:color w:val="FF66CC"/>
          <w:sz w:val="28"/>
        </w:rPr>
        <w:t>landmark</w:t>
      </w:r>
      <w:proofErr w:type="spellEnd"/>
      <w:r w:rsidRPr="006364DC">
        <w:rPr>
          <w:color w:val="FF66CC"/>
          <w:sz w:val="28"/>
        </w:rPr>
        <w:t xml:space="preserve"> </w:t>
      </w:r>
      <w:proofErr w:type="spellStart"/>
      <w:r w:rsidRPr="006364DC">
        <w:rPr>
          <w:color w:val="FF66CC"/>
          <w:sz w:val="28"/>
        </w:rPr>
        <w:t>database</w:t>
      </w:r>
      <w:proofErr w:type="spellEnd"/>
      <w:r w:rsidR="004E39FC">
        <w:rPr>
          <w:color w:val="FF66CC"/>
          <w:sz w:val="28"/>
        </w:rPr>
        <w:t xml:space="preserve">, </w:t>
      </w:r>
      <w:r w:rsidR="004E39FC">
        <w:rPr>
          <w:sz w:val="28"/>
        </w:rPr>
        <w:t xml:space="preserve">dopasowania z </w:t>
      </w:r>
      <w:proofErr w:type="spellStart"/>
      <w:r w:rsidR="004E39FC">
        <w:rPr>
          <w:sz w:val="28"/>
        </w:rPr>
        <w:t>nieredundantnej</w:t>
      </w:r>
      <w:proofErr w:type="spellEnd"/>
      <w:r w:rsidR="004E39FC">
        <w:rPr>
          <w:sz w:val="28"/>
        </w:rPr>
        <w:t xml:space="preserve"> bazy białek określa kolor niebieski, sekwencja wprowadzona na wejściu zaznaczona jest kolorem żółtym.</w:t>
      </w:r>
      <w:r w:rsidR="007573C6" w:rsidRPr="007573C6">
        <w:t xml:space="preserve"> </w:t>
      </w:r>
      <w:r w:rsidR="007573C6" w:rsidRPr="007573C6">
        <w:rPr>
          <w:color w:val="FF66CC"/>
          <w:lang w:val="en-US"/>
        </w:rPr>
        <w:t>The presentation grays out a range of a subject sequence to indicate that BLAST did not align the query there. It represents a deletion according to the multiple alignment by leaving a range on a graphical overview bar white</w:t>
      </w:r>
      <w:r w:rsidR="007573C6" w:rsidRPr="007573C6">
        <w:rPr>
          <w:lang w:val="en-US"/>
        </w:rPr>
        <w:t>.</w:t>
      </w:r>
      <w:r w:rsidR="004E39FC" w:rsidRPr="007573C6">
        <w:rPr>
          <w:sz w:val="28"/>
          <w:lang w:val="en-US"/>
        </w:rPr>
        <w:t xml:space="preserve"> </w:t>
      </w:r>
      <w:r w:rsidR="004E39FC">
        <w:rPr>
          <w:sz w:val="28"/>
        </w:rPr>
        <w:t xml:space="preserve">Biała część słupka wskazuje obszar </w:t>
      </w:r>
      <w:r w:rsidR="007573C6">
        <w:rPr>
          <w:sz w:val="28"/>
        </w:rPr>
        <w:t xml:space="preserve">delecji wykryty zgodnie z MSA, szara – brak dopasowania (zarówno przez </w:t>
      </w:r>
      <w:proofErr w:type="spellStart"/>
      <w:r w:rsidR="007573C6">
        <w:rPr>
          <w:sz w:val="28"/>
        </w:rPr>
        <w:t>blastp</w:t>
      </w:r>
      <w:proofErr w:type="spellEnd"/>
      <w:r w:rsidR="007573C6">
        <w:rPr>
          <w:sz w:val="28"/>
        </w:rPr>
        <w:t xml:space="preserve"> jaki i </w:t>
      </w:r>
      <w:proofErr w:type="spellStart"/>
      <w:r w:rsidR="007573C6">
        <w:rPr>
          <w:sz w:val="28"/>
        </w:rPr>
        <w:t>multiple</w:t>
      </w:r>
      <w:proofErr w:type="spellEnd"/>
      <w:r w:rsidR="007573C6">
        <w:rPr>
          <w:sz w:val="28"/>
        </w:rPr>
        <w:t xml:space="preserve"> </w:t>
      </w:r>
      <w:proofErr w:type="spellStart"/>
      <w:r w:rsidR="007573C6">
        <w:rPr>
          <w:sz w:val="28"/>
        </w:rPr>
        <w:t>aligment</w:t>
      </w:r>
      <w:proofErr w:type="spellEnd"/>
      <w:r w:rsidR="007573C6">
        <w:rPr>
          <w:sz w:val="28"/>
        </w:rPr>
        <w:t>)</w:t>
      </w:r>
    </w:p>
    <w:p w:rsidR="0091397E" w:rsidRDefault="004E39FC" w:rsidP="00C761D6">
      <w:pPr>
        <w:pStyle w:val="Akapitzlist"/>
        <w:ind w:left="567"/>
        <w:rPr>
          <w:sz w:val="28"/>
        </w:rPr>
      </w:pPr>
      <w:r>
        <w:rPr>
          <w:sz w:val="28"/>
        </w:rPr>
        <w:t xml:space="preserve">W sekcji </w:t>
      </w:r>
      <w:proofErr w:type="spellStart"/>
      <w:r w:rsidRPr="004E39FC">
        <w:rPr>
          <w:i/>
          <w:sz w:val="28"/>
        </w:rPr>
        <w:t>descriptions</w:t>
      </w:r>
      <w:proofErr w:type="spellEnd"/>
      <w:r>
        <w:rPr>
          <w:sz w:val="28"/>
        </w:rPr>
        <w:t xml:space="preserve"> w formie tabelarycznej zebrane zostały najważniejsze informacje o dopasowaniach.</w:t>
      </w:r>
    </w:p>
    <w:p w:rsidR="0091397E" w:rsidRDefault="0091397E" w:rsidP="00C761D6">
      <w:pPr>
        <w:pStyle w:val="Akapitzlist"/>
        <w:ind w:left="567"/>
        <w:rPr>
          <w:sz w:val="28"/>
        </w:rPr>
      </w:pPr>
    </w:p>
    <w:p w:rsidR="0091397E" w:rsidRDefault="0091397E" w:rsidP="00BA0B35">
      <w:pPr>
        <w:pStyle w:val="Akapitzlist"/>
        <w:ind w:left="567"/>
        <w:jc w:val="both"/>
        <w:rPr>
          <w:sz w:val="28"/>
        </w:rPr>
      </w:pPr>
      <w:r>
        <w:rPr>
          <w:sz w:val="28"/>
        </w:rPr>
        <w:t xml:space="preserve">Max </w:t>
      </w:r>
      <w:proofErr w:type="spellStart"/>
      <w:r>
        <w:rPr>
          <w:sz w:val="28"/>
        </w:rPr>
        <w:t>score</w:t>
      </w:r>
      <w:proofErr w:type="spellEnd"/>
      <w:r>
        <w:rPr>
          <w:sz w:val="28"/>
        </w:rPr>
        <w:t xml:space="preserve"> – Najwyższy wynik dopasowania. Im wyższy wynik, tym lepsze dopasowanie.</w:t>
      </w:r>
    </w:p>
    <w:p w:rsidR="00BA0B35" w:rsidRDefault="0091397E" w:rsidP="00BA0B35">
      <w:pPr>
        <w:pStyle w:val="Akapitzlist"/>
        <w:ind w:left="567"/>
        <w:jc w:val="both"/>
        <w:rPr>
          <w:sz w:val="28"/>
        </w:rPr>
      </w:pPr>
      <w:r>
        <w:rPr>
          <w:sz w:val="28"/>
        </w:rPr>
        <w:t xml:space="preserve">Total </w:t>
      </w:r>
      <w:proofErr w:type="spellStart"/>
      <w:r>
        <w:rPr>
          <w:sz w:val="28"/>
        </w:rPr>
        <w:t>score</w:t>
      </w:r>
      <w:proofErr w:type="spellEnd"/>
      <w:r>
        <w:rPr>
          <w:sz w:val="28"/>
        </w:rPr>
        <w:t xml:space="preserve"> – Suma wyników dopasowania. </w:t>
      </w:r>
      <w:r w:rsidR="00BA0B35">
        <w:rPr>
          <w:sz w:val="28"/>
        </w:rPr>
        <w:t>Im wyższy wynik, tym lepsze dopasowanie</w:t>
      </w:r>
    </w:p>
    <w:p w:rsidR="007573C6" w:rsidRPr="00C761D6" w:rsidRDefault="00EF3020" w:rsidP="00BA0B35">
      <w:pPr>
        <w:pStyle w:val="Akapitzlist"/>
        <w:ind w:left="567"/>
        <w:jc w:val="both"/>
        <w:rPr>
          <w:sz w:val="28"/>
        </w:rPr>
      </w:pPr>
      <w:r w:rsidRPr="00C761D6">
        <w:rPr>
          <w:color w:val="FF66CC"/>
          <w:sz w:val="28"/>
        </w:rPr>
        <w:br/>
      </w:r>
    </w:p>
    <w:p w:rsidR="008A4155" w:rsidRPr="00F83470" w:rsidRDefault="008A4155" w:rsidP="00EF3020">
      <w:pPr>
        <w:pStyle w:val="Akapitzlist"/>
        <w:spacing w:before="240"/>
        <w:ind w:left="567"/>
        <w:rPr>
          <w:color w:val="FF66FF"/>
          <w:sz w:val="28"/>
        </w:rPr>
      </w:pPr>
      <w:r w:rsidRPr="00F83470">
        <w:rPr>
          <w:color w:val="FF66FF"/>
          <w:sz w:val="28"/>
        </w:rPr>
        <w:t xml:space="preserve">Max </w:t>
      </w:r>
      <w:proofErr w:type="spellStart"/>
      <w:r w:rsidRPr="00F83470">
        <w:rPr>
          <w:color w:val="FF66FF"/>
          <w:sz w:val="28"/>
        </w:rPr>
        <w:t>score</w:t>
      </w:r>
      <w:proofErr w:type="spellEnd"/>
      <w:r w:rsidRPr="00F83470">
        <w:rPr>
          <w:color w:val="FF66FF"/>
          <w:sz w:val="28"/>
        </w:rPr>
        <w:t xml:space="preserve"> –</w:t>
      </w:r>
      <w:r w:rsidR="000043A9" w:rsidRPr="00F83470">
        <w:rPr>
          <w:color w:val="FF66FF"/>
          <w:sz w:val="28"/>
        </w:rPr>
        <w:t xml:space="preserve"> najwyższy </w:t>
      </w:r>
      <w:proofErr w:type="spellStart"/>
      <w:r w:rsidR="000043A9" w:rsidRPr="00F83470">
        <w:rPr>
          <w:color w:val="FF66FF"/>
          <w:sz w:val="28"/>
        </w:rPr>
        <w:t>score</w:t>
      </w:r>
      <w:proofErr w:type="spellEnd"/>
      <w:r w:rsidR="000043A9" w:rsidRPr="00F83470">
        <w:rPr>
          <w:color w:val="FF66FF"/>
          <w:sz w:val="28"/>
        </w:rPr>
        <w:t xml:space="preserve"> dopasowania. </w:t>
      </w:r>
    </w:p>
    <w:p w:rsidR="008A4155" w:rsidRPr="00F83470" w:rsidRDefault="008A4155" w:rsidP="00EF3020">
      <w:pPr>
        <w:pStyle w:val="Akapitzlist"/>
        <w:spacing w:before="240"/>
        <w:ind w:left="567"/>
        <w:rPr>
          <w:color w:val="FF66FF"/>
          <w:sz w:val="28"/>
        </w:rPr>
      </w:pPr>
      <w:r w:rsidRPr="00F83470">
        <w:rPr>
          <w:color w:val="FF66FF"/>
          <w:sz w:val="28"/>
        </w:rPr>
        <w:t xml:space="preserve">Total </w:t>
      </w:r>
      <w:proofErr w:type="spellStart"/>
      <w:r w:rsidRPr="00F83470">
        <w:rPr>
          <w:color w:val="FF66FF"/>
          <w:sz w:val="28"/>
        </w:rPr>
        <w:t>score</w:t>
      </w:r>
      <w:proofErr w:type="spellEnd"/>
      <w:r w:rsidRPr="00F83470">
        <w:rPr>
          <w:color w:val="FF66FF"/>
          <w:sz w:val="28"/>
        </w:rPr>
        <w:t xml:space="preserve"> – </w:t>
      </w:r>
      <w:r w:rsidR="000043A9" w:rsidRPr="00F83470">
        <w:rPr>
          <w:color w:val="FF66FF"/>
          <w:sz w:val="28"/>
        </w:rPr>
        <w:t xml:space="preserve">suma </w:t>
      </w:r>
      <w:proofErr w:type="spellStart"/>
      <w:r w:rsidR="000043A9" w:rsidRPr="00F83470">
        <w:rPr>
          <w:color w:val="FF66FF"/>
          <w:sz w:val="28"/>
        </w:rPr>
        <w:t>scorców</w:t>
      </w:r>
      <w:proofErr w:type="spellEnd"/>
      <w:r w:rsidR="000043A9" w:rsidRPr="00F83470">
        <w:rPr>
          <w:color w:val="FF66FF"/>
          <w:sz w:val="28"/>
        </w:rPr>
        <w:t xml:space="preserve"> z dopasowania z </w:t>
      </w:r>
      <w:proofErr w:type="spellStart"/>
      <w:r w:rsidR="000043A9" w:rsidRPr="00F83470">
        <w:rPr>
          <w:color w:val="FF66FF"/>
          <w:sz w:val="28"/>
        </w:rPr>
        <w:t>wszystkihc</w:t>
      </w:r>
      <w:proofErr w:type="spellEnd"/>
      <w:r w:rsidR="000043A9" w:rsidRPr="00F83470">
        <w:rPr>
          <w:color w:val="FF66FF"/>
          <w:sz w:val="28"/>
        </w:rPr>
        <w:t xml:space="preserve"> segmentów sekwencji. Im wyższy wartość, tym lepsze dopasowanie.</w:t>
      </w:r>
    </w:p>
    <w:p w:rsidR="008A4155" w:rsidRPr="00F83470" w:rsidRDefault="008A4155" w:rsidP="00EF3020">
      <w:pPr>
        <w:pStyle w:val="Akapitzlist"/>
        <w:spacing w:before="240"/>
        <w:ind w:left="567"/>
        <w:rPr>
          <w:color w:val="FF66FF"/>
          <w:sz w:val="28"/>
        </w:rPr>
      </w:pPr>
      <w:proofErr w:type="spellStart"/>
      <w:r w:rsidRPr="00F83470">
        <w:rPr>
          <w:color w:val="FF66FF"/>
          <w:sz w:val="28"/>
        </w:rPr>
        <w:lastRenderedPageBreak/>
        <w:t>Coverage</w:t>
      </w:r>
      <w:proofErr w:type="spellEnd"/>
      <w:r w:rsidRPr="00F83470">
        <w:rPr>
          <w:color w:val="FF66FF"/>
          <w:sz w:val="28"/>
        </w:rPr>
        <w:t xml:space="preserve"> – </w:t>
      </w:r>
      <w:r w:rsidR="000043A9" w:rsidRPr="00F83470">
        <w:rPr>
          <w:color w:val="FF66FF"/>
          <w:sz w:val="28"/>
        </w:rPr>
        <w:t xml:space="preserve">określa procentową ilość sekwencji badanej, która pasuje/ pokrywa się z sekwencją z bazy NCBI. Wysoki </w:t>
      </w:r>
      <w:proofErr w:type="spellStart"/>
      <w:r w:rsidR="000043A9" w:rsidRPr="00F83470">
        <w:rPr>
          <w:color w:val="FF66FF"/>
          <w:sz w:val="28"/>
        </w:rPr>
        <w:t>coverage</w:t>
      </w:r>
      <w:proofErr w:type="spellEnd"/>
      <w:r w:rsidR="000043A9" w:rsidRPr="00F83470">
        <w:rPr>
          <w:color w:val="FF66FF"/>
          <w:sz w:val="28"/>
        </w:rPr>
        <w:t xml:space="preserve"> wskazuje, że duża część sekwencji badanej pasuje do sekwencji docelowej.</w:t>
      </w:r>
    </w:p>
    <w:p w:rsidR="008A4155" w:rsidRPr="00F83470" w:rsidRDefault="008A4155" w:rsidP="00EF3020">
      <w:pPr>
        <w:pStyle w:val="Akapitzlist"/>
        <w:spacing w:before="240"/>
        <w:ind w:left="567"/>
        <w:rPr>
          <w:color w:val="FF66FF"/>
          <w:sz w:val="28"/>
        </w:rPr>
      </w:pPr>
      <w:proofErr w:type="spellStart"/>
      <w:r w:rsidRPr="00F83470">
        <w:rPr>
          <w:color w:val="FF66FF"/>
          <w:sz w:val="28"/>
        </w:rPr>
        <w:t>e-value</w:t>
      </w:r>
      <w:proofErr w:type="spellEnd"/>
      <w:r w:rsidRPr="00F83470">
        <w:rPr>
          <w:color w:val="FF66FF"/>
          <w:sz w:val="28"/>
        </w:rPr>
        <w:t xml:space="preserve"> – </w:t>
      </w:r>
      <w:r w:rsidR="000043A9" w:rsidRPr="00F83470">
        <w:rPr>
          <w:color w:val="FF66FF"/>
          <w:sz w:val="28"/>
        </w:rPr>
        <w:t>oczekiwana liczba pozytywnie fałszywych wyników w porównaniu do bazy danych. Im wartość bliższa 0, tym wynik porównania sekwencji jest bardziej istotny.</w:t>
      </w:r>
    </w:p>
    <w:p w:rsidR="008A4155" w:rsidRPr="00F83470" w:rsidRDefault="008A4155" w:rsidP="00EF3020">
      <w:pPr>
        <w:pStyle w:val="Akapitzlist"/>
        <w:spacing w:before="240"/>
        <w:ind w:left="567"/>
        <w:rPr>
          <w:color w:val="FF66FF"/>
          <w:sz w:val="28"/>
        </w:rPr>
      </w:pPr>
      <w:proofErr w:type="spellStart"/>
      <w:r w:rsidRPr="00F83470">
        <w:rPr>
          <w:color w:val="FF66FF"/>
          <w:sz w:val="28"/>
        </w:rPr>
        <w:t>ident</w:t>
      </w:r>
      <w:proofErr w:type="spellEnd"/>
      <w:r w:rsidRPr="00F83470">
        <w:rPr>
          <w:color w:val="FF66FF"/>
          <w:sz w:val="28"/>
        </w:rPr>
        <w:t xml:space="preserve"> – </w:t>
      </w:r>
      <w:r w:rsidR="00F6255F" w:rsidRPr="00F83470">
        <w:rPr>
          <w:color w:val="FF66FF"/>
          <w:sz w:val="28"/>
        </w:rPr>
        <w:t xml:space="preserve">% zasad, które są identyczne z genomem referencyjnym. </w:t>
      </w:r>
    </w:p>
    <w:p w:rsidR="00C761D6" w:rsidRPr="00EF3020" w:rsidRDefault="00C761D6" w:rsidP="00C761D6">
      <w:pPr>
        <w:pStyle w:val="Akapitzlist"/>
        <w:ind w:left="567"/>
        <w:rPr>
          <w:sz w:val="28"/>
        </w:rPr>
      </w:pPr>
    </w:p>
    <w:p w:rsidR="00C761D6" w:rsidRPr="00EF3020" w:rsidRDefault="00C761D6" w:rsidP="00C761D6">
      <w:pPr>
        <w:pStyle w:val="Akapitzlist"/>
        <w:ind w:left="567"/>
        <w:rPr>
          <w:color w:val="FF0000"/>
          <w:sz w:val="28"/>
        </w:rPr>
      </w:pPr>
      <w:r w:rsidRPr="00EF3020">
        <w:rPr>
          <w:color w:val="FF0000"/>
          <w:sz w:val="28"/>
        </w:rPr>
        <w:t>Wnioski co do naszych dopasowań.</w:t>
      </w:r>
    </w:p>
    <w:p w:rsidR="00C761D6" w:rsidRDefault="00C761D6" w:rsidP="00C761D6">
      <w:pPr>
        <w:pStyle w:val="Akapitzlist"/>
        <w:spacing w:before="240"/>
        <w:ind w:left="567" w:hanging="283"/>
        <w:rPr>
          <w:sz w:val="28"/>
        </w:rPr>
      </w:pPr>
    </w:p>
    <w:p w:rsidR="000041A7" w:rsidRDefault="000041A7" w:rsidP="00C761D6">
      <w:pPr>
        <w:pStyle w:val="Akapitzlist"/>
        <w:spacing w:before="240"/>
        <w:ind w:left="567" w:hanging="283"/>
        <w:rPr>
          <w:sz w:val="28"/>
        </w:rPr>
      </w:pPr>
      <w:r>
        <w:rPr>
          <w:sz w:val="28"/>
        </w:rPr>
        <w:t>III. STRUKTURA DRUGORZĘDOWA BIAŁEK</w:t>
      </w:r>
    </w:p>
    <w:p w:rsidR="006735E4" w:rsidRDefault="006735E4" w:rsidP="00EF3020">
      <w:pPr>
        <w:pStyle w:val="Akapitzlist"/>
        <w:spacing w:before="240"/>
        <w:ind w:left="567" w:hanging="283"/>
        <w:rPr>
          <w:sz w:val="28"/>
        </w:rPr>
      </w:pPr>
    </w:p>
    <w:p w:rsidR="000041A7" w:rsidRDefault="006735E4" w:rsidP="006735E4">
      <w:pPr>
        <w:pStyle w:val="Akapitzlist"/>
        <w:ind w:left="284"/>
        <w:rPr>
          <w:sz w:val="28"/>
        </w:rPr>
      </w:pPr>
      <w:r>
        <w:rPr>
          <w:noProof/>
          <w:sz w:val="28"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202467</wp:posOffset>
            </wp:positionH>
            <wp:positionV relativeFrom="paragraph">
              <wp:posOffset>830</wp:posOffset>
            </wp:positionV>
            <wp:extent cx="2419790" cy="1737360"/>
            <wp:effectExtent l="19050" t="0" r="0" b="0"/>
            <wp:wrapTight wrapText="bothSides">
              <wp:wrapPolygon edited="0">
                <wp:start x="-170" y="0"/>
                <wp:lineTo x="-170" y="21316"/>
                <wp:lineTo x="21596" y="21316"/>
                <wp:lineTo x="21596" y="0"/>
                <wp:lineTo x="-17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79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Pierwsza kolumna to indeks aminokwasu, kolejna to jednoliterowe oznaczenie aminokwasu. W kolumnie trzeciej znajduje się informacja o strukturze drugorzędowej. Ostatnie trzy kolumny to kolejno prawdopodobieństwo struktury: coil, helix, sheet.</w:t>
      </w:r>
    </w:p>
    <w:p w:rsidR="006735E4" w:rsidRDefault="006735E4" w:rsidP="000041A7">
      <w:pPr>
        <w:pStyle w:val="Akapitzlist"/>
        <w:ind w:left="567"/>
        <w:rPr>
          <w:sz w:val="28"/>
        </w:rPr>
      </w:pPr>
    </w:p>
    <w:p w:rsidR="00894837" w:rsidRPr="00C761D6" w:rsidRDefault="00C761D6" w:rsidP="00C761D6">
      <w:pPr>
        <w:pStyle w:val="Akapitzlist"/>
        <w:ind w:left="567"/>
        <w:rPr>
          <w:sz w:val="28"/>
        </w:rPr>
      </w:pPr>
      <w:r>
        <w:rPr>
          <w:noProof/>
          <w:sz w:val="28"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139065</wp:posOffset>
            </wp:positionH>
            <wp:positionV relativeFrom="margin">
              <wp:posOffset>5409565</wp:posOffset>
            </wp:positionV>
            <wp:extent cx="5760085" cy="1673860"/>
            <wp:effectExtent l="19050" t="0" r="0" b="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35E4">
        <w:rPr>
          <w:sz w:val="28"/>
        </w:rPr>
        <w:t xml:space="preserve">Zgodnie z wynikami struktura drugorzędowa badanego białka składa się z naprzemiennie występujących: </w:t>
      </w:r>
      <w:r w:rsidR="00DA72B7">
        <w:rPr>
          <w:sz w:val="28"/>
        </w:rPr>
        <w:t xml:space="preserve">helisy i coil. Prawdopodobieństwa tych struktur drugorzędowych w środku sekwencji aminokwasowej dość mocno spadają ( momentami nawet &lt;50%). Poza tym utrzymują się na dość wysokim poziomie (min. 89%). </w:t>
      </w:r>
      <w:r w:rsidR="00DA72B7">
        <w:rPr>
          <w:sz w:val="28"/>
        </w:rPr>
        <w:br/>
        <w:t>Poniżej znajduje się schemat, który graficznie przedstawia strukturę drugorzędową.</w:t>
      </w:r>
      <w:r w:rsidR="00775F4C">
        <w:t xml:space="preserve"> </w:t>
      </w:r>
    </w:p>
    <w:p w:rsidR="00317123" w:rsidRDefault="00C761D6" w:rsidP="00894837">
      <w:r>
        <w:t>6.</w:t>
      </w:r>
      <w:r w:rsidR="00990495">
        <w:t xml:space="preserve"> </w:t>
      </w:r>
    </w:p>
    <w:p w:rsidR="00C761D6" w:rsidRDefault="00C761D6" w:rsidP="00894837">
      <w:r>
        <w:lastRenderedPageBreak/>
        <w:t>7. Znaczenie symboli opisujących strukturę drugorzędową białek:</w:t>
      </w:r>
    </w:p>
    <w:p w:rsidR="00990495" w:rsidRPr="00F83470" w:rsidRDefault="00990495" w:rsidP="00894837">
      <w:pPr>
        <w:sectPr w:rsidR="00990495" w:rsidRPr="00F83470" w:rsidSect="00954C0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90495" w:rsidRDefault="00990495" w:rsidP="00894837">
      <w:pPr>
        <w:rPr>
          <w:rFonts w:cstheme="minorHAnsi"/>
          <w:lang w:val="en-US"/>
        </w:rPr>
        <w:sectPr w:rsidR="00990495" w:rsidSect="00990495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990495">
        <w:rPr>
          <w:lang w:val="en-US"/>
        </w:rPr>
        <w:lastRenderedPageBreak/>
        <w:t>C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 xml:space="preserve">– </w:t>
      </w:r>
      <w:r w:rsidR="00C761D6" w:rsidRPr="00990495">
        <w:rPr>
          <w:lang w:val="en-US"/>
        </w:rPr>
        <w:t>coil</w:t>
      </w:r>
      <w:r w:rsidR="00C761D6" w:rsidRPr="00990495">
        <w:rPr>
          <w:lang w:val="en-US"/>
        </w:rPr>
        <w:br/>
        <w:t xml:space="preserve">H – </w:t>
      </w:r>
      <w:r w:rsidR="00C761D6">
        <w:rPr>
          <w:rFonts w:cstheme="minorHAnsi"/>
        </w:rPr>
        <w:t>α</w:t>
      </w:r>
      <w:r w:rsidR="00C761D6" w:rsidRPr="00990495">
        <w:rPr>
          <w:lang w:val="en-US"/>
        </w:rPr>
        <w:t>-</w:t>
      </w:r>
      <w:proofErr w:type="spellStart"/>
      <w:r w:rsidR="00C761D6" w:rsidRPr="00990495">
        <w:rPr>
          <w:lang w:val="en-US"/>
        </w:rPr>
        <w:t>helisa</w:t>
      </w:r>
      <w:proofErr w:type="spellEnd"/>
      <w:r>
        <w:rPr>
          <w:lang w:val="en-US"/>
        </w:rPr>
        <w:br/>
        <w:t>T</w:t>
      </w:r>
      <w:r>
        <w:rPr>
          <w:rFonts w:cstheme="minorHAnsi"/>
          <w:lang w:val="en-US"/>
        </w:rPr>
        <w:t>–</w:t>
      </w:r>
      <w:r w:rsidR="00B46638" w:rsidRPr="00990495">
        <w:rPr>
          <w:lang w:val="en-US"/>
        </w:rPr>
        <w:t xml:space="preserve"> </w:t>
      </w:r>
      <w:r w:rsidR="00C761D6">
        <w:rPr>
          <w:rFonts w:cstheme="minorHAnsi"/>
          <w:lang w:val="en-US"/>
        </w:rPr>
        <w:t>β</w:t>
      </w:r>
      <w:r w:rsidR="00B46638" w:rsidRPr="00990495">
        <w:rPr>
          <w:lang w:val="en-US"/>
        </w:rPr>
        <w:t>-turn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S </w:t>
      </w:r>
      <w:r>
        <w:rPr>
          <w:rFonts w:cstheme="minorHAnsi"/>
          <w:lang w:val="en-US"/>
        </w:rPr>
        <w:t>–</w:t>
      </w:r>
      <w:r w:rsidRPr="00990495">
        <w:rPr>
          <w:rFonts w:cstheme="minorHAnsi"/>
          <w:lang w:val="en-US"/>
        </w:rPr>
        <w:t xml:space="preserve"> bend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lastRenderedPageBreak/>
        <w:t>G – 3</w:t>
      </w:r>
      <w:r>
        <w:rPr>
          <w:rFonts w:cstheme="minorHAnsi"/>
          <w:vertAlign w:val="subscript"/>
          <w:lang w:val="en-US"/>
        </w:rPr>
        <w:t>10</w:t>
      </w:r>
      <w:r>
        <w:rPr>
          <w:rFonts w:cstheme="minorHAnsi"/>
          <w:lang w:val="en-US"/>
        </w:rPr>
        <w:t xml:space="preserve"> -</w:t>
      </w:r>
      <w:proofErr w:type="spellStart"/>
      <w:r>
        <w:rPr>
          <w:rFonts w:cstheme="minorHAnsi"/>
          <w:lang w:val="en-US"/>
        </w:rPr>
        <w:t>helisa</w:t>
      </w:r>
      <w:proofErr w:type="spellEnd"/>
      <w:r>
        <w:rPr>
          <w:rFonts w:cstheme="minorHAnsi"/>
          <w:lang w:val="en-US"/>
        </w:rPr>
        <w:br/>
        <w:t>I – π-</w:t>
      </w:r>
      <w:proofErr w:type="spellStart"/>
      <w:r>
        <w:rPr>
          <w:rFonts w:cstheme="minorHAnsi"/>
          <w:lang w:val="en-US"/>
        </w:rPr>
        <w:t>helisa</w:t>
      </w:r>
      <w:proofErr w:type="spellEnd"/>
      <w:r>
        <w:rPr>
          <w:rFonts w:cstheme="minorHAnsi"/>
          <w:lang w:val="en-US"/>
        </w:rPr>
        <w:br/>
        <w:t>E – β-strand</w:t>
      </w:r>
      <w:r>
        <w:rPr>
          <w:rFonts w:cstheme="minorHAnsi"/>
          <w:lang w:val="en-US"/>
        </w:rPr>
        <w:br/>
        <w:t xml:space="preserve">B – β-bridge </w:t>
      </w:r>
    </w:p>
    <w:p w:rsidR="00C761D6" w:rsidRPr="00990495" w:rsidRDefault="00C761D6" w:rsidP="00894837">
      <w:pPr>
        <w:rPr>
          <w:rFonts w:cstheme="minorHAnsi"/>
          <w:lang w:val="en-US"/>
        </w:rPr>
      </w:pPr>
      <w:r w:rsidRPr="00990495">
        <w:rPr>
          <w:lang w:val="en-US"/>
        </w:rPr>
        <w:lastRenderedPageBreak/>
        <w:br/>
      </w:r>
    </w:p>
    <w:p w:rsidR="00317123" w:rsidRPr="00317123" w:rsidRDefault="00317123" w:rsidP="00317123">
      <w:pPr>
        <w:tabs>
          <w:tab w:val="left" w:pos="1174"/>
        </w:tabs>
        <w:spacing w:after="0"/>
        <w:rPr>
          <w:color w:val="FF0000"/>
        </w:rPr>
      </w:pPr>
      <w:r w:rsidRPr="00317123">
        <w:rPr>
          <w:color w:val="FF0000"/>
        </w:rPr>
        <w:t>C. Porównaj ze sobą powyższe struktury drugorzędowe (2D) białek, a mianowicie</w:t>
      </w:r>
    </w:p>
    <w:p w:rsidR="00317123" w:rsidRPr="00317123" w:rsidRDefault="00317123" w:rsidP="00317123">
      <w:pPr>
        <w:tabs>
          <w:tab w:val="left" w:pos="1174"/>
        </w:tabs>
        <w:spacing w:after="0"/>
        <w:rPr>
          <w:color w:val="FF0000"/>
        </w:rPr>
      </w:pPr>
      <w:r w:rsidRPr="00317123">
        <w:rPr>
          <w:color w:val="FF0000"/>
        </w:rPr>
        <w:t>przewidzianą na podstawie znanej sekwencji (A) z wyekstrahowaną z referencyjnej struktury</w:t>
      </w:r>
    </w:p>
    <w:p w:rsidR="00317123" w:rsidRPr="00317123" w:rsidRDefault="00317123" w:rsidP="00317123">
      <w:pPr>
        <w:tabs>
          <w:tab w:val="left" w:pos="1174"/>
        </w:tabs>
        <w:spacing w:after="0"/>
        <w:rPr>
          <w:color w:val="FF0000"/>
        </w:rPr>
      </w:pPr>
      <w:r w:rsidRPr="00317123">
        <w:rPr>
          <w:color w:val="FF0000"/>
        </w:rPr>
        <w:t>3D (B) poprzez wyznaczenie wartości współczynnika identyczności (SSI). Czy porównywane</w:t>
      </w:r>
    </w:p>
    <w:p w:rsidR="00894837" w:rsidRPr="00317123" w:rsidRDefault="00317123" w:rsidP="00317123">
      <w:pPr>
        <w:tabs>
          <w:tab w:val="left" w:pos="1174"/>
        </w:tabs>
        <w:spacing w:after="0"/>
        <w:rPr>
          <w:color w:val="FF0000"/>
        </w:rPr>
      </w:pPr>
      <w:r w:rsidRPr="00317123">
        <w:rPr>
          <w:color w:val="FF0000"/>
        </w:rPr>
        <w:t>struktury 2D są do siebie podobne? Odpowiedź uzasadnij</w:t>
      </w:r>
    </w:p>
    <w:p w:rsidR="00894837" w:rsidRPr="00894837" w:rsidRDefault="00894837" w:rsidP="00317123">
      <w:pPr>
        <w:spacing w:after="0"/>
      </w:pPr>
    </w:p>
    <w:p w:rsidR="00894837" w:rsidRPr="00894837" w:rsidRDefault="00894837" w:rsidP="00894837"/>
    <w:p w:rsidR="00894837" w:rsidRPr="00894837" w:rsidRDefault="00894837" w:rsidP="00894837"/>
    <w:p w:rsidR="000041A7" w:rsidRPr="00894837" w:rsidRDefault="000041A7" w:rsidP="00894837"/>
    <w:sectPr w:rsidR="000041A7" w:rsidRPr="00894837" w:rsidSect="0099049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6DC9"/>
    <w:multiLevelType w:val="hybridMultilevel"/>
    <w:tmpl w:val="AEEC13D8"/>
    <w:lvl w:ilvl="0" w:tplc="55F89B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E1C4790"/>
    <w:multiLevelType w:val="hybridMultilevel"/>
    <w:tmpl w:val="D7B4CB8C"/>
    <w:lvl w:ilvl="0" w:tplc="33000142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0041A7"/>
    <w:rsid w:val="000041A7"/>
    <w:rsid w:val="000043A9"/>
    <w:rsid w:val="00126E29"/>
    <w:rsid w:val="00317123"/>
    <w:rsid w:val="0037597F"/>
    <w:rsid w:val="003B3152"/>
    <w:rsid w:val="003F0385"/>
    <w:rsid w:val="004E39FC"/>
    <w:rsid w:val="0062434B"/>
    <w:rsid w:val="006364DC"/>
    <w:rsid w:val="006735E4"/>
    <w:rsid w:val="007573C6"/>
    <w:rsid w:val="00764E61"/>
    <w:rsid w:val="00775F4C"/>
    <w:rsid w:val="00894837"/>
    <w:rsid w:val="008A4155"/>
    <w:rsid w:val="0091397E"/>
    <w:rsid w:val="00954C0D"/>
    <w:rsid w:val="00990495"/>
    <w:rsid w:val="00A12B6F"/>
    <w:rsid w:val="00B46638"/>
    <w:rsid w:val="00B92104"/>
    <w:rsid w:val="00BA0B35"/>
    <w:rsid w:val="00C761D6"/>
    <w:rsid w:val="00DA72B7"/>
    <w:rsid w:val="00EF3020"/>
    <w:rsid w:val="00F6255F"/>
    <w:rsid w:val="00F8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4C0D"/>
  </w:style>
  <w:style w:type="paragraph" w:styleId="Nagwek1">
    <w:name w:val="heading 1"/>
    <w:basedOn w:val="Normalny"/>
    <w:next w:val="Normalny"/>
    <w:link w:val="Nagwek1Znak"/>
    <w:uiPriority w:val="9"/>
    <w:qFormat/>
    <w:rsid w:val="00004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04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4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04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41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041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0041A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041A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041A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041A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041A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041A7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4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524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2023-10-25T08:43:00Z</dcterms:created>
  <dcterms:modified xsi:type="dcterms:W3CDTF">2023-11-07T12:10:00Z</dcterms:modified>
</cp:coreProperties>
</file>