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20% - definition(1pt) &amp; SR(2pt)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SR=1 sentence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20% math &amp; analysis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20% programming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20% modeling &amp; algorithms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20% Open Response(1 paragraph)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2 questions 10 pts each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25% of each chapter and 25% for programming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Code doesn’t need to compile, just mostly right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