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vigência por extenso]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data de início]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>
      <w:r>
        <w:t>### Contrato Contencioso</w:t>
        <w:br/>
        <w:br/>
        <w:t>**Partes:**</w:t>
        <w:br/>
        <w:t>1. [Nome da parte A], doravante denominada como "Parte A", representada por [Nome do representante], [Nacionalidade], [Estado civil], [Profissão], portador(a) do RG nº [Número do RG] e CPF nº [Número do CPF], residente e domiciliado(a) na [Endereço completo da Parte A].</w:t>
        <w:br/>
        <w:t xml:space="preserve">   </w:t>
        <w:br/>
        <w:t>2. [Nome da parte B], doravante denominada como "Parte B", representada por [Nome do representante], [Nacionalidade], [Estado civil], [Profissão], portador(a) do RG nº [Número do RG] e CPF nº [Número do CPF], residente e domiciliado(a) na [Endereço completo da Parte B].</w:t>
        <w:br/>
        <w:br/>
        <w:t>**Objeto:**</w:t>
        <w:br/>
        <w:t>Este contrato contencioso tem por objeto as questões relacionadas a [Descrever brevemente o objeto da controvérsia].</w:t>
        <w:br/>
        <w:br/>
        <w:t>**Do Contencioso:**</w:t>
        <w:br/>
        <w:t>1. As partes concordam em submeter a controvérsia a um processo judicial, sendo certo que cada parte arcará com seus respectivos custos e honorários advocatícios.</w:t>
        <w:br/>
        <w:t xml:space="preserve">   </w:t>
        <w:br/>
        <w:t>2. Caso haja a necessidade de mediação ou arbitragem para a resolução do conflito, as partes se comprometem a participar ativamente e buscar uma solução consensual.</w:t>
        <w:br/>
        <w:br/>
        <w:t>**Disposições Gerais:**</w:t>
        <w:br/>
        <w:t>1. O presente contrato contencioso é regido pelas leis vigentes no Brasil, elegendo o Foro da Comarca de [Nome da Comarca] para dirimir quaisquer questões decorrentes do mesmo.</w:t>
        <w:br/>
        <w:t xml:space="preserve">   </w:t>
        <w:br/>
        <w:t>2. Qualquer alteração ou modificação deste contrato deverá ser realizada por escrito e assinada por ambas as partes.</w:t>
        <w:br/>
        <w:br/>
        <w:t>Por estarem assim justas e contratadas, firmam o presente instrumento em duas vias, de igual teor e forma, na presença de testemunhas.</w:t>
        <w:br/>
        <w:br/>
        <w:t>Local e data.</w:t>
        <w:br/>
        <w:br/>
        <w:t>Assinaturas:</w:t>
        <w:br/>
        <w:br/>
        <w:t xml:space="preserve">Parte A: ______________________________  </w:t>
        <w:br/>
        <w:t>Parte B: ______________________________</w:t>
        <w:br/>
        <w:br/>
        <w:t xml:space="preserve">Testemunhas:  </w:t>
        <w:br/>
        <w:t xml:space="preserve">1. Nome: ______________________________  </w:t>
        <w:br/>
        <w:t>RG: ______________________________</w:t>
        <w:br/>
        <w:br/>
        <w:t xml:space="preserve">2. Nome: ______________________________  </w:t>
        <w:br/>
        <w:t>RG: ______________________________</w:t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