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rxtcyvubyi}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5, 5, 5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55 5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