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{{ctybuinp´,p}}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{{8515416514845}}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{{erxdctygbnjmko,p}}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{{Jose da silva, ana luiza}}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{{drtfybuinim}}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{{cryvgbhijnom}}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{{cfgbjmk}}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{{vubiunoio}}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{forma de pagamento: 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{{rtyubinompo}}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{{tyubijim}}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{{ctfvygbuhinjomkp,}}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{{rtybuinmiop,´.}}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{{rxctbyuiom}}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>se obriga a exercer todas as suas atividades com qualidade e rigor técnico, por meio do emprego de seu melhor esforço para o cumprimento dos serviços que são objeto deste Contrato, bem como tratar com cordialidade os colaboradores, prestadores de serviços e clientes da exrctybuimkp,[.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>Cumprir todas as exigências da legislação decorrentes da execução do Contrato, no âmbito Federal, Estadual e Municipal, isentando a edctunmiop.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{{edrtfbyumio´.}}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{{drf6gyhu9jilç}}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>Cumprir todas as exigências da legislação decorrentes da execução do Contrato, no âmbito Federal, Estadual e Municipal, isentando a 4sedrfgy8j0k-l=ç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{{[~7]drfgyuiko[´~}}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{{rtyujil´[ghuiopkl[´[}}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{{ff}}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{{f}}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{{f}}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f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{{f}}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{{f}}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{{f}}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{{f}}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{{f}}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{{Contratante}}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