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2764" w14:textId="77777777" w:rsidR="00354439" w:rsidRDefault="009017FA">
      <w:r>
        <w:t>Demo</w:t>
      </w:r>
      <w:r>
        <w:t>加应用场景</w:t>
      </w:r>
    </w:p>
    <w:p w14:paraId="19E814CD" w14:textId="77777777" w:rsidR="009017FA" w:rsidRDefault="009017FA">
      <w:r>
        <w:rPr>
          <w:rFonts w:hint="eastAsia"/>
        </w:rPr>
        <w:t>源码</w:t>
      </w:r>
      <w:r>
        <w:t>简单解析</w:t>
      </w:r>
    </w:p>
    <w:p w14:paraId="7772BE68" w14:textId="2EF844B9" w:rsidR="00521858" w:rsidRDefault="00521858" w:rsidP="00521858">
      <w:pPr>
        <w:pStyle w:val="HTML"/>
        <w:shd w:val="clear" w:color="auto" w:fill="FFFFFF"/>
      </w:pPr>
      <w:r>
        <w:t>C</w:t>
      </w:r>
      <w:r>
        <w:rPr>
          <w:rFonts w:hint="eastAsia"/>
        </w:rPr>
        <w:t>ountdownlanch</w:t>
      </w:r>
    </w:p>
    <w:p w14:paraId="05712781" w14:textId="61053F7A" w:rsidR="00DE446B" w:rsidRDefault="00DE446B" w:rsidP="00521858">
      <w:pPr>
        <w:pStyle w:val="HTML"/>
        <w:shd w:val="clear" w:color="auto" w:fill="FFFFFF"/>
      </w:pPr>
    </w:p>
    <w:p w14:paraId="21610D54" w14:textId="19F53E02" w:rsidR="00DE446B" w:rsidRDefault="00DE446B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 w:rsidRPr="00DE446B">
        <w:rPr>
          <w:rFonts w:ascii="JetBrains Mono" w:hAnsi="JetBrains Mono"/>
          <w:color w:val="000000"/>
          <w:sz w:val="20"/>
          <w:szCs w:val="20"/>
        </w:rPr>
        <w:t>util.concurrent</w:t>
      </w:r>
      <w:r>
        <w:rPr>
          <w:rFonts w:ascii="JetBrains Mono" w:hAnsi="JetBrains Mono" w:hint="eastAsia"/>
          <w:color w:val="080808"/>
          <w:sz w:val="20"/>
          <w:szCs w:val="20"/>
        </w:rPr>
        <w:t>包包含大量服务于多线程并发编程的类，其中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 w:hint="eastAsia"/>
          <w:color w:val="080808"/>
          <w:sz w:val="20"/>
          <w:szCs w:val="20"/>
        </w:rPr>
        <w:t>、</w:t>
      </w:r>
      <w:r w:rsidRPr="00DE446B">
        <w:rPr>
          <w:rFonts w:ascii="JetBrains Mono" w:hAnsi="JetBrains Mono"/>
          <w:color w:val="000000"/>
          <w:sz w:val="20"/>
          <w:szCs w:val="20"/>
        </w:rPr>
        <w:t>CountDownLatch</w:t>
      </w:r>
      <w:r>
        <w:rPr>
          <w:rFonts w:ascii="JetBrains Mono" w:hAnsi="JetBrains Mono" w:hint="eastAsia"/>
          <w:color w:val="000000"/>
          <w:sz w:val="20"/>
          <w:szCs w:val="20"/>
        </w:rPr>
        <w:t>、</w:t>
      </w:r>
      <w:r w:rsidRPr="00DE446B">
        <w:rPr>
          <w:rFonts w:ascii="JetBrains Mono" w:hAnsi="JetBrains Mono"/>
          <w:color w:val="000000"/>
          <w:sz w:val="20"/>
          <w:szCs w:val="20"/>
        </w:rPr>
        <w:t>CyclicBarrier</w:t>
      </w:r>
      <w:r>
        <w:rPr>
          <w:rFonts w:ascii="JetBrains Mono" w:hAnsi="JetBrains Mono" w:hint="eastAsia"/>
          <w:color w:val="000000"/>
          <w:sz w:val="20"/>
          <w:szCs w:val="20"/>
        </w:rPr>
        <w:t>这三个类是在面试中经常碰到的知识点。</w:t>
      </w:r>
    </w:p>
    <w:p w14:paraId="6707F488" w14:textId="51252B10" w:rsidR="00DE446B" w:rsidRDefault="00DE446B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在这篇文章中，我们一起研究下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 w:hint="eastAsia"/>
          <w:color w:val="000000"/>
          <w:sz w:val="20"/>
          <w:szCs w:val="20"/>
        </w:rPr>
        <w:t>的使用。</w:t>
      </w:r>
    </w:p>
    <w:p w14:paraId="19F1D417" w14:textId="77777777" w:rsidR="00403C3E" w:rsidRDefault="00403C3E" w:rsidP="00DE446B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</w:p>
    <w:p w14:paraId="0397507E" w14:textId="5AE761BC" w:rsidR="00DE446B" w:rsidRDefault="00DE446B" w:rsidP="00DE446B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1</w:t>
      </w:r>
      <w:r>
        <w:rPr>
          <w:rFonts w:ascii="JetBrains Mono" w:hAnsi="JetBrains Mono" w:hint="eastAsia"/>
          <w:color w:val="000000"/>
          <w:sz w:val="20"/>
          <w:szCs w:val="20"/>
        </w:rPr>
        <w:t>、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 w:rsidR="00403C3E">
        <w:rPr>
          <w:rFonts w:ascii="JetBrains Mono" w:hAnsi="JetBrains Mono" w:hint="eastAsia"/>
          <w:color w:val="000000"/>
          <w:sz w:val="20"/>
          <w:szCs w:val="20"/>
        </w:rPr>
        <w:t>的作用</w:t>
      </w:r>
    </w:p>
    <w:p w14:paraId="526C2EE4" w14:textId="6D423A23" w:rsidR="00DE446B" w:rsidRDefault="00DE446B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2</w:t>
      </w:r>
      <w:r>
        <w:rPr>
          <w:rFonts w:ascii="JetBrains Mono" w:hAnsi="JetBrains Mono" w:hint="eastAsia"/>
          <w:color w:val="080808"/>
          <w:sz w:val="20"/>
          <w:szCs w:val="20"/>
        </w:rPr>
        <w:t>、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 w:hint="eastAsia"/>
          <w:color w:val="000000"/>
          <w:sz w:val="20"/>
          <w:szCs w:val="20"/>
        </w:rPr>
        <w:t>的实现原理</w:t>
      </w:r>
    </w:p>
    <w:p w14:paraId="20BD4E72" w14:textId="6D623093" w:rsidR="00DE446B" w:rsidRDefault="00DE446B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3</w:t>
      </w:r>
      <w:r>
        <w:rPr>
          <w:rFonts w:ascii="JetBrains Mono" w:hAnsi="JetBrains Mono" w:hint="eastAsia"/>
          <w:color w:val="000000"/>
          <w:sz w:val="20"/>
          <w:szCs w:val="20"/>
        </w:rPr>
        <w:t>、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 w:hint="eastAsia"/>
          <w:color w:val="000000"/>
          <w:sz w:val="20"/>
          <w:szCs w:val="20"/>
        </w:rPr>
        <w:t>的常见应用场景</w:t>
      </w:r>
    </w:p>
    <w:p w14:paraId="6AEE5669" w14:textId="5475E045" w:rsidR="00403C3E" w:rsidRDefault="00403C3E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</w:p>
    <w:p w14:paraId="4929A715" w14:textId="3891A984" w:rsidR="00403C3E" w:rsidRDefault="00403C3E" w:rsidP="00DE446B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一、</w:t>
      </w: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 w:hint="eastAsia"/>
          <w:color w:val="000000"/>
          <w:sz w:val="20"/>
          <w:szCs w:val="20"/>
        </w:rPr>
        <w:t>简介</w:t>
      </w:r>
    </w:p>
    <w:p w14:paraId="4720F63C" w14:textId="1DFD9F83" w:rsidR="00403C3E" w:rsidRDefault="00403C3E" w:rsidP="00DE446B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 w:rsidRPr="00DE446B">
        <w:rPr>
          <w:rFonts w:ascii="JetBrains Mono" w:hAnsi="JetBrains Mono"/>
          <w:color w:val="000000"/>
          <w:sz w:val="20"/>
          <w:szCs w:val="20"/>
        </w:rPr>
        <w:t>Semaphore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 w:hint="eastAsia"/>
          <w:color w:val="000000"/>
          <w:sz w:val="20"/>
          <w:szCs w:val="20"/>
        </w:rPr>
        <w:t>信号量</w:t>
      </w:r>
      <w:r>
        <w:rPr>
          <w:rFonts w:ascii="JetBrains Mono" w:hAnsi="JetBrains Mono"/>
          <w:color w:val="000000"/>
          <w:sz w:val="20"/>
          <w:szCs w:val="20"/>
        </w:rPr>
        <w:t>)</w:t>
      </w:r>
    </w:p>
    <w:p w14:paraId="471C3413" w14:textId="77777777" w:rsidR="00403C3E" w:rsidRPr="00DE446B" w:rsidRDefault="00403C3E" w:rsidP="00DE446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sectPr w:rsidR="00403C3E" w:rsidRPr="00DE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936E7" w14:textId="77777777" w:rsidR="00262B96" w:rsidRDefault="00262B96" w:rsidP="00DE446B">
      <w:r>
        <w:separator/>
      </w:r>
    </w:p>
  </w:endnote>
  <w:endnote w:type="continuationSeparator" w:id="0">
    <w:p w14:paraId="7F2A355E" w14:textId="77777777" w:rsidR="00262B96" w:rsidRDefault="00262B96" w:rsidP="00DE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06323" w14:textId="77777777" w:rsidR="00262B96" w:rsidRDefault="00262B96" w:rsidP="00DE446B">
      <w:r>
        <w:separator/>
      </w:r>
    </w:p>
  </w:footnote>
  <w:footnote w:type="continuationSeparator" w:id="0">
    <w:p w14:paraId="2FB0E23F" w14:textId="77777777" w:rsidR="00262B96" w:rsidRDefault="00262B96" w:rsidP="00DE4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CE1"/>
    <w:rsid w:val="00262B96"/>
    <w:rsid w:val="002A6ED9"/>
    <w:rsid w:val="00403C3E"/>
    <w:rsid w:val="004A0674"/>
    <w:rsid w:val="00521858"/>
    <w:rsid w:val="009017FA"/>
    <w:rsid w:val="00997C46"/>
    <w:rsid w:val="00CA2F30"/>
    <w:rsid w:val="00DE446B"/>
    <w:rsid w:val="00E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654D8"/>
  <w15:chartTrackingRefBased/>
  <w15:docId w15:val="{638AE72A-6143-42E6-BCC4-EB62BE5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1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185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4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2020-07-20T10:35:00Z</dcterms:created>
  <dcterms:modified xsi:type="dcterms:W3CDTF">2020-10-18T12:56:00Z</dcterms:modified>
</cp:coreProperties>
</file>