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OER redesign roles and handoff guide</w:t>
      </w:r>
    </w:p>
    <w:p>
      <w:r>
        <w:rPr>
          <w:color w:val="000000"/>
        </w:rPr>
        <w:t>Agree on who will do the work before building. One person may fill several roles. If working independently, use these responsibilities as a personal checklist. The instructor retains responsibility for instructional decisions.</w:t>
      </w:r>
    </w:p>
    <w:p>
      <w:pPr>
        <w:pStyle w:val="Heading1"/>
      </w:pPr>
      <w:r>
        <w:rPr>
          <w:color w:val="000000"/>
        </w:rPr>
        <w:t>Faculty lead</w:t>
      </w:r>
    </w:p>
    <w:p>
      <w:r>
        <w:rPr>
          <w:color w:val="000000"/>
        </w:rPr>
        <w:t>Define learning goals and select or approve materials. Design assessments and activities. Check subject accuracy, instructional fit, and the student learning sequence. Review and approve prepared materials and address instructional revisions.</w:t>
      </w:r>
    </w:p>
    <w:p>
      <w:pPr>
        <w:pStyle w:val="Heading1"/>
      </w:pPr>
      <w:r>
        <w:rPr>
          <w:color w:val="000000"/>
        </w:rPr>
        <w:t>Builder</w:t>
      </w:r>
    </w:p>
    <w:p>
      <w:r>
        <w:rPr>
          <w:color w:val="000000"/>
        </w:rPr>
        <w:t>Move and integrate agreed materials into the learning platform. Format content using appropriate templates, include attributions, and address accessibility within the agreed scope. Embed media and transfer assessment materials into platform tools as assigned. Flag content questions for faculty decisions.</w:t>
      </w:r>
    </w:p>
    <w:p>
      <w:pPr>
        <w:pStyle w:val="Heading1"/>
      </w:pPr>
      <w:r>
        <w:rPr>
          <w:color w:val="000000"/>
        </w:rPr>
        <w:t>Facilitator or coordinator</w:t>
      </w:r>
    </w:p>
    <w:p>
      <w:r>
        <w:rPr>
          <w:color w:val="000000"/>
        </w:rPr>
        <w:t>Clarify scope, roles, milestones, and review criteria. Connect faculty with library and other support, coordinate reviews, track decisions, and help resolve barriers. This role does not replace faculty content approval.</w:t>
      </w:r>
    </w:p>
    <w:p>
      <w:pPr>
        <w:pStyle w:val="Heading1"/>
      </w:pPr>
      <w:r>
        <w:rPr>
          <w:color w:val="000000"/>
        </w:rPr>
        <w:t>Reviewers and future instructors</w:t>
      </w:r>
    </w:p>
    <w:p>
      <w:r>
        <w:rPr>
          <w:color w:val="000000"/>
        </w:rPr>
        <w:t>Review against shared criteria and record actionable feedback. Before teaching, confirm access, course operation, known issues, and responsibility for updates. Decide who owns ongoing maintenance after the project ends.</w:t>
      </w:r>
    </w:p>
    <w:p>
      <w:pPr>
        <w:pStyle w:val="Heading1"/>
      </w:pPr>
      <w:r>
        <w:rPr>
          <w:color w:val="000000"/>
        </w:rPr>
        <w:t>Agree on the first handoff</w:t>
      </w:r>
    </w:p>
    <w:p>
      <w:r>
        <w:rPr>
          <w:color w:val="000000"/>
        </w:rPr>
        <w:t>Use one chapter or module to test the working arrangement before repeating it across the course.</w:t>
      </w:r>
    </w:p>
    <w:tbl>
      <w:tblPr>
        <w:tblStyle w:val="TableGrid"/>
        <w:tblW w:type="auto" w:w="0"/>
        <w:tblLayout w:type="fixed"/>
        <w:tblLook w:firstColumn="1" w:firstRow="1" w:lastColumn="0" w:lastRow="0" w:noHBand="0" w:noVBand="1" w:val="04A0"/>
      </w:tblPr>
      <w:tblGrid>
        <w:gridCol w:w="2160"/>
        <w:gridCol w:w="8064"/>
      </w:tblGrid>
      <w:tr>
        <w:trPr>
          <w:tblHeader/>
          <w:cantSplit/>
        </w:trPr>
        <w:tc>
          <w:tcPr>
            <w:tcW w:type="dxa" w:w="2160"/>
            <w:shd w:fill="F0F2F4" w:val="clear"/>
            <w:tcBorders>
              <w:top w:val="single" w:sz="4" w:color="D9D9D9"/>
              <w:left w:val="single" w:sz="4" w:color="D9D9D9"/>
              <w:bottom w:val="single" w:sz="4" w:color="D9D9D9"/>
              <w:right w:val="single" w:sz="4" w:color="D9D9D9"/>
            </w:tcBorders>
            <w:shd w:fill="F0F2F4" w:val="clear"/>
          </w:tcPr>
          <w:p>
            <w:pPr>
              <w:spacing w:after="80" w:before="60"/>
            </w:pPr>
            <w:r>
              <w:rPr>
                <w:rFonts w:ascii="Calibri" w:hAnsi="Calibri"/>
                <w:b/>
                <w:color w:val="000000"/>
                <w:sz w:val="21"/>
              </w:rPr>
              <w:t>Decision</w:t>
            </w:r>
          </w:p>
        </w:tc>
        <w:tc>
          <w:tcPr>
            <w:tcW w:type="dxa" w:w="8064"/>
            <w:shd w:fill="F0F2F4" w:val="clear"/>
            <w:tcBorders>
              <w:top w:val="single" w:sz="4" w:color="D9D9D9"/>
              <w:left w:val="single" w:sz="4" w:color="D9D9D9"/>
              <w:bottom w:val="single" w:sz="4" w:color="D9D9D9"/>
              <w:right w:val="single" w:sz="4" w:color="D9D9D9"/>
            </w:tcBorders>
            <w:shd w:fill="F0F2F4" w:val="clear"/>
          </w:tcPr>
          <w:p>
            <w:pPr>
              <w:spacing w:after="80" w:before="60"/>
            </w:pPr>
            <w:r>
              <w:rPr>
                <w:rFonts w:ascii="Calibri" w:hAnsi="Calibri"/>
                <w:b/>
                <w:color w:val="000000"/>
                <w:sz w:val="21"/>
              </w:rPr>
              <w:t>Your agreement</w:t>
            </w:r>
          </w:p>
        </w:tc>
      </w:tr>
      <w:tr>
        <w:trPr>
          <w:cantSplit/>
        </w:trPr>
        <w:tc>
          <w:tcPr>
            <w:tcW w:type="dxa" w:w="2160"/>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Deliverable</w:t>
            </w:r>
          </w:p>
        </w:tc>
        <w:tc>
          <w:tcPr>
            <w:tcW w:type="dxa" w:w="8064"/>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[What exactly will be prepared, and where?]</w:t>
            </w:r>
          </w:p>
        </w:tc>
      </w:tr>
      <w:tr>
        <w:trPr>
          <w:cantSplit/>
        </w:trPr>
        <w:tc>
          <w:tcPr>
            <w:tcW w:type="dxa" w:w="2160"/>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Owners</w:t>
            </w:r>
          </w:p>
        </w:tc>
        <w:tc>
          <w:tcPr>
            <w:tcW w:type="dxa" w:w="8064"/>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[Who prepares it, approves content, coordinates review, and makes revisions?]</w:t>
            </w:r>
          </w:p>
        </w:tc>
      </w:tr>
      <w:tr>
        <w:trPr>
          <w:cantSplit/>
        </w:trPr>
        <w:tc>
          <w:tcPr>
            <w:tcW w:type="dxa" w:w="2160"/>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Review criteria</w:t>
            </w:r>
          </w:p>
        </w:tc>
        <w:tc>
          <w:tcPr>
            <w:tcW w:type="dxa" w:w="8064"/>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[What does acceptable accuracy, alignment, organization, accessibility, and attribution look like?]</w:t>
            </w:r>
          </w:p>
        </w:tc>
      </w:tr>
      <w:tr>
        <w:trPr>
          <w:cantSplit/>
        </w:trPr>
        <w:tc>
          <w:tcPr>
            <w:tcW w:type="dxa" w:w="2160"/>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Timing and support</w:t>
            </w:r>
          </w:p>
        </w:tc>
        <w:tc>
          <w:tcPr>
            <w:tcW w:type="dxa" w:w="8064"/>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[When will feedback arrive? What help is available? Who resolves questions?]</w:t>
            </w:r>
          </w:p>
        </w:tc>
      </w:tr>
      <w:tr>
        <w:trPr>
          <w:cantSplit/>
        </w:trPr>
        <w:tc>
          <w:tcPr>
            <w:tcW w:type="dxa" w:w="2160"/>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Decision and follow-up</w:t>
            </w:r>
          </w:p>
        </w:tc>
        <w:tc>
          <w:tcPr>
            <w:tcW w:type="dxa" w:w="8064"/>
            <w:tcBorders>
              <w:top w:val="single" w:sz="4" w:color="D9D9D9"/>
              <w:left w:val="single" w:sz="4" w:color="D9D9D9"/>
              <w:bottom w:val="single" w:sz="4" w:color="D9D9D9"/>
              <w:right w:val="single" w:sz="4" w:color="D9D9D9"/>
            </w:tcBorders>
          </w:tcPr>
          <w:p>
            <w:pPr>
              <w:spacing w:after="80" w:before="60"/>
            </w:pPr>
            <w:r>
              <w:rPr>
                <w:rFonts w:ascii="Calibri" w:hAnsi="Calibri"/>
                <w:color w:val="000000"/>
                <w:sz w:val="21"/>
              </w:rPr>
              <w:t>[Approved / revise; action owner; next review date]</w:t>
            </w:r>
          </w:p>
        </w:tc>
      </w:tr>
    </w:tbl>
    <w:sectPr w:rsidR="00FC693F" w:rsidRPr="0006063C" w:rsidSect="00034616">
      <w:footerReference w:type="default" r:id="rId9"/>
      <w:footerReference w:type="first" r:id="rId10"/>
      <w:footerReference w:type="even" r:id="rId11"/>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after="0"/>
      <w:pBdr>
        <w:top w:val="single" w:sz="4" w:color="D9D9D9"/>
      </w:pBdr>
    </w:pPr>
    <w:r>
      <w:rPr>
        <w:rFonts w:ascii="Calibri" w:hAnsi="Calibri"/>
        <w:color w:val="444444"/>
        <w:sz w:val="16"/>
      </w:rPr>
      <w:t>Adapted from OER Self-Directed Redesign by Bonnie Alger, Laura Baker, Alice Davis, Huyen Maluck, and Erica Huff. CC BY-SA 4.0.</w:t>
      <w:br/>
      <w:t>https://creativecommons.org/licenses/by-sa/4.0/ | Individual resources retain their own credits and licenses.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after="0"/>
      <w:pBdr>
        <w:top w:val="single" w:sz="4" w:color="D9D9D9"/>
      </w:pBdr>
    </w:pPr>
    <w:r>
      <w:rPr>
        <w:rFonts w:ascii="Calibri" w:hAnsi="Calibri"/>
        <w:color w:val="444444"/>
        <w:sz w:val="16"/>
      </w:rPr>
      <w:t>Adapted from OER Self-Directed Redesign by Bonnie Alger, Laura Baker, Alice Davis, Huyen Maluck, and Erica Huff. CC BY-SA 4.0.</w:t>
      <w:br/>
      <w:t>https://creativecommons.org/licenses/by-sa/4.0/ | Individual resources retain their own credits and licenses.</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after="0"/>
      <w:pBdr>
        <w:top w:val="single" w:sz="4" w:color="D9D9D9"/>
      </w:pBdr>
    </w:pPr>
    <w:r>
      <w:rPr>
        <w:rFonts w:ascii="Calibri" w:hAnsi="Calibri"/>
        <w:color w:val="444444"/>
        <w:sz w:val="16"/>
      </w:rPr>
      <w:t>Adapted from OER Self-Directed Redesign by Bonnie Alger, Laura Baker, Alice Davis, Huyen Maluck, and Erica Huff. CC BY-SA 4.0.</w:t>
      <w:br/>
      <w:t>https://creativecommons.org/licenses/by-sa/4.0/ | Individual resources retain their own credits and licenses.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OER redesign roles and handoff guide</dc:title>
  <dc:subject/>
  <dc:creator>Erica Huff, Midlands Technical College</dc:creator>
  <cp:keywords/>
  <dc:description>generated by python-docx</dc:description>
  <cp:lastModifiedBy/>
  <cp:revision>1</cp:revision>
  <dcterms:created xsi:type="dcterms:W3CDTF">2013-12-23T23:15:00Z</dcterms:created>
  <dcterms:modified xsi:type="dcterms:W3CDTF">2013-12-23T23:15:00Z</dcterms:modified>
  <cp:category/>
</cp:coreProperties>
</file>