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数据融合方法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Advanced MultiSensor Optical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Remote Sensing for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Urban Land Use and Land Cover Classiﬁcation: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Outcome of the 2018 IEEE GRSS Data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Fusion Contest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提出了Fusion FCN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特征级融合：将LiDAR与VHS（超高分辨率图像）连接进行卷积，NDSM进行卷积，与HS图像进行拼接，卷积后softmax</w:t>
      </w:r>
    </w:p>
    <w:p>
      <w:r>
        <w:drawing>
          <wp:inline distT="0" distB="0" distL="114300" distR="114300">
            <wp:extent cx="2726690" cy="22936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Fusion of Aerial Lidar and Images for Road Segmentation with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Deep CNN</w:t>
      </w:r>
    </w:p>
    <w:p>
      <w:r>
        <w:drawing>
          <wp:inline distT="0" distB="0" distL="114300" distR="114300">
            <wp:extent cx="2303780" cy="98806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使用三个SEGNET进行融合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Aerial Images Meet Crowdsourced Trajectories: A New Approach to Robust Road Extraction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提出能够跨模态的双增强模块，提取其中的互补信息进行增强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09775"/>
            <wp:effectExtent l="0" t="0" r="1079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改进方案：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在基于特征级融合拼接的基础上探讨跨模态对不同的模态进行互补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通过LiDAR点云计算提取数字高程模型信息（</w:t>
      </w:r>
      <w:r>
        <w:rPr>
          <w:rFonts w:hint="default"/>
          <w:lang w:val="en-US" w:eastAsia="zh-CN"/>
        </w:rPr>
        <w:t>数字高度模型</w:t>
      </w:r>
      <w:r>
        <w:rPr>
          <w:rFonts w:hint="eastAsia"/>
          <w:lang w:val="en-US" w:eastAsia="zh-CN"/>
        </w:rPr>
        <w:t>（DNM））等作为神经网络的输入。</w:t>
      </w:r>
    </w:p>
    <w:p>
      <w:pPr>
        <w:numPr>
          <w:numId w:val="0"/>
        </w:numPr>
      </w:pPr>
      <w:r>
        <w:drawing>
          <wp:inline distT="0" distB="0" distL="114300" distR="114300">
            <wp:extent cx="3295650" cy="88328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3.输入的模块可以不止两个，可以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592C0F"/>
    <w:multiLevelType w:val="singleLevel"/>
    <w:tmpl w:val="51592C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7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2022-07-17T03:15:00Z</dcterms:created>
  <dc:creator>mtch0</dc:creator>
  <cp:lastModifiedBy>马天驰</cp:lastModifiedBy>
  <dcterms:modified xsi:type="dcterms:W3CDTF">2022-07-17T09:47:43Z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0EA983BAE899418BAB3EC2F218A6405F</vt:lpwstr>
  </property>
</Properties>
</file>