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Default Azure Infrastructure Policies</w:t>
      </w:r>
    </w:p>
    <w:p>
      <w:pPr/>
      <w:r>
        <w:t>Originally written guidance for ARB validation. Section headers are uppercase and numbered to match the policy extractor.</w:t>
      </w:r>
    </w:p>
    <w:p>
      <w:pPr>
        <w:pStyle w:val="Heading1"/>
      </w:pPr>
      <w:r>
        <w:rPr>
          <w:sz w:val="28"/>
        </w:rPr>
        <w:t>1. IDENTITY AND ACCESS MANAGEMENT</w:t>
      </w:r>
    </w:p>
    <w:p>
      <w:r>
        <w:t>Identity is the new perimeter for Azure workloads. All human and workload identities must be issued from a single Microsoft Entra ID tenant; multi-tenant workloads should rely on application registrations with limited consent rather than shared credentials. Privileged access is granted just-in-time through Privileged Identity Management with time-bound activation, approval workflows, and access reviews on a quarterly cadence. Conditional Access policies must enforce phishing-resistant MFA for all administrators and for any user accessing production data planes; legacy authentication protocols are blocked at the tenant level.</w:t>
      </w:r>
    </w:p>
    <w:p>
      <w:r>
        <w:t>Workload identities favour managed identities — system-assigned where the lifecycle matches the resource, user-assigned where the identity is shared across resources or deployment slots. Service principals with client secrets are only permitted as a documented exception and must rotate credentials at least every 90 days through automation. Role assignments follow the principle of least privilege: prefer built-in roles, scope to the smallest resource boundary that satisfies the requirement, and use Azure ABAC conditions where the platform supports them. Break-glass accounts are excluded from Conditional Access only for the specific controls that would lock them out, monitored continuously, and stored in a sealed offline process.</w:t>
      </w:r>
    </w:p>
    <w:p>
      <w:r>
        <w:t>Guest access is governed through entitlement management with sponsor approval, automatic expiry, and access reviews. Federation with on-premises Active Directory uses Microsoft Entra Connect with password hash sync as the default, falling back to pass-through authentication only where regulatory constraints prohibit hash synchronisation.</w:t>
      </w:r>
    </w:p>
    <w:p>
      <w:pPr>
        <w:pStyle w:val="Heading1"/>
      </w:pPr>
      <w:r>
        <w:rPr>
          <w:sz w:val="28"/>
        </w:rPr>
        <w:t>2. NETWORK SECURITY AND SEGMENTATION</w:t>
      </w:r>
    </w:p>
    <w:p>
      <w:r>
        <w:t>Azure network design starts from a hub-and-spoke topology with an Azure Virtual WAN or a regional hub virtual network providing shared services: Azure Firewall, ExpressRoute or VPN gateways, DNS resolvers, and bastion hosts. Workload spokes are peered to the hub and never to each other, forcing east-west traffic through inspection. Each spoke is subdivided into purpose-built subnets (web tier, application tier, data tier, management) with Network Security Groups applying default-deny rules and explicit allow lists keyed to Application Security Groups rather than IP ranges.</w:t>
      </w:r>
    </w:p>
    <w:p>
      <w:r>
        <w:t>Public ingress is concentrated on Azure Front Door or Application Gateway with the integrated Web Application Firewall in prevention mode using the latest OWASP and Microsoft-managed rule sets. Outbound internet egress flows through Azure Firewall with FQDN-based rules; direct workload-to-internet routes are blocked. Private Endpoints are the default for every PaaS data service (Storage, Key Vault, SQL, Cosmos DB, Service Bus, Event Hubs); public network access on the resource is explicitly disabled.</w:t>
      </w:r>
    </w:p>
    <w:p>
      <w:r>
        <w:t>Private DNS zones are hub-managed and linked to all spokes to ensure consistent name resolution. ExpressRoute uses MACsec or IPsec over the private peering for sensitive workloads, and circuits are deployed in active-active across two peering locations for resiliency. DDoS Network Protection is enabled on every virtual network hosting an internet-facing endpoint.</w:t>
      </w:r>
    </w:p>
    <w:p>
      <w:pPr>
        <w:pStyle w:val="Heading1"/>
      </w:pPr>
      <w:r>
        <w:rPr>
          <w:sz w:val="28"/>
        </w:rPr>
        <w:t>3. DATA PROTECTION AND ENCRYPTION</w:t>
      </w:r>
    </w:p>
    <w:p>
      <w:r>
        <w:t>Data classification drives every protection control. Each workload maintains a data inventory mapping datasets to one of four sensitivity tiers (public, internal, confidential, restricted), and the tier dictates encryption, key management, retention, and egress controls. Encryption at rest is mandatory for all storage services and uses customer-managed keys (CMK) stored in Azure Key Vault Premium with HSM-backed keys for confidential and restricted tiers; platform-managed keys are acceptable only for public tier non-production workloads.</w:t>
      </w:r>
    </w:p>
    <w:p>
      <w:r>
        <w:t>Key rotation is automated on a maximum 12-month cadence with versioning preserved to support decryption of historical data. Encryption in transit requires TLS 1.2 or higher with modern cipher suites; Azure service endpoints that still permit TLS 1.0/1.1 must be explicitly overridden. Sensitive fields within databases use Always Encrypted, client-side envelope encryption, or Azure SQL column-level encryption to protect against insider DBAs.</w:t>
      </w:r>
    </w:p>
    <w:p>
      <w:r>
        <w:t>Secrets — connection strings, API keys, certificates — live exclusively in Key Vault; configuration files and ARM/Bicep templates must reference them via Key Vault references rather than embedding values. Backups, snapshots, and exported datasets inherit the source encryption posture; cross-region replication must remain within approved data-residency boundaries. Data loss prevention is enforced through Microsoft Purview policies on Microsoft 365 and via egress controls on Azure storage.</w:t>
      </w:r>
    </w:p>
    <w:p>
      <w:pPr>
        <w:pStyle w:val="Heading1"/>
      </w:pPr>
      <w:r>
        <w:rPr>
          <w:sz w:val="28"/>
        </w:rPr>
        <w:t>4. STORAGE BEST PRACTICES</w:t>
      </w:r>
    </w:p>
    <w:p>
      <w:r>
        <w:t>Azure Storage accounts are provisioned per workload and per environment with the minimum redundancy that satisfies the recovery objectives: ZRS for regional resilience, GZRS for cross-region durability of restricted-tier data, and LRS only for ephemeral or reproducible data. Account-level settings must enforce TLS 1.2, disable shared-key access in favour of Microsoft Entra authentication, disable public blob access, and require infrastructure encryption (double encryption) for confidential and restricted tiers. Blob soft delete is enabled with a minimum 14-day retention; container soft delete and versioning are enabled for any container hosting non-reproducible data, and immutable blob storage with time-based retention policies is used for audit and compliance datasets.</w:t>
      </w:r>
    </w:p>
    <w:p>
      <w:r>
        <w:t>Lifecycle management policies tier cool data to Cool or Archive after defined inactivity windows to control cost. Azure Files shares use identity-based authentication via Microsoft Entra Kerberos or AD DS; NTLM-only access is prohibited. Managed disks default to Premium SSD v2 for production workloads with host-based caching matched to the workload pattern, and ephemeral OS disks are used for stateless scale-set workers.</w:t>
      </w:r>
    </w:p>
    <w:p>
      <w:r>
        <w:t>Disk encryption is always on; CMK with Azure Disk Encryption Sets is required for confidential and restricted tiers. Storage accounts are reached only over Private Endpoints, with selected-networks firewall rules as a secondary defence.</w:t>
      </w:r>
    </w:p>
    <w:p>
      <w:pPr>
        <w:pStyle w:val="Heading1"/>
      </w:pPr>
      <w:r>
        <w:rPr>
          <w:sz w:val="28"/>
        </w:rPr>
        <w:t>5. COMPUTE AND VM HARDENING</w:t>
      </w:r>
    </w:p>
    <w:p>
      <w:r>
        <w:t>Virtual machines are the exception, not the default — workloads should be evaluated against managed compute platforms (App Service, Container Apps, Functions, AKS) before approving IaaS. Where VMs are justified, they must run from a curated, regularly updated golden image produced by Azure Image Builder or Azure Compute Gallery, with CIS Level 1 or higher hardening baked in. Trusted Launch is enabled for all Generation 2 VMs, providing Secure Boot, vTPM, and boot integrity monitoring; Confidential VMs are selected for workloads processing restricted-tier data.</w:t>
      </w:r>
    </w:p>
    <w:p>
      <w:r>
        <w:t>Just-in-Time VM access through Microsoft Defender for Cloud is mandatory; persistent inbound RDP or SSH ports on NSGs are prohibited and Azure Bastion is the only supported management path. Guest patching is performed by Azure Update Manager on a defined maintenance window — critical and security patches within 14 days of release, others within 30. Endpoint protection via Microsoft Defender for Servers Plan 2 is deployed to every VM and scale-set instance and forwards alerts to the central SOC workspace.</w:t>
      </w:r>
    </w:p>
    <w:p>
      <w:r>
        <w:t>VM extensions are constrained by Azure Policy to an approved list, and the Custom Script Extension is blocked outside of break-glass scenarios because it can execute arbitrary code. Auto-shutdown schedules are applied to all non-production VMs to control spend.</w:t>
      </w:r>
    </w:p>
    <w:p>
      <w:pPr>
        <w:pStyle w:val="Heading1"/>
      </w:pPr>
      <w:r>
        <w:rPr>
          <w:sz w:val="28"/>
        </w:rPr>
        <w:t>6. CONTAINER AND KUBERNETES SECURITY</w:t>
      </w:r>
    </w:p>
    <w:p>
      <w:r>
        <w:t>AKS clusters are deployed as private clusters with the API server exposed only over a Private Endpoint; public API endpoints are not permitted in production. Workload identity uses the Microsoft Entra Workload Identity integration so pods receive scoped tokens through federated credentials instead of managing service-principal secrets in cluster. Cluster authentication is integrated with Microsoft Entra ID with Azure RBAC for Kubernetes authorisation; local Kubernetes accounts are disabled.</w:t>
      </w:r>
    </w:p>
    <w:p>
      <w:r>
        <w:t>Each cluster carries Azure Policy for Kubernetes with the baseline and restricted pod-security profiles applied, denying privileged containers, host networking, host paths, and the use of the default service account. Container images are pulled exclusively from Azure Container Registry instances with Microsoft Defender for Containers scanning enabled and quarantine on vulnerable images; image signatures are verified through Notary v2/Notation policies before deployment. Network policy (Calico or Azure Network Policy) is enabled per namespace with default-deny rules and explicit egress allow lists.</w:t>
      </w:r>
    </w:p>
    <w:p>
      <w:r>
        <w:t>Cluster upgrades follow the AKS supported version policy: minor versions are upgraded within 90 days of release, and the node image is rotated monthly through auto-upgrade. Secrets are sourced through the Secret Store CSI Driver backed by Key Vault rather than Kubernetes secrets. Cluster diagnostic logs and audit logs flow to the central Log Analytics workspace.</w:t>
      </w:r>
    </w:p>
    <w:p>
      <w:pPr>
        <w:pStyle w:val="Heading1"/>
      </w:pPr>
      <w:r>
        <w:rPr>
          <w:sz w:val="28"/>
        </w:rPr>
        <w:t>7. SERVERLESS AND APP SERVICE GUIDANCE</w:t>
      </w:r>
    </w:p>
    <w:p>
      <w:r>
        <w:t>App Service Plans and Function premium/elastic plans live inside a regional VNet with VNet integration enabled and outbound traffic routed through the hub firewall. Inbound traffic to App Service apps is restricted by access-restriction rules combined with Private Endpoints; public access is disabled where the front door (Azure Front Door, Application Gateway, or APIM) provides ingress. Functions default to the Flex Consumption or Premium plan when VNet integration, private storage, or long-running execution is needed; the Consumption plan is reserved for stateless, public, low-sensitivity scenarios.</w:t>
      </w:r>
    </w:p>
    <w:p>
      <w:r>
        <w:t>System-assigned managed identity is enabled on every app and is the only mechanism used to call downstream Azure services. Application settings store no secrets — Key Vault references are used universally. HTTPS-only and minimum TLS 1.2 are enforced, FTP/FTPS deployment is disabled, and SCM is locked to specific source IPs or front-door headers.</w:t>
      </w:r>
    </w:p>
    <w:p>
      <w:r>
        <w:t>Deployment slots provide blue-green releases; production swaps occur only after automated smoke tests succeed. Diagnostic settings stream application logs, HTTP logs, and platform metrics to Log Analytics. Auto-heal rules and health-check endpoints are configured so the platform can recycle unhealthy instances automatically.</w:t>
      </w:r>
    </w:p>
    <w:p>
      <w:pPr>
        <w:pStyle w:val="Heading1"/>
      </w:pPr>
      <w:r>
        <w:rPr>
          <w:sz w:val="28"/>
        </w:rPr>
        <w:t>8. DATABASE AND DATA PLATFORM</w:t>
      </w:r>
    </w:p>
    <w:p>
      <w:r>
        <w:t>Relational workloads prefer Azure SQL Managed Instance or Azure Database for PostgreSQL Flexible Server, deployed inside a delegated subnet with Private Endpoints and no public access. Transparent Data Encryption uses customer-managed keys for confidential and restricted data; auditing and Microsoft Defender for SQL are enabled with alerts wired to the SOC. Authentication is Microsoft Entra ID only — SQL logins and built-in admin accounts are disabled after bootstrap and managed identities are used for service-to-database calls.</w:t>
      </w:r>
    </w:p>
    <w:p>
      <w:r>
        <w:t>Cosmos DB is provisioned with the minimum consistency level required (Session by default), Private Endpoint access only, and regional failover groups for tier-1 workloads; throughput is governed by autoscale with per-container caps to prevent runaway cost. Synapse and Fabric workspaces enforce managed VNet, managed Private Endpoints to linked stores, and workspace-level Microsoft Entra integration. Backup retention is defined per RPO/RTO requirement: short-term point-in-time recovery on the platform plus long-term retention policies for compliance datasets.</w:t>
      </w:r>
    </w:p>
    <w:p>
      <w:r>
        <w:t>Schema migrations flow through version-controlled pipelines with approval gates; no ad-hoc DDL is executed against production. Database connection strings are stored in Key Vault and consumed via references.</w:t>
      </w:r>
    </w:p>
    <w:p>
      <w:pPr>
        <w:pStyle w:val="Heading1"/>
      </w:pPr>
      <w:r>
        <w:rPr>
          <w:sz w:val="28"/>
        </w:rPr>
        <w:t>9. OBSERVABILITY MONITORING AND LOGGING</w:t>
      </w:r>
    </w:p>
    <w:p>
      <w:r>
        <w:t>Every workload emits telemetry to a central Log Analytics workspace in the same geography, with workspace-based Application Insights for application telemetry. Platform diagnostic settings are enabled on every resource via Azure Policy and forward activity logs, resource logs, and metrics; absence of diagnostic settings is an audit failure. Retention is tiered: 30–90 days hot, 1–2 years archive, with longer retention for security and compliance datasets driven by data-class policy.</w:t>
      </w:r>
    </w:p>
    <w:p>
      <w:r>
        <w:t>Microsoft Sentinel sits over the same workspace for security analytics, with connectors enabled for Microsoft Entra ID, Microsoft 365, Defender for Cloud, and the workload data planes. Service-level objectives are defined per critical user journey with SLI dashboards in Azure Workbooks or Grafana; alerts fire on burn-rate rather than raw thresholds to limit noise. Each alert is wired through Azure Monitor action groups to the team's on-call rotation in PagerDuty, ServiceNow, or Teams, with runbooks linked from the alert.</w:t>
      </w:r>
    </w:p>
    <w:p>
      <w:r>
        <w:t>Distributed tracing uses OpenTelemetry; correlation IDs traverse every service hop and surface in logs. Resource health and service health alerts inform incident response of platform-side events independent of workload telemetry.</w:t>
      </w:r>
    </w:p>
    <w:p>
      <w:pPr>
        <w:pStyle w:val="Heading1"/>
      </w:pPr>
      <w:r>
        <w:rPr>
          <w:sz w:val="28"/>
        </w:rPr>
        <w:t>10. BACKUP DISASTER RECOVERY AND BUSINESS CONTINUITY</w:t>
      </w:r>
    </w:p>
    <w:p>
      <w:r>
        <w:t>Every production workload declares an RPO and RTO during design review; the declared values drive the choice of redundancy, backup frequency, and DR pattern. Azure Backup protects VMs, Azure Files, SQL in VM, and PostgreSQL/MySQL Flexible Servers with vaulted backups for ransomware protection, immutability turned on, and cross-region restore enabled for tier-1 workloads. PaaS data stores use the platform's native protection (SQL PITR, Cosmos DB continuous backup, Storage soft delete + versioning + object replication) configured to match the declared RPO.</w:t>
      </w:r>
    </w:p>
    <w:p>
      <w:r>
        <w:t>Recovery Services Vaults and Backup Vaults are deployed per region with diagnostic settings forwarded to the central workspace. DR patterns range from active-active across paired regions for tier-0 workloads, to active-passive with Azure Site Recovery for tier-1 VM-based workloads, to backup-and-rebuild for tier-2 workloads where IaC enables rapid reconstruction. Every workload tests its DR plan at least annually with a documented tabletop or live failover exercise; results feed back into the SLO and architecture review.</w:t>
      </w:r>
    </w:p>
    <w:p>
      <w:r>
        <w:t>Backup credentials and recovery keys are stored in a separate Key Vault from the production keys to guard against blast radius.</w:t>
      </w:r>
    </w:p>
    <w:p>
      <w:pPr>
        <w:pStyle w:val="Heading1"/>
      </w:pPr>
      <w:r>
        <w:rPr>
          <w:sz w:val="28"/>
        </w:rPr>
        <w:t>11. COST MANAGEMENT AND TAGGING</w:t>
      </w:r>
    </w:p>
    <w:p>
      <w:r>
        <w:t>Cost ownership is established at design time. Every subscription, resource group, and resource carries a mandatory tag set: ``costCenter``, ``owner``, ``environment``, ``workload``, ``dataClassification``, and ``slaTier``. Azure Policy denies resource creation when any mandatory tag is missing, and inheritance policies propagate resource-group tags to child resources.</w:t>
      </w:r>
    </w:p>
    <w:p>
      <w:r>
        <w:t>Budgets are configured per subscription and per workload with alerts at 50, 80, and 100 percent of forecast, and action groups that notify the FinOps channel and the workload owner. Reservations and savings plans are evaluated quarterly for steady-state compute; spot VMs are used for fault-tolerant batch workloads. Idle and right-sizing recommendations from Azure Advisor are reviewed monthly and either actioned or documented as a deliberate exception.</w:t>
      </w:r>
    </w:p>
    <w:p>
      <w:r>
        <w:t>Non-production environments run on schedules: dev/test compute auto-shuts down outside business hours, and ephemeral environments are torn down by the IaC pipeline when feature branches close. Cost anomaly detection is enabled and anomalies trigger automated investigation tasks. Chargeback and showback reports flow from Microsoft Cost Management exports into the central FinOps Power BI workspace.</w:t>
      </w:r>
    </w:p>
    <w:p>
      <w:pPr>
        <w:pStyle w:val="Heading1"/>
      </w:pPr>
      <w:r>
        <w:rPr>
          <w:sz w:val="28"/>
        </w:rPr>
        <w:t>12. NAMING CONVENTIONS AND RESOURCE ORGANIZATION</w:t>
      </w:r>
    </w:p>
    <w:p>
      <w:r>
        <w:t>Resource names follow a deterministic pattern: ``&lt;resourceType&gt;-&lt;workload&gt;-&lt;environment&gt;-&lt;region&gt;-&lt;instance&gt;`` using approved abbreviations (e.g. ``stg`` for Storage, ``kv`` for Key Vault, ``aks`` for Kubernetes Service), kebab-case where the resource permits it, and lowercase otherwise. Global resources whose names must be unique (Storage accounts, Key Vaults, App Services, Container Registries) append a short hash suffix derived from the subscription ID to avoid collisions.</w:t>
      </w:r>
    </w:p>
    <w:p>
      <w:r>
        <w:t>Resource groups bound the lifecycle of a related set of resources — never a mix of permanent and ephemeral resources in the same group. Subscriptions are aligned to environment and workload tier: shared services, production, non-production, and sandbox each get their own subscription scope, and management groups arrange them under a landing-zone hierarchy (platform, application, sandbox, decommissioned). Region selection is driven by data residency and latency requirements; deployments use Azure region pairs for cross-region replication.</w:t>
      </w:r>
    </w:p>
    <w:p>
      <w:r>
        <w:t>Tags supplement but do not replace the naming convention. Resource locks (CanNotDelete for production data, ReadOnly for the landing-zone backbone) prevent accidental deletion. The naming convention and abbreviation table live in the platform handbook and are enforced by an Azure Policy regex match.</w:t>
      </w:r>
    </w:p>
    <w:p>
      <w:pPr>
        <w:pStyle w:val="Heading1"/>
      </w:pPr>
      <w:r>
        <w:rPr>
          <w:sz w:val="28"/>
        </w:rPr>
        <w:t>13. DEVOPS CI CD AND INFRASTRUCTURE AS CODE</w:t>
      </w:r>
    </w:p>
    <w:p>
      <w:r>
        <w:t>All Azure infrastructure is defined as code — Bicep is the default for greenfield landing-zone and workload deployments; Terraform is acceptable where the team has existing investment, and ARM JSON is deprecated. Module reuse is mandatory: workloads consume versioned modules published from the platform team's private registry rather than copy-pasting resource blocks. Source of truth lives in Git with branch protection on the main branch — required reviewers, signed commits, status checks for linting (Bicep linter, tflint), unit tests, security scanning (PSRule for Azure, Checkov, tfsec), and a what-if/plan output reviewed in the PR.</w:t>
      </w:r>
    </w:p>
    <w:p>
      <w:r>
        <w:t>Pipelines run on managed agents (Azure DevOps or GitHub Actions) authenticated to Azure with workload-identity federation; long-lived service principals and PATs are not permitted. Deployments are promoted through environments (dev, test, stage, prod) with approval gates and automated smoke tests after each stage. Secrets used during deployment are pulled from Key Vault at runtime through the federated identity, never stored in pipeline variables.</w:t>
      </w:r>
    </w:p>
    <w:p>
      <w:r>
        <w:t>Production deployments occur during defined change windows and emit deployment annotations to Application Insights so observability dashboards can correlate behaviour changes.</w:t>
      </w:r>
    </w:p>
    <w:p>
      <w:pPr>
        <w:pStyle w:val="Heading1"/>
      </w:pPr>
      <w:r>
        <w:rPr>
          <w:sz w:val="28"/>
        </w:rPr>
        <w:t>14. COMPLIANCE GOVERNANCE AND POLICY</w:t>
      </w:r>
    </w:p>
    <w:p>
      <w:r>
        <w:t>Azure Policy is the primary governance mechanism. The platform team assigns regulatory and corporate initiatives (ISO 27001, SOC 2, PCI DSS where applicable, and the internal landing-zone baseline) at the management-group root with deny and audit effects calibrated to the environment tier — deny in production, audit in sandbox. Policy assignments expose parameters that workload teams set per subscription rather than rewriting policies.</w:t>
      </w:r>
    </w:p>
    <w:p>
      <w:r>
        <w:t>Microsoft Defender for Cloud regulatory compliance dashboards are reviewed monthly, with non-compliant resources triaged within an SLA tied to severity. Microsoft Purview catalogues data assets and lineage, applying sensitivity labels that drive downstream access and protection. Audit logs (activity log, Microsoft Entra sign-in and audit, Defender alerts) are forwarded to an immutable archive with a minimum 7-year retention for SOX-relevant subscriptions.</w:t>
      </w:r>
    </w:p>
    <w:p>
      <w:r>
        <w:t>Exception management is formal: every policy exemption carries a justification, owner, compensating control, and expiry date, and exemptions are reviewed quarterly. Internal and external audits draw from the same evidence store. Cost of compliance is itself reported so the business can weigh control investments.</w:t>
      </w:r>
    </w:p>
    <w:p>
      <w:pPr>
        <w:pStyle w:val="Heading1"/>
      </w:pPr>
      <w:r>
        <w:rPr>
          <w:sz w:val="28"/>
        </w:rPr>
        <w:t>15. AI AND AGENT WORKLOADS GOVERNANCE</w:t>
      </w:r>
    </w:p>
    <w:p>
      <w:r>
        <w:t>Generative AI and agent workloads built on Azure AI Foundry, Azure OpenAI, or Azure Machine Learning inherit every control in this document and add domain-specific governance. Foundry projects and Azure OpenAI resources are deployed regionally to satisfy data residency, with Private Endpoint access and Microsoft Entra authentication; API keys are disabled in favour of managed-identity access from caller workloads. Model selection prefers regional GA deployments — at the time of writing Canada Central does not list ``gpt-5.4-pro``, so production workloads default to ``gpt-5.3-chat-1`` (or the equivalent successor already deployed in ``foundry-cc-canada``) and document the fallback in a prompt contract; deployments auto-upgrade when the target model becomes available.</w:t>
      </w:r>
    </w:p>
    <w:p>
      <w:r>
        <w:t>Content safety filters run on every request and response; prompt-injection defences and jailbreak detection are enabled, and violations are logged to the security workspace. Grounding data retrieved through Azure AI Search or other RAG sources respects the same data classification: restricted-tier corpora live in dedicated indexes with filterable security trimming. Agent and tool definitions are version-controlled prompt contracts that declare intent, inputs, outputs, edge cases, and acceptance criteria; changes go through code review.</w:t>
      </w:r>
    </w:p>
    <w:p>
      <w:r>
        <w:t>Evaluation pipelines run automated groundedness, relevance, and safety scoring before promotion. Cost and quota are monitored per deployment with budgets and rate limits aligned to business value, and PII redaction is applied to telemetry to satisfy privacy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