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5674" w14:textId="77777777" w:rsidR="00BA7513" w:rsidRDefault="00000000">
      <w:pPr>
        <w:pBdr>
          <w:bottom w:val="single" w:sz="14" w:space="4" w:color="0F6CBD"/>
        </w:pBdr>
        <w:spacing w:after="20"/>
      </w:pPr>
      <w:r>
        <w:rPr>
          <w:b/>
          <w:bCs/>
          <w:color w:val="0F6CBD"/>
          <w:sz w:val="40"/>
          <w:szCs w:val="40"/>
        </w:rPr>
        <w:t>Proactive Engagement Plan</w:t>
      </w:r>
    </w:p>
    <w:p w14:paraId="7E124633" w14:textId="77777777" w:rsidR="00BA7513" w:rsidRDefault="00000000">
      <w:pPr>
        <w:spacing w:before="40" w:after="20"/>
      </w:pPr>
      <w:r>
        <w:rPr>
          <w:sz w:val="19"/>
          <w:szCs w:val="19"/>
        </w:rPr>
        <w:t>Two motions to extend the Innovation Hub — deeper into priority accounts and wider across the SE community</w:t>
      </w:r>
    </w:p>
    <w:p w14:paraId="1E1C1D39" w14:textId="77777777" w:rsidR="00BA7513" w:rsidRDefault="00000000">
      <w:pPr>
        <w:spacing w:after="140"/>
      </w:pPr>
      <w:r>
        <w:rPr>
          <w:b/>
          <w:bCs/>
          <w:color w:val="6B7280"/>
          <w:sz w:val="16"/>
          <w:szCs w:val="16"/>
        </w:rPr>
        <w:t xml:space="preserve">Mark </w:t>
      </w:r>
      <w:proofErr w:type="gramStart"/>
      <w:r>
        <w:rPr>
          <w:b/>
          <w:bCs/>
          <w:color w:val="6B7280"/>
          <w:sz w:val="16"/>
          <w:szCs w:val="16"/>
        </w:rPr>
        <w:t>Franco</w:t>
      </w:r>
      <w:r>
        <w:rPr>
          <w:color w:val="6B7280"/>
          <w:sz w:val="16"/>
          <w:szCs w:val="16"/>
        </w:rPr>
        <w:t xml:space="preserve">  ·</w:t>
      </w:r>
      <w:proofErr w:type="gramEnd"/>
      <w:r>
        <w:rPr>
          <w:color w:val="6B7280"/>
          <w:sz w:val="16"/>
          <w:szCs w:val="16"/>
        </w:rPr>
        <w:t xml:space="preserve">  Sr Solution Engineer, Americas Innovation </w:t>
      </w:r>
      <w:proofErr w:type="gramStart"/>
      <w:r>
        <w:rPr>
          <w:color w:val="6B7280"/>
          <w:sz w:val="16"/>
          <w:szCs w:val="16"/>
        </w:rPr>
        <w:t>Hub  ·</w:t>
      </w:r>
      <w:proofErr w:type="gramEnd"/>
      <w:r>
        <w:rPr>
          <w:color w:val="6B7280"/>
          <w:sz w:val="16"/>
          <w:szCs w:val="16"/>
        </w:rPr>
        <w:t xml:space="preserve">  Prepared for Laurie Roseland-</w:t>
      </w:r>
      <w:proofErr w:type="gramStart"/>
      <w:r>
        <w:rPr>
          <w:color w:val="6B7280"/>
          <w:sz w:val="16"/>
          <w:szCs w:val="16"/>
        </w:rPr>
        <w:t>Barnes  ·</w:t>
      </w:r>
      <w:proofErr w:type="gramEnd"/>
      <w:r>
        <w:rPr>
          <w:color w:val="6B7280"/>
          <w:sz w:val="16"/>
          <w:szCs w:val="16"/>
        </w:rPr>
        <w:t xml:space="preserve">  FY26</w:t>
      </w:r>
    </w:p>
    <w:tbl>
      <w:tblPr>
        <w:tblW w:w="10440" w:type="dxa"/>
        <w:tblBorders>
          <w:top w:val="single" w:sz="1" w:space="0" w:color="C7D7E8"/>
          <w:left w:val="single" w:sz="1" w:space="0" w:color="C7D7E8"/>
          <w:bottom w:val="single" w:sz="1" w:space="0" w:color="C7D7E8"/>
          <w:right w:val="single" w:sz="1" w:space="0" w:color="C7D7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BA7513" w14:paraId="22BD1944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9CF93" w14:textId="77777777" w:rsidR="00BA7513" w:rsidRDefault="00000000">
            <w:r>
              <w:rPr>
                <w:b/>
                <w:bCs/>
                <w:color w:val="0F6CBD"/>
              </w:rPr>
              <w:t xml:space="preserve">My intent:  </w:t>
            </w:r>
            <w:r>
              <w:t xml:space="preserve">Stop waiting for inbound and proactively put the Hub in front of the people who shape customer outcomes. Both motions below are proactive — </w:t>
            </w:r>
            <w:r>
              <w:rPr>
                <w:b/>
                <w:bCs/>
              </w:rPr>
              <w:t>Motion 1 drives depth</w:t>
            </w:r>
            <w:r>
              <w:t xml:space="preserve"> on named priority accounts and demonstrates Hub value; </w:t>
            </w:r>
            <w:r>
              <w:rPr>
                <w:b/>
                <w:bCs/>
              </w:rPr>
              <w:t>Motion 2 drives breadth</w:t>
            </w:r>
            <w:r>
              <w:t xml:space="preserve"> — awareness of our innovation across the SE community, with a two-way learning loop.</w:t>
            </w:r>
          </w:p>
        </w:tc>
      </w:tr>
    </w:tbl>
    <w:p w14:paraId="4B7EF788" w14:textId="77777777" w:rsidR="00BA7513" w:rsidRDefault="00BA7513">
      <w:pPr>
        <w:spacing w:after="120"/>
      </w:pPr>
    </w:p>
    <w:tbl>
      <w:tblPr>
        <w:tblW w:w="104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BA7513" w14:paraId="32E00D82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C7D7E8"/>
              <w:left w:val="single" w:sz="1" w:space="0" w:color="C7D7E8"/>
              <w:bottom w:val="single" w:sz="1" w:space="0" w:color="C7D7E8"/>
              <w:right w:val="single" w:sz="1" w:space="0" w:color="C7D7E8"/>
            </w:tcBorders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60EAEE3A" w14:textId="77777777" w:rsidR="00BA7513" w:rsidRDefault="00000000">
            <w:pPr>
              <w:shd w:val="clear" w:color="auto" w:fill="0F6CBD"/>
              <w:spacing w:before="20" w:after="20"/>
            </w:pPr>
            <w:r>
              <w:rPr>
                <w:b/>
                <w:bCs/>
                <w:color w:val="FFFFFF"/>
              </w:rPr>
              <w:t>Motion 1 — Priority Account Activation</w:t>
            </w:r>
          </w:p>
          <w:p w14:paraId="2FC20E66" w14:textId="77777777" w:rsidR="00BA7513" w:rsidRDefault="00000000">
            <w:pPr>
              <w:shd w:val="clear" w:color="auto" w:fill="0F6CBD"/>
              <w:spacing w:after="80"/>
            </w:pPr>
            <w:r>
              <w:rPr>
                <w:i/>
                <w:iCs/>
                <w:color w:val="DCE9F7"/>
                <w:sz w:val="15"/>
                <w:szCs w:val="15"/>
              </w:rPr>
              <w:t>Targeted · depth on named accounts · demonstrate Hub value</w:t>
            </w:r>
          </w:p>
          <w:p w14:paraId="42AF250A" w14:textId="3D3235A1" w:rsidR="00BA7513" w:rsidRDefault="00000000">
            <w:pPr>
              <w:spacing w:before="60" w:after="80" w:line="236" w:lineRule="auto"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Bring the Hub to my priority account teams to move the needle on their </w:t>
            </w:r>
            <w:r w:rsidR="00F04169">
              <w:rPr>
                <w:b/>
                <w:bCs/>
                <w:i/>
                <w:iCs/>
                <w:sz w:val="17"/>
                <w:szCs w:val="17"/>
              </w:rPr>
              <w:t>accounts</w:t>
            </w:r>
            <w:r>
              <w:rPr>
                <w:b/>
                <w:bCs/>
                <w:i/>
                <w:iCs/>
                <w:sz w:val="17"/>
                <w:szCs w:val="17"/>
              </w:rPr>
              <w:t>.</w:t>
            </w:r>
          </w:p>
          <w:p w14:paraId="542CBD22" w14:textId="77777777" w:rsidR="00BA7513" w:rsidRDefault="00000000">
            <w:pPr>
              <w:spacing w:after="70"/>
            </w:pPr>
            <w:r>
              <w:rPr>
                <w:b/>
                <w:bCs/>
                <w:color w:val="0F6CBD"/>
                <w:sz w:val="17"/>
                <w:szCs w:val="17"/>
              </w:rPr>
              <w:t xml:space="preserve">Objective: </w:t>
            </w:r>
            <w:r>
              <w:rPr>
                <w:sz w:val="17"/>
                <w:szCs w:val="17"/>
              </w:rPr>
              <w:t>Partner with each AE/ATS to plan initial customer journeys, map Hub engagements to live MSX opportunities, and surface cross-solution value early — without committing the full architect bench.</w:t>
            </w:r>
          </w:p>
          <w:p w14:paraId="5360ACA6" w14:textId="77777777" w:rsidR="00BA7513" w:rsidRDefault="00000000">
            <w:pPr>
              <w:spacing w:before="30" w:after="20"/>
            </w:pPr>
            <w:r>
              <w:rPr>
                <w:b/>
                <w:bCs/>
                <w:color w:val="0F6CBD"/>
                <w:sz w:val="17"/>
                <w:szCs w:val="17"/>
              </w:rPr>
              <w:t>What I’ll do</w:t>
            </w:r>
          </w:p>
          <w:p w14:paraId="3ECC3A57" w14:textId="77777777" w:rsidR="00BA7513" w:rsidRDefault="00000000">
            <w:pPr>
              <w:pStyle w:val="ListParagraph"/>
              <w:numPr>
                <w:ilvl w:val="0"/>
                <w:numId w:val="2"/>
              </w:numPr>
              <w:spacing w:after="30" w:line="232" w:lineRule="auto"/>
            </w:pPr>
            <w:r>
              <w:rPr>
                <w:sz w:val="17"/>
                <w:szCs w:val="17"/>
              </w:rPr>
              <w:t>Run a working session per account: review the top MSX opportunities and pick 1–2 to anchor an initial journey.</w:t>
            </w:r>
          </w:p>
          <w:p w14:paraId="3BE6F3DF" w14:textId="77777777" w:rsidR="00BA7513" w:rsidRDefault="00000000">
            <w:pPr>
              <w:pStyle w:val="ListParagraph"/>
              <w:numPr>
                <w:ilvl w:val="0"/>
                <w:numId w:val="2"/>
              </w:numPr>
              <w:spacing w:after="30" w:line="232" w:lineRule="auto"/>
            </w:pPr>
            <w:r>
              <w:rPr>
                <w:sz w:val="17"/>
                <w:szCs w:val="17"/>
              </w:rPr>
              <w:t>Walk the team through our process (envisioning → architecture → rapid prototype → hackathon) and the one-pager that fits.</w:t>
            </w:r>
          </w:p>
          <w:p w14:paraId="26268ACE" w14:textId="77777777" w:rsidR="00BA7513" w:rsidRDefault="00000000">
            <w:pPr>
              <w:pStyle w:val="ListParagraph"/>
              <w:numPr>
                <w:ilvl w:val="0"/>
                <w:numId w:val="2"/>
              </w:numPr>
              <w:spacing w:after="30" w:line="232" w:lineRule="auto"/>
            </w:pPr>
            <w:r>
              <w:rPr>
                <w:sz w:val="17"/>
                <w:szCs w:val="17"/>
              </w:rPr>
              <w:t>Show how a Hub motion can start lightweight — with just me — scaling architects only once it is validated.</w:t>
            </w:r>
          </w:p>
          <w:p w14:paraId="2FA7BDAE" w14:textId="77777777" w:rsidR="00BA7513" w:rsidRDefault="00000000">
            <w:pPr>
              <w:pStyle w:val="ListParagraph"/>
              <w:numPr>
                <w:ilvl w:val="0"/>
                <w:numId w:val="2"/>
              </w:numPr>
              <w:spacing w:after="30" w:line="232" w:lineRule="auto"/>
            </w:pPr>
            <w:r>
              <w:rPr>
                <w:sz w:val="17"/>
                <w:szCs w:val="17"/>
              </w:rPr>
              <w:t>Ask to be a standing participant in their account-planning meetings.</w:t>
            </w:r>
          </w:p>
          <w:p w14:paraId="51248291" w14:textId="77777777" w:rsidR="00BA7513" w:rsidRDefault="00000000">
            <w:pPr>
              <w:spacing w:after="60"/>
            </w:pPr>
            <w:r>
              <w:rPr>
                <w:b/>
                <w:bCs/>
                <w:color w:val="0F6CBD"/>
                <w:sz w:val="17"/>
                <w:szCs w:val="17"/>
              </w:rPr>
              <w:t xml:space="preserve">Cadence: </w:t>
            </w:r>
            <w:r>
              <w:rPr>
                <w:sz w:val="17"/>
                <w:szCs w:val="17"/>
              </w:rPr>
              <w:t>Light recurring sync per account; agreed next step + outcome recorded in MSX.</w:t>
            </w:r>
          </w:p>
          <w:p w14:paraId="00B1E406" w14:textId="77777777" w:rsidR="00BA7513" w:rsidRDefault="00000000">
            <w:pPr>
              <w:spacing w:after="2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The ask to Laurie: </w:t>
            </w:r>
            <w:r>
              <w:rPr>
                <w:sz w:val="17"/>
                <w:szCs w:val="17"/>
              </w:rPr>
              <w:t>Endorse a standing seat for me in priority-account planning.</w:t>
            </w:r>
          </w:p>
        </w:tc>
        <w:tc>
          <w:tcPr>
            <w:tcW w:w="4920" w:type="dxa"/>
            <w:tcBorders>
              <w:top w:val="single" w:sz="1" w:space="0" w:color="C7D7E8"/>
              <w:left w:val="single" w:sz="1" w:space="0" w:color="C7D7E8"/>
              <w:bottom w:val="single" w:sz="1" w:space="0" w:color="C7D7E8"/>
              <w:right w:val="single" w:sz="1" w:space="0" w:color="C7D7E8"/>
            </w:tcBorders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3856A82" w14:textId="77777777" w:rsidR="00BA7513" w:rsidRDefault="00000000">
            <w:pPr>
              <w:shd w:val="clear" w:color="auto" w:fill="0F6CBD"/>
              <w:spacing w:before="20" w:after="20"/>
            </w:pPr>
            <w:r>
              <w:rPr>
                <w:b/>
                <w:bCs/>
                <w:color w:val="FFFFFF"/>
              </w:rPr>
              <w:t>Motion 2 — SE Community Innovation Exchange</w:t>
            </w:r>
          </w:p>
          <w:p w14:paraId="7053DD22" w14:textId="77777777" w:rsidR="00BA7513" w:rsidRDefault="00000000">
            <w:pPr>
              <w:shd w:val="clear" w:color="auto" w:fill="0F6CBD"/>
              <w:spacing w:after="80"/>
            </w:pPr>
            <w:r>
              <w:rPr>
                <w:i/>
                <w:iCs/>
                <w:color w:val="DCE9F7"/>
                <w:sz w:val="15"/>
                <w:szCs w:val="15"/>
              </w:rPr>
              <w:t>Scale · awareness across the SE org · two-way learning</w:t>
            </w:r>
          </w:p>
          <w:p w14:paraId="5C5759D6" w14:textId="77777777" w:rsidR="00BA7513" w:rsidRDefault="00000000">
            <w:pPr>
              <w:spacing w:before="60" w:after="80" w:line="236" w:lineRule="auto"/>
            </w:pPr>
            <w:r>
              <w:rPr>
                <w:b/>
                <w:bCs/>
                <w:i/>
                <w:iCs/>
                <w:sz w:val="17"/>
                <w:szCs w:val="17"/>
              </w:rPr>
              <w:t>Plug into SE leaders’ existing meetings to broadcast what the Hub is building.</w:t>
            </w:r>
          </w:p>
          <w:p w14:paraId="1E1E4395" w14:textId="77777777" w:rsidR="00BA7513" w:rsidRDefault="00000000">
            <w:pPr>
              <w:spacing w:after="70"/>
            </w:pPr>
            <w:r>
              <w:rPr>
                <w:b/>
                <w:bCs/>
                <w:color w:val="0F6CBD"/>
                <w:sz w:val="17"/>
                <w:szCs w:val="17"/>
              </w:rPr>
              <w:t xml:space="preserve">Objective: </w:t>
            </w:r>
            <w:r>
              <w:rPr>
                <w:sz w:val="17"/>
                <w:szCs w:val="17"/>
              </w:rPr>
              <w:t>Create awareness across the SE org of the cutting-edge rapid prototypes we deliver with customers, so field SEs can reuse them — and so we learn what they are seeing in their own accounts.</w:t>
            </w:r>
          </w:p>
          <w:p w14:paraId="0A1360A2" w14:textId="77777777" w:rsidR="00BA7513" w:rsidRDefault="00000000">
            <w:pPr>
              <w:spacing w:before="30" w:after="20"/>
            </w:pPr>
            <w:r>
              <w:rPr>
                <w:b/>
                <w:bCs/>
                <w:color w:val="0F6CBD"/>
                <w:sz w:val="17"/>
                <w:szCs w:val="17"/>
              </w:rPr>
              <w:t>What I’ll do</w:t>
            </w:r>
          </w:p>
          <w:p w14:paraId="246ECE7E" w14:textId="77777777" w:rsidR="00BA7513" w:rsidRDefault="00000000">
            <w:pPr>
              <w:pStyle w:val="ListParagraph"/>
              <w:numPr>
                <w:ilvl w:val="0"/>
                <w:numId w:val="2"/>
              </w:numPr>
              <w:spacing w:after="30" w:line="232" w:lineRule="auto"/>
            </w:pPr>
            <w:r>
              <w:rPr>
                <w:sz w:val="17"/>
                <w:szCs w:val="17"/>
              </w:rPr>
              <w:t>Join the regular team meetings run by Joyce, Bill Bladasti, and other SE managers.</w:t>
            </w:r>
          </w:p>
          <w:p w14:paraId="49F46E9F" w14:textId="77777777" w:rsidR="00BA7513" w:rsidRDefault="00000000">
            <w:pPr>
              <w:pStyle w:val="ListParagraph"/>
              <w:numPr>
                <w:ilvl w:val="0"/>
                <w:numId w:val="2"/>
              </w:numPr>
              <w:spacing w:after="30" w:line="232" w:lineRule="auto"/>
            </w:pPr>
            <w:r>
              <w:rPr>
                <w:sz w:val="17"/>
                <w:szCs w:val="17"/>
              </w:rPr>
              <w:t>Demo the newest innovative outcomes from recent Hub engagements — live prototypes, not slides.</w:t>
            </w:r>
          </w:p>
          <w:p w14:paraId="4144A21A" w14:textId="77777777" w:rsidR="00BA7513" w:rsidRDefault="00000000">
            <w:pPr>
              <w:pStyle w:val="ListParagraph"/>
              <w:numPr>
                <w:ilvl w:val="0"/>
                <w:numId w:val="2"/>
              </w:numPr>
              <w:spacing w:after="30" w:line="232" w:lineRule="auto"/>
            </w:pPr>
            <w:r>
              <w:rPr>
                <w:sz w:val="17"/>
                <w:szCs w:val="17"/>
              </w:rPr>
              <w:t>Hand off reusable assets and patterns SEs can take directly into their customer work.</w:t>
            </w:r>
          </w:p>
          <w:p w14:paraId="010B9F35" w14:textId="77777777" w:rsidR="00BA7513" w:rsidRDefault="00000000">
            <w:pPr>
              <w:pStyle w:val="ListParagraph"/>
              <w:numPr>
                <w:ilvl w:val="0"/>
                <w:numId w:val="2"/>
              </w:numPr>
              <w:spacing w:after="30" w:line="232" w:lineRule="auto"/>
            </w:pPr>
            <w:r>
              <w:rPr>
                <w:sz w:val="17"/>
                <w:szCs w:val="17"/>
              </w:rPr>
              <w:t>Capture field signals back into the Hub to shape our next prototypes.</w:t>
            </w:r>
          </w:p>
          <w:p w14:paraId="35E76CFA" w14:textId="77777777" w:rsidR="00BA7513" w:rsidRDefault="00000000">
            <w:pPr>
              <w:spacing w:after="60"/>
            </w:pPr>
            <w:r>
              <w:rPr>
                <w:b/>
                <w:bCs/>
                <w:color w:val="0F6CBD"/>
                <w:sz w:val="17"/>
                <w:szCs w:val="17"/>
              </w:rPr>
              <w:t xml:space="preserve">Cadence: </w:t>
            </w:r>
            <w:r>
              <w:rPr>
                <w:sz w:val="17"/>
                <w:szCs w:val="17"/>
              </w:rPr>
              <w:t>Recurring guest slot inside existing SE forums — no new meeting overhead.</w:t>
            </w:r>
          </w:p>
          <w:p w14:paraId="0A4C798F" w14:textId="77777777" w:rsidR="00BA7513" w:rsidRDefault="00000000">
            <w:pPr>
              <w:spacing w:after="2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The ask to Laurie: </w:t>
            </w:r>
            <w:r>
              <w:rPr>
                <w:sz w:val="17"/>
                <w:szCs w:val="17"/>
              </w:rPr>
              <w:t>A warm intro to Joyce and Bill, and support for a recurring Hub demo slot.</w:t>
            </w:r>
          </w:p>
        </w:tc>
      </w:tr>
    </w:tbl>
    <w:p w14:paraId="587314A8" w14:textId="77777777" w:rsidR="00BA7513" w:rsidRDefault="00000000">
      <w:pPr>
        <w:spacing w:before="160" w:after="40"/>
      </w:pPr>
      <w:r>
        <w:rPr>
          <w:b/>
          <w:bCs/>
          <w:color w:val="0F6CBD"/>
        </w:rPr>
        <w:t>Proof points I can demo now (live, customer-built rapid prototypes)</w:t>
      </w:r>
    </w:p>
    <w:p w14:paraId="51EC6877" w14:textId="77777777" w:rsidR="00BA7513" w:rsidRDefault="00000000">
      <w:pPr>
        <w:spacing w:after="60" w:line="236" w:lineRule="auto"/>
      </w:pPr>
      <w:r>
        <w:rPr>
          <w:sz w:val="16"/>
          <w:szCs w:val="16"/>
        </w:rPr>
        <w:t xml:space="preserve">Hydro One — Agentic AI rapid </w:t>
      </w:r>
      <w:proofErr w:type="gramStart"/>
      <w:r>
        <w:rPr>
          <w:sz w:val="16"/>
          <w:szCs w:val="16"/>
        </w:rPr>
        <w:t>prototype  ·</w:t>
      </w:r>
      <w:proofErr w:type="gramEnd"/>
      <w:r>
        <w:rPr>
          <w:sz w:val="16"/>
          <w:szCs w:val="16"/>
        </w:rPr>
        <w:t xml:space="preserve">  Magna International — M365 Copilot + SAP </w:t>
      </w:r>
      <w:proofErr w:type="gramStart"/>
      <w:r>
        <w:rPr>
          <w:sz w:val="16"/>
          <w:szCs w:val="16"/>
        </w:rPr>
        <w:t>integration  ·</w:t>
      </w:r>
      <w:proofErr w:type="gramEnd"/>
      <w:r>
        <w:rPr>
          <w:sz w:val="16"/>
          <w:szCs w:val="16"/>
        </w:rPr>
        <w:t xml:space="preserve">  Scotiabank — Agent Day (retail banking </w:t>
      </w:r>
      <w:proofErr w:type="gramStart"/>
      <w:r>
        <w:rPr>
          <w:sz w:val="16"/>
          <w:szCs w:val="16"/>
        </w:rPr>
        <w:t>ops)  ·</w:t>
      </w:r>
      <w:proofErr w:type="gramEnd"/>
      <w:r>
        <w:rPr>
          <w:sz w:val="16"/>
          <w:szCs w:val="16"/>
        </w:rPr>
        <w:t xml:space="preserve">  Brookfield — IT-in-a-</w:t>
      </w:r>
      <w:proofErr w:type="gramStart"/>
      <w:r>
        <w:rPr>
          <w:sz w:val="16"/>
          <w:szCs w:val="16"/>
        </w:rPr>
        <w:t>Box  ·</w:t>
      </w:r>
      <w:proofErr w:type="gramEnd"/>
      <w:r>
        <w:rPr>
          <w:sz w:val="16"/>
          <w:szCs w:val="16"/>
        </w:rPr>
        <w:t xml:space="preserve">  Bombardier — architecture design session</w:t>
      </w:r>
    </w:p>
    <w:p w14:paraId="75708B99" w14:textId="77777777" w:rsidR="00BA7513" w:rsidRDefault="00000000">
      <w:pPr>
        <w:spacing w:before="60" w:after="40"/>
      </w:pPr>
      <w:r>
        <w:rPr>
          <w:b/>
          <w:bCs/>
          <w:color w:val="0F6CBD"/>
          <w:sz w:val="17"/>
          <w:szCs w:val="17"/>
        </w:rPr>
        <w:t xml:space="preserve">Priority accounts in scope (Motion 1):  </w:t>
      </w:r>
      <w:proofErr w:type="gramStart"/>
      <w:r>
        <w:rPr>
          <w:sz w:val="16"/>
          <w:szCs w:val="16"/>
        </w:rPr>
        <w:t>BMO  ·</w:t>
      </w:r>
      <w:proofErr w:type="gramEnd"/>
      <w:r>
        <w:rPr>
          <w:sz w:val="16"/>
          <w:szCs w:val="16"/>
        </w:rPr>
        <w:t xml:space="preserve">  Constellation </w:t>
      </w:r>
      <w:proofErr w:type="gramStart"/>
      <w:r>
        <w:rPr>
          <w:sz w:val="16"/>
          <w:szCs w:val="16"/>
        </w:rPr>
        <w:t>Software  ·</w:t>
      </w:r>
      <w:proofErr w:type="gramEnd"/>
      <w:r>
        <w:rPr>
          <w:sz w:val="16"/>
          <w:szCs w:val="16"/>
        </w:rPr>
        <w:t xml:space="preserve">  Government of </w:t>
      </w:r>
      <w:proofErr w:type="gramStart"/>
      <w:r>
        <w:rPr>
          <w:sz w:val="16"/>
          <w:szCs w:val="16"/>
        </w:rPr>
        <w:t>Ontario  ·</w:t>
      </w:r>
      <w:proofErr w:type="gramEnd"/>
      <w:r>
        <w:rPr>
          <w:sz w:val="16"/>
          <w:szCs w:val="16"/>
        </w:rPr>
        <w:t xml:space="preserve">  </w:t>
      </w:r>
      <w:proofErr w:type="gramStart"/>
      <w:r>
        <w:rPr>
          <w:sz w:val="16"/>
          <w:szCs w:val="16"/>
        </w:rPr>
        <w:t>Metrolinx  ·</w:t>
      </w:r>
      <w:proofErr w:type="gramEnd"/>
      <w:r>
        <w:rPr>
          <w:sz w:val="16"/>
          <w:szCs w:val="16"/>
        </w:rPr>
        <w:t xml:space="preserve">  </w:t>
      </w:r>
      <w:proofErr w:type="gramStart"/>
      <w:r>
        <w:rPr>
          <w:sz w:val="16"/>
          <w:szCs w:val="16"/>
        </w:rPr>
        <w:t>RBC  ·</w:t>
      </w:r>
      <w:proofErr w:type="gramEnd"/>
      <w:r>
        <w:rPr>
          <w:sz w:val="16"/>
          <w:szCs w:val="16"/>
        </w:rPr>
        <w:t xml:space="preserve">  </w:t>
      </w:r>
      <w:proofErr w:type="gramStart"/>
      <w:r>
        <w:rPr>
          <w:sz w:val="16"/>
          <w:szCs w:val="16"/>
        </w:rPr>
        <w:t>Saputo  ·</w:t>
      </w:r>
      <w:proofErr w:type="gramEnd"/>
      <w:r>
        <w:rPr>
          <w:sz w:val="16"/>
          <w:szCs w:val="16"/>
        </w:rPr>
        <w:t xml:space="preserve">  </w:t>
      </w:r>
      <w:proofErr w:type="gramStart"/>
      <w:r>
        <w:rPr>
          <w:sz w:val="16"/>
          <w:szCs w:val="16"/>
        </w:rPr>
        <w:t>WSIB  ·</w:t>
      </w:r>
      <w:proofErr w:type="gramEnd"/>
      <w:r>
        <w:rPr>
          <w:sz w:val="16"/>
          <w:szCs w:val="16"/>
        </w:rPr>
        <w:t xml:space="preserve">  WSP</w:t>
      </w:r>
    </w:p>
    <w:p w14:paraId="79A85BC6" w14:textId="77777777" w:rsidR="00BA7513" w:rsidRDefault="00000000">
      <w:pPr>
        <w:spacing w:before="60"/>
      </w:pPr>
      <w:r>
        <w:rPr>
          <w:b/>
          <w:bCs/>
          <w:color w:val="0F6CBD"/>
          <w:sz w:val="17"/>
          <w:szCs w:val="17"/>
        </w:rPr>
        <w:t xml:space="preserve">How I’ll measure it:  </w:t>
      </w:r>
      <w:r>
        <w:rPr>
          <w:sz w:val="16"/>
          <w:szCs w:val="16"/>
        </w:rPr>
        <w:t xml:space="preserve">priority accounts with a planned journey and a standing planning </w:t>
      </w:r>
      <w:proofErr w:type="gramStart"/>
      <w:r>
        <w:rPr>
          <w:sz w:val="16"/>
          <w:szCs w:val="16"/>
        </w:rPr>
        <w:t>seat  ·</w:t>
      </w:r>
      <w:proofErr w:type="gramEnd"/>
      <w:r>
        <w:rPr>
          <w:sz w:val="16"/>
          <w:szCs w:val="16"/>
        </w:rPr>
        <w:t xml:space="preserve">  MSX opportunities mapped to a Hub </w:t>
      </w:r>
      <w:proofErr w:type="gramStart"/>
      <w:r>
        <w:rPr>
          <w:sz w:val="16"/>
          <w:szCs w:val="16"/>
        </w:rPr>
        <w:t>motion  ·</w:t>
      </w:r>
      <w:proofErr w:type="gramEnd"/>
      <w:r>
        <w:rPr>
          <w:sz w:val="16"/>
          <w:szCs w:val="16"/>
        </w:rPr>
        <w:t xml:space="preserve">  SE forums with a recurring Hub demo </w:t>
      </w:r>
      <w:proofErr w:type="gramStart"/>
      <w:r>
        <w:rPr>
          <w:sz w:val="16"/>
          <w:szCs w:val="16"/>
        </w:rPr>
        <w:t>slot  ·</w:t>
      </w:r>
      <w:proofErr w:type="gramEnd"/>
      <w:r>
        <w:rPr>
          <w:sz w:val="16"/>
          <w:szCs w:val="16"/>
        </w:rPr>
        <w:t xml:space="preserve">  reusable assets shared and field insights captured.</w:t>
      </w:r>
    </w:p>
    <w:sectPr w:rsidR="00BA7513">
      <w:pgSz w:w="12240" w:h="15840"/>
      <w:pgMar w:top="72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310BA"/>
    <w:multiLevelType w:val="hybridMultilevel"/>
    <w:tmpl w:val="E1B20B70"/>
    <w:lvl w:ilvl="0" w:tplc="0F185952">
      <w:start w:val="1"/>
      <w:numFmt w:val="bullet"/>
      <w:lvlText w:val="•"/>
      <w:lvlJc w:val="left"/>
      <w:pPr>
        <w:ind w:left="260" w:hanging="180"/>
      </w:pPr>
      <w:rPr>
        <w:color w:val="0F6CBD"/>
      </w:rPr>
    </w:lvl>
    <w:lvl w:ilvl="1" w:tplc="3522B806">
      <w:numFmt w:val="decimal"/>
      <w:lvlText w:val=""/>
      <w:lvlJc w:val="left"/>
    </w:lvl>
    <w:lvl w:ilvl="2" w:tplc="4D901A8A">
      <w:numFmt w:val="decimal"/>
      <w:lvlText w:val=""/>
      <w:lvlJc w:val="left"/>
    </w:lvl>
    <w:lvl w:ilvl="3" w:tplc="8E1C6C0E">
      <w:numFmt w:val="decimal"/>
      <w:lvlText w:val=""/>
      <w:lvlJc w:val="left"/>
    </w:lvl>
    <w:lvl w:ilvl="4" w:tplc="F0CECC62">
      <w:numFmt w:val="decimal"/>
      <w:lvlText w:val=""/>
      <w:lvlJc w:val="left"/>
    </w:lvl>
    <w:lvl w:ilvl="5" w:tplc="8B64EF8A">
      <w:numFmt w:val="decimal"/>
      <w:lvlText w:val=""/>
      <w:lvlJc w:val="left"/>
    </w:lvl>
    <w:lvl w:ilvl="6" w:tplc="18FCCE80">
      <w:numFmt w:val="decimal"/>
      <w:lvlText w:val=""/>
      <w:lvlJc w:val="left"/>
    </w:lvl>
    <w:lvl w:ilvl="7" w:tplc="8BF826AC">
      <w:numFmt w:val="decimal"/>
      <w:lvlText w:val=""/>
      <w:lvlJc w:val="left"/>
    </w:lvl>
    <w:lvl w:ilvl="8" w:tplc="FB94FCB2">
      <w:numFmt w:val="decimal"/>
      <w:lvlText w:val=""/>
      <w:lvlJc w:val="left"/>
    </w:lvl>
  </w:abstractNum>
  <w:abstractNum w:abstractNumId="1" w15:restartNumberingAfterBreak="0">
    <w:nsid w:val="6A480E77"/>
    <w:multiLevelType w:val="hybridMultilevel"/>
    <w:tmpl w:val="D44E366E"/>
    <w:lvl w:ilvl="0" w:tplc="77C8C6CC">
      <w:start w:val="1"/>
      <w:numFmt w:val="bullet"/>
      <w:lvlText w:val="●"/>
      <w:lvlJc w:val="left"/>
      <w:pPr>
        <w:ind w:left="720" w:hanging="360"/>
      </w:pPr>
    </w:lvl>
    <w:lvl w:ilvl="1" w:tplc="2446DB60">
      <w:start w:val="1"/>
      <w:numFmt w:val="bullet"/>
      <w:lvlText w:val="○"/>
      <w:lvlJc w:val="left"/>
      <w:pPr>
        <w:ind w:left="1440" w:hanging="360"/>
      </w:pPr>
    </w:lvl>
    <w:lvl w:ilvl="2" w:tplc="725802D8">
      <w:start w:val="1"/>
      <w:numFmt w:val="bullet"/>
      <w:lvlText w:val="■"/>
      <w:lvlJc w:val="left"/>
      <w:pPr>
        <w:ind w:left="2160" w:hanging="360"/>
      </w:pPr>
    </w:lvl>
    <w:lvl w:ilvl="3" w:tplc="55F4DDAE">
      <w:start w:val="1"/>
      <w:numFmt w:val="bullet"/>
      <w:lvlText w:val="●"/>
      <w:lvlJc w:val="left"/>
      <w:pPr>
        <w:ind w:left="2880" w:hanging="360"/>
      </w:pPr>
    </w:lvl>
    <w:lvl w:ilvl="4" w:tplc="023CF6FA">
      <w:start w:val="1"/>
      <w:numFmt w:val="bullet"/>
      <w:lvlText w:val="○"/>
      <w:lvlJc w:val="left"/>
      <w:pPr>
        <w:ind w:left="3600" w:hanging="360"/>
      </w:pPr>
    </w:lvl>
    <w:lvl w:ilvl="5" w:tplc="56AA2B6A">
      <w:start w:val="1"/>
      <w:numFmt w:val="bullet"/>
      <w:lvlText w:val="■"/>
      <w:lvlJc w:val="left"/>
      <w:pPr>
        <w:ind w:left="4320" w:hanging="360"/>
      </w:pPr>
    </w:lvl>
    <w:lvl w:ilvl="6" w:tplc="FAA04E08">
      <w:start w:val="1"/>
      <w:numFmt w:val="bullet"/>
      <w:lvlText w:val="●"/>
      <w:lvlJc w:val="left"/>
      <w:pPr>
        <w:ind w:left="5040" w:hanging="360"/>
      </w:pPr>
    </w:lvl>
    <w:lvl w:ilvl="7" w:tplc="077C74D8">
      <w:start w:val="1"/>
      <w:numFmt w:val="bullet"/>
      <w:lvlText w:val="●"/>
      <w:lvlJc w:val="left"/>
      <w:pPr>
        <w:ind w:left="5760" w:hanging="360"/>
      </w:pPr>
    </w:lvl>
    <w:lvl w:ilvl="8" w:tplc="0E04EF88">
      <w:start w:val="1"/>
      <w:numFmt w:val="bullet"/>
      <w:lvlText w:val="●"/>
      <w:lvlJc w:val="left"/>
      <w:pPr>
        <w:ind w:left="6480" w:hanging="360"/>
      </w:pPr>
    </w:lvl>
  </w:abstractNum>
  <w:num w:numId="1" w16cid:durableId="1942107877">
    <w:abstractNumId w:val="1"/>
    <w:lvlOverride w:ilvl="0">
      <w:startOverride w:val="1"/>
    </w:lvlOverride>
  </w:num>
  <w:num w:numId="2" w16cid:durableId="871847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513"/>
    <w:rsid w:val="00BA7513"/>
    <w:rsid w:val="00F04169"/>
    <w:rsid w:val="00FB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6EEE"/>
  <w15:docId w15:val="{42DA3AB7-A47B-4833-B05D-65F4F0FF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18"/>
        <w:szCs w:val="18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505</Words>
  <Characters>2625</Characters>
  <Application>Microsoft Office Word</Application>
  <DocSecurity>0</DocSecurity>
  <Lines>58</Lines>
  <Paragraphs>35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Franco</cp:lastModifiedBy>
  <cp:revision>2</cp:revision>
  <dcterms:created xsi:type="dcterms:W3CDTF">2026-06-27T16:29:00Z</dcterms:created>
  <dcterms:modified xsi:type="dcterms:W3CDTF">2026-06-27T16:34:00Z</dcterms:modified>
</cp:coreProperties>
</file>