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/>
    <w:p>
      <w:pPr>
        <w:pStyle w:val="Heading2"/>
      </w:pPr>
      <w:r>
        <w:t>1. Parties</w:t>
      </w:r>
    </w:p>
    <w:p>
      <w:r>
        <w:t xml:space="preserve">This Master Services Agreement ("Agreement") is entered into between </w:t>
      </w:r>
      <w:r>
        <w:rPr>
          <w:b/>
        </w:rPr>
        <w:t>Acme Corp.</w:t>
      </w:r>
      <w:r>
        <w:t xml:space="preserve"> ("Customer") and </w:t>
      </w:r>
      <w:r>
        <w:rPr>
          <w:b/>
        </w:rPr>
        <w:t>Vendor Inc.</w:t>
      </w:r>
      <w:r>
        <w:t xml:space="preserve"> ("Vendor").</w:t>
      </w:r>
    </w:p>
    <w:p/>
    <w:p>
      <w:pPr>
        <w:pStyle w:val="Heading2"/>
      </w:pPr>
      <w:r>
        <w:t>2. Term</w:t>
      </w:r>
    </w:p>
    <w:p>
      <w:r>
        <w:t xml:space="preserve">The initial term of this Agreement is </w:t>
      </w:r>
      <w:r>
        <w:rPr>
          <w:b/>
        </w:rPr>
        <w:t>24 months</w:t>
      </w:r>
      <w:r>
        <w:t xml:space="preserve"> from the Effective Date. Renewal occurs automatically for successive 12-month terms unless either party provides written notice 60 days before expiry.</w:t>
      </w:r>
    </w:p>
    <w:p/>
    <w:p>
      <w:pPr>
        <w:pStyle w:val="Heading2"/>
      </w:pPr>
      <w:r>
        <w:t>3. Payment Terms</w:t>
      </w:r>
    </w:p>
    <w:p>
      <w:r>
        <w:t xml:space="preserve">Customer shall pay all undisputed invoices within </w:t>
      </w:r>
      <w:r>
        <w:rPr>
          <w:b/>
        </w:rPr>
        <w:t>45 days</w:t>
      </w:r>
      <w:r>
        <w:t xml:space="preserve"> of receipt. Late payments accrue interest at 1.5% per month. All fees are stated in USD.</w:t>
      </w:r>
    </w:p>
    <w:p/>
    <w:p>
      <w:pPr>
        <w:pStyle w:val="Heading2"/>
      </w:pPr>
      <w:r>
        <w:t>4. Confidentiality</w:t>
      </w:r>
    </w:p>
    <w:p>
      <w:r>
        <w:t>Each party shall protect Confidential Information of the other for a period of 5 years. Disclosure is permitted only to personnel with a need to know who are bound by equivalent obligations.</w:t>
      </w:r>
    </w:p>
    <w:p/>
    <w:p>
      <w:pPr>
        <w:pStyle w:val="Heading2"/>
      </w:pPr>
      <w:r>
        <w:t>5. Data Protection</w:t>
      </w:r>
    </w:p>
    <w:p>
      <w:r>
        <w:t>Vendor shall process Customer Personal Data only as instructed and shall implement security measures consistent with ISO 27001. Sub-processors require Customer's prior written consent.</w:t>
      </w:r>
    </w:p>
    <w:p/>
    <w:p>
      <w:pPr>
        <w:pStyle w:val="Heading2"/>
      </w:pPr>
      <w:r>
        <w:t>6. Liability</w:t>
      </w:r>
    </w:p>
    <w:p>
      <w:r>
        <w:t xml:space="preserve">Each party's aggregate liability is capped at the </w:t>
      </w:r>
      <w:r>
        <w:rPr>
          <w:b/>
        </w:rPr>
        <w:t>fees paid in the twelve months</w:t>
      </w:r>
      <w:r>
        <w:t xml:space="preserve"> preceding the claim. Neither party is liable for indirect or consequential damages.</w:t>
      </w:r>
    </w:p>
    <w:p/>
    <w:p>
      <w:pPr>
        <w:pStyle w:val="Heading2"/>
      </w:pPr>
      <w:r>
        <w:t>7. Termination</w:t>
      </w:r>
    </w:p>
    <w:p>
      <w:r>
        <w:t>Either party may terminate for material breach uncured after 30 days' written notice. Customer may terminate for convenience on 90 days' notice.</w:t>
      </w:r>
    </w:p>
    <w:p/>
    <w:p>
      <w:pPr>
        <w:pStyle w:val="Heading2"/>
      </w:pPr>
      <w:r>
        <w:t>8. Governing Law</w:t>
      </w:r>
    </w:p>
    <w:p>
      <w:r>
        <w:t xml:space="preserve">This Agreement is governed by the laws of the </w:t>
      </w:r>
      <w:r>
        <w:rPr>
          <w:b/>
        </w:rPr>
        <w:t>State of Delaware</w:t>
      </w:r>
      <w:r>
        <w:t>, without regard to conflicts of law principles. The exclusive venue is Wilmington,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