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1" w:name="X410b646f4885a516ff5671d2705fc0e0d5c9ef2"/>
    <w:p>
      <w:pPr>
        <w:pStyle w:val="Heading1"/>
      </w:pPr>
      <w:r>
        <w:t xml:space="preserve">Enterprise Cloud Architecture Policy &amp; Standards</w:t>
      </w:r>
    </w:p>
    <w:p>
      <w:pPr>
        <w:pStyle w:val="FirstParagraph"/>
      </w:pPr>
      <w:r>
        <w:rPr>
          <w:b/>
          <w:bCs/>
        </w:rPr>
        <w:t xml:space="preserve">Version:</w:t>
      </w:r>
      <w:r>
        <w:t xml:space="preserve"> </w:t>
      </w:r>
      <w:r>
        <w:t xml:space="preserve">1.0.0</w:t>
      </w:r>
      <w:r>
        <w:t xml:space="preserve"> </w:t>
      </w:r>
      <w:r>
        <w:rPr>
          <w:b/>
          <w:bCs/>
        </w:rPr>
        <w:t xml:space="preserve">Effective Date:</w:t>
      </w:r>
      <w:r>
        <w:t xml:space="preserve"> </w:t>
      </w:r>
      <w:r>
        <w:t xml:space="preserve">2026-06-30</w:t>
      </w:r>
      <w:r>
        <w:t xml:space="preserve"> </w:t>
      </w:r>
      <w:r>
        <w:rPr>
          <w:b/>
          <w:bCs/>
        </w:rPr>
        <w:t xml:space="preserve">Owner:</w:t>
      </w:r>
      <w:r>
        <w:t xml:space="preserve"> </w:t>
      </w:r>
      <w:r>
        <w:t xml:space="preserve">Enterprise Architecture Review Board (ARB)</w:t>
      </w:r>
      <w:r>
        <w:t xml:space="preserve"> </w:t>
      </w:r>
      <w:r>
        <w:rPr>
          <w:b/>
          <w:bCs/>
        </w:rPr>
        <w:t xml:space="preserve">Classification:</w:t>
      </w:r>
      <w:r>
        <w:t xml:space="preserve"> </w:t>
      </w:r>
      <w:r>
        <w:t xml:space="preserve">Internal — Mandatory</w:t>
      </w:r>
      <w:r>
        <w:t xml:space="preserve"> </w:t>
      </w:r>
      <w:r>
        <w:rPr>
          <w:b/>
          <w:bCs/>
        </w:rPr>
        <w:t xml:space="preserve">Review Cadence:</w:t>
      </w:r>
      <w:r>
        <w:t xml:space="preserve"> </w:t>
      </w:r>
      <w:r>
        <w:t xml:space="preserve">Annual; minor revisions quarterly</w:t>
      </w:r>
      <w:r>
        <w:t xml:space="preserve"> </w:t>
      </w:r>
      <w:r>
        <w:rPr>
          <w:b/>
          <w:bCs/>
        </w:rPr>
        <w:t xml:space="preserve">Applies To:</w:t>
      </w:r>
      <w:r>
        <w:t xml:space="preserve"> </w:t>
      </w:r>
      <w:r>
        <w:t xml:space="preserve">All workloads operated on Microsoft Azure, Amazon Web Services, and Google Cloud Platform.</w:t>
      </w:r>
    </w:p>
    <w:p>
      <w:r>
        <w:pict>
          <v:rect style="width:0;height:1.5pt" o:hralign="center" o:hrstd="t" o:hr="t"/>
        </w:pic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EA-POL-001</w:t>
            </w:r>
          </w:p>
        </w:tc>
      </w:tr>
      <w:tr>
        <w:tc>
          <w:tcPr/>
          <w:p>
            <w:pPr>
              <w:pStyle w:val="Compact"/>
            </w:pPr>
            <w:r>
              <w:t xml:space="preserve">Title</w:t>
            </w:r>
          </w:p>
        </w:tc>
        <w:tc>
          <w:tcPr/>
          <w:p>
            <w:pPr>
              <w:pStyle w:val="Compact"/>
            </w:pPr>
            <w:r>
              <w:t xml:space="preserve">Enterprise Cloud Architecture Policy &amp; Standards</w:t>
            </w:r>
          </w:p>
        </w:tc>
      </w:tr>
      <w:tr>
        <w:tc>
          <w:tcPr/>
          <w:p>
            <w:pPr>
              <w:pStyle w:val="Compact"/>
            </w:pPr>
            <w:r>
              <w:t xml:space="preserve">Version</w:t>
            </w:r>
          </w:p>
        </w:tc>
        <w:tc>
          <w:tcPr/>
          <w:p>
            <w:pPr>
              <w:pStyle w:val="Compact"/>
            </w:pPr>
            <w:r>
              <w:t xml:space="preserve">1.0.0</w:t>
            </w:r>
          </w:p>
        </w:tc>
      </w:tr>
      <w:tr>
        <w:tc>
          <w:tcPr/>
          <w:p>
            <w:pPr>
              <w:pStyle w:val="Compact"/>
            </w:pPr>
            <w:r>
              <w:t xml:space="preserve">Effective</w:t>
            </w:r>
          </w:p>
        </w:tc>
        <w:tc>
          <w:tcPr/>
          <w:p>
            <w:pPr>
              <w:pStyle w:val="Compact"/>
            </w:pPr>
            <w:r>
              <w:t xml:space="preserve">2026-06-30</w:t>
            </w:r>
          </w:p>
        </w:tc>
      </w:tr>
      <w:tr>
        <w:tc>
          <w:tcPr/>
          <w:p>
            <w:pPr>
              <w:pStyle w:val="Compact"/>
            </w:pPr>
            <w:r>
              <w:t xml:space="preserve">Next Review</w:t>
            </w:r>
          </w:p>
        </w:tc>
        <w:tc>
          <w:tcPr/>
          <w:p>
            <w:pPr>
              <w:pStyle w:val="Compact"/>
            </w:pPr>
            <w:r>
              <w:t xml:space="preserve">2027-06-30</w:t>
            </w:r>
          </w:p>
        </w:tc>
      </w:tr>
      <w:tr>
        <w:tc>
          <w:tcPr/>
          <w:p>
            <w:pPr>
              <w:pStyle w:val="Compact"/>
            </w:pPr>
            <w:r>
              <w:t xml:space="preserve">Owner</w:t>
            </w:r>
          </w:p>
        </w:tc>
        <w:tc>
          <w:tcPr/>
          <w:p>
            <w:pPr>
              <w:pStyle w:val="Compact"/>
            </w:pPr>
            <w:r>
              <w:t xml:space="preserve">Enterprise Architecture Review Board</w:t>
            </w:r>
          </w:p>
        </w:tc>
      </w:tr>
      <w:tr>
        <w:tc>
          <w:tcPr/>
          <w:p>
            <w:pPr>
              <w:pStyle w:val="Compact"/>
            </w:pPr>
            <w:r>
              <w:t xml:space="preserve">Approver</w:t>
            </w:r>
          </w:p>
        </w:tc>
        <w:tc>
          <w:tcPr/>
          <w:p>
            <w:pPr>
              <w:pStyle w:val="Compact"/>
            </w:pPr>
            <w:r>
              <w:t xml:space="preserve">Chief Technology Officer; Chief Information Security Officer</w:t>
            </w:r>
          </w:p>
        </w:tc>
      </w:tr>
      <w:tr>
        <w:tc>
          <w:tcPr/>
          <w:p>
            <w:pPr>
              <w:pStyle w:val="Compact"/>
            </w:pPr>
            <w:r>
              <w:t xml:space="preserve">Distribution</w:t>
            </w:r>
          </w:p>
        </w:tc>
        <w:tc>
          <w:tcPr/>
          <w:p>
            <w:pPr>
              <w:pStyle w:val="Compact"/>
            </w:pPr>
            <w:r>
              <w:t xml:space="preserve">All engineering staff, contractors, and third parties operating cloud workloads on behalf of the corporation</w:t>
            </w:r>
          </w:p>
        </w:tc>
      </w:tr>
    </w:tbl>
    <w:bookmarkEnd w:id="9"/>
    <w:bookmarkStart w:id="10"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w:t>
            </w:r>
          </w:p>
        </w:tc>
      </w:tr>
      <w:tr>
        <w:tc>
          <w:tcPr/>
          <w:p>
            <w:pPr>
              <w:pStyle w:val="Compact"/>
            </w:pPr>
            <w:r>
              <w:t xml:space="preserve">1.0.0</w:t>
            </w:r>
          </w:p>
        </w:tc>
        <w:tc>
          <w:tcPr/>
          <w:p>
            <w:pPr>
              <w:pStyle w:val="Compact"/>
            </w:pPr>
            <w:r>
              <w:t xml:space="preserve">2026-06-30</w:t>
            </w:r>
          </w:p>
        </w:tc>
        <w:tc>
          <w:tcPr/>
          <w:p>
            <w:pPr>
              <w:pStyle w:val="Compact"/>
            </w:pPr>
            <w:r>
              <w:t xml:space="preserve">Enterprise Architecture Review Board</w:t>
            </w:r>
          </w:p>
        </w:tc>
        <w:tc>
          <w:tcPr/>
          <w:p>
            <w:pPr>
              <w:pStyle w:val="Compact"/>
            </w:pPr>
            <w:r>
              <w:t xml:space="preserve">Initial publication consolidating prior IAM, network, data, and reliability standards</w:t>
            </w:r>
          </w:p>
        </w:tc>
      </w:tr>
    </w:tbl>
    <w:bookmarkEnd w:id="10"/>
    <w:bookmarkStart w:id="11" w:name="authority-and-enforcement"/>
    <w:p>
      <w:pPr>
        <w:pStyle w:val="Heading2"/>
      </w:pPr>
      <w:r>
        <w:t xml:space="preserve">Authority and Enforcement</w:t>
      </w:r>
    </w:p>
    <w:p>
      <w:pPr>
        <w:pStyle w:val="FirstParagraph"/>
      </w:pPr>
      <w:r>
        <w:t xml:space="preserve">This document is issued under the authority of the Chief Technology Officer and the Chief Information Security Officer. Compliance is mandatory for every production workload, every non-production environment that processes real customer data, and every shared platform service. Where this document conflicts with an older standard, this document supersedes the older standard. Where this document conflicts with a regulatory obligation (for example, sectoral privacy law or financial-services prudential rules), the regulatory obligation prevails and the team SHALL document the override in the exception register.</w:t>
      </w:r>
    </w:p>
    <w:p>
      <w:pPr>
        <w:pStyle w:val="BodyText"/>
      </w:pPr>
      <w:r>
        <w:t xml:space="preserve">The keywords</w:t>
      </w:r>
      <w:r>
        <w:t xml:space="preserve"> </w:t>
      </w:r>
      <w:r>
        <w:rPr>
          <w:b/>
          <w:bCs/>
        </w:rPr>
        <w:t xml:space="preserve">SHALL</w:t>
      </w:r>
      <w:r>
        <w:t xml:space="preserve">,</w:t>
      </w:r>
      <w:r>
        <w:t xml:space="preserve"> </w:t>
      </w:r>
      <w:r>
        <w:rPr>
          <w:b/>
          <w:bCs/>
        </w:rPr>
        <w:t xml:space="preserve">MUST</w:t>
      </w:r>
      <w:r>
        <w:t xml:space="preserve">,</w:t>
      </w:r>
      <w:r>
        <w:t xml:space="preserve"> </w:t>
      </w:r>
      <w:r>
        <w:rPr>
          <w:b/>
          <w:bCs/>
        </w:rPr>
        <w:t xml:space="preserve">SHALL NOT</w:t>
      </w:r>
      <w:r>
        <w:t xml:space="preserve">, and</w:t>
      </w:r>
      <w:r>
        <w:t xml:space="preserve"> </w:t>
      </w:r>
      <w:r>
        <w:rPr>
          <w:b/>
          <w:bCs/>
        </w:rPr>
        <w:t xml:space="preserve">MUST NOT</w:t>
      </w:r>
      <w:r>
        <w:t xml:space="preserve"> </w:t>
      </w:r>
      <w:r>
        <w:t xml:space="preserve">in this document are used in the sense of RFC 2119 and indicate absolute requirements or prohibitions. The keyword</w:t>
      </w:r>
      <w:r>
        <w:t xml:space="preserve"> </w:t>
      </w:r>
      <w:r>
        <w:rPr>
          <w:b/>
          <w:bCs/>
        </w:rPr>
        <w:t xml:space="preserve">SHOULD</w:t>
      </w:r>
      <w:r>
        <w:t xml:space="preserve"> </w:t>
      </w:r>
      <w:r>
        <w:t xml:space="preserve">indicates a strong recommendation that may be deviated from only with documented justification reviewed by the Architecture Review Board. The keyword</w:t>
      </w:r>
      <w:r>
        <w:t xml:space="preserve"> </w:t>
      </w:r>
      <w:r>
        <w:rPr>
          <w:b/>
          <w:bCs/>
        </w:rPr>
        <w:t xml:space="preserve">MAY</w:t>
      </w:r>
      <w:r>
        <w:t xml:space="preserve"> </w:t>
      </w:r>
      <w:r>
        <w:t xml:space="preserve">indicates a permissible option.</w:t>
      </w:r>
    </w:p>
    <w:bookmarkEnd w:id="11"/>
    <w:bookmarkStart w:id="12" w:name="scope"/>
    <w:p>
      <w:pPr>
        <w:pStyle w:val="Heading2"/>
      </w:pPr>
      <w:r>
        <w:t xml:space="preserve">Scope</w:t>
      </w:r>
    </w:p>
    <w:p>
      <w:pPr>
        <w:pStyle w:val="FirstParagraph"/>
      </w:pPr>
      <w:r>
        <w:t xml:space="preserve">This policy governs:</w:t>
      </w:r>
    </w:p>
    <w:p>
      <w:pPr>
        <w:pStyle w:val="Compact"/>
        <w:numPr>
          <w:ilvl w:val="0"/>
          <w:numId w:val="1001"/>
        </w:numPr>
      </w:pPr>
      <w:r>
        <w:t xml:space="preserve">All software systems built by or operated by the corporation, whether first-party, partner, or vendor-hosted but corporately operated.</w:t>
      </w:r>
    </w:p>
    <w:p>
      <w:pPr>
        <w:pStyle w:val="Compact"/>
        <w:numPr>
          <w:ilvl w:val="0"/>
          <w:numId w:val="1001"/>
        </w:numPr>
      </w:pPr>
      <w:r>
        <w:t xml:space="preserve">All three primary public-cloud providers in active corporate use: Microsoft Azure, Amazon Web Services, and Google Cloud Platform.</w:t>
      </w:r>
    </w:p>
    <w:p>
      <w:pPr>
        <w:pStyle w:val="Compact"/>
        <w:numPr>
          <w:ilvl w:val="0"/>
          <w:numId w:val="1001"/>
        </w:numPr>
      </w:pPr>
      <w:r>
        <w:t xml:space="preserve">The full lifecycle of a workload: ideation, design, build, deploy, operate, retire.</w:t>
      </w:r>
    </w:p>
    <w:p>
      <w:pPr>
        <w:pStyle w:val="Compact"/>
        <w:numPr>
          <w:ilvl w:val="0"/>
          <w:numId w:val="1001"/>
        </w:numPr>
      </w:pPr>
      <w:r>
        <w:t xml:space="preserve">All environments: production, pre-production, staging, integration, development, and one-off sandboxes that contain corporate data.</w:t>
      </w:r>
    </w:p>
    <w:p>
      <w:pPr>
        <w:pStyle w:val="Compact"/>
        <w:numPr>
          <w:ilvl w:val="0"/>
          <w:numId w:val="1001"/>
        </w:numPr>
      </w:pPr>
      <w:r>
        <w:t xml:space="preserve">All workload types: web, API, batch, streaming, machine-learning, data-analytics, edge.</w:t>
      </w:r>
    </w:p>
    <w:p>
      <w:pPr>
        <w:pStyle w:val="FirstParagraph"/>
      </w:pPr>
      <w:r>
        <w:t xml:space="preserve">This policy does not govern end-user device security (covered by the Endpoint Security Standard), physical premises security (covered by the Corporate Security Policy), or human-resources access lifecycle (covered by the Joiner-Mover-Leaver Standard). However, it interfaces with each of those standards at clearly identified points.</w:t>
      </w:r>
    </w:p>
    <w:bookmarkEnd w:id="12"/>
    <w:bookmarkStart w:id="13" w:name="document-map"/>
    <w:p>
      <w:pPr>
        <w:pStyle w:val="Heading2"/>
      </w:pPr>
      <w:r>
        <w:t xml:space="preserve">Document Map</w:t>
      </w:r>
    </w:p>
    <w:p>
      <w:pPr>
        <w:pStyle w:val="FirstParagraph"/>
      </w:pPr>
      <w:r>
        <w:t xml:space="preserve">This document is organized as twenty chapters. Each chapter follows the same internal structure: Intent, Scope, Mandatory Controls, Patterns, Anti-Patterns, Evidence &amp; Audit, Exceptions, and References. Mandatory Controls are testable assertions: every control is intended to be reduced to a programmatic check, either at design review, in continuous-integration gates, or in continuous-compliance scanning. Patterns describe known-good approaches. Anti-Patterns describe specific failure modes that have caused production incidents in the corporation’s history or in published industry post-mortems.</w:t>
      </w:r>
    </w:p>
    <w:bookmarkEnd w:id="13"/>
    <w:bookmarkStart w:id="14" w:name="corporate-restrictive-overlays-summary"/>
    <w:p>
      <w:pPr>
        <w:pStyle w:val="Heading2"/>
      </w:pPr>
      <w:r>
        <w:t xml:space="preserve">Corporate Restrictive Overlays (Summary)</w:t>
      </w:r>
    </w:p>
    <w:p>
      <w:pPr>
        <w:pStyle w:val="FirstParagraph"/>
      </w:pPr>
      <w:r>
        <w:t xml:space="preserve">The following corporate-specific mandates apply across the entire document and are repeated, where relevant, inside individual chapters. They are summarized here so that any reader of any single chapter can verify which overlays may be in force.</w:t>
      </w:r>
    </w:p>
    <w:p>
      <w:pPr>
        <w:pStyle w:val="Compact"/>
        <w:numPr>
          <w:ilvl w:val="0"/>
          <w:numId w:val="1002"/>
        </w:numPr>
      </w:pPr>
      <w:r>
        <w:rPr>
          <w:b/>
          <w:bCs/>
        </w:rPr>
        <w:t xml:space="preserve">No public direct endpoints.</w:t>
      </w:r>
      <w:r>
        <w:t xml:space="preserve"> </w:t>
      </w:r>
      <w:r>
        <w:t xml:space="preserve">Every workload that accepts ingress from the public internet SHALL terminate that ingress at a managed Web Application Firewall and reverse-proxy layer. Direct exposure of compute, storage, or database endpoints to the public internet is prohibited.</w:t>
      </w:r>
    </w:p>
    <w:p>
      <w:pPr>
        <w:pStyle w:val="Compact"/>
        <w:numPr>
          <w:ilvl w:val="0"/>
          <w:numId w:val="1002"/>
        </w:numPr>
      </w:pPr>
      <w:r>
        <w:rPr>
          <w:b/>
          <w:bCs/>
        </w:rPr>
        <w:t xml:space="preserve">No long-lived credentials.</w:t>
      </w:r>
      <w:r>
        <w:t xml:space="preserve"> </w:t>
      </w:r>
      <w:r>
        <w:t xml:space="preserve">Workload identity, managed identity, or short-lived federated credentials SHALL be used in place of static API keys, access keys, or password-based service accounts.</w:t>
      </w:r>
    </w:p>
    <w:p>
      <w:pPr>
        <w:pStyle w:val="Compact"/>
        <w:numPr>
          <w:ilvl w:val="0"/>
          <w:numId w:val="1002"/>
        </w:numPr>
      </w:pPr>
      <w:r>
        <w:rPr>
          <w:b/>
          <w:bCs/>
        </w:rPr>
        <w:t xml:space="preserve">No human production push.</w:t>
      </w:r>
      <w:r>
        <w:t xml:space="preserve"> </w:t>
      </w:r>
      <w:r>
        <w:t xml:space="preserve">No human SHALL deploy directly to a production environment. All production changes SHALL flow through a peer-reviewed, audit-logged continuous-delivery pipeline.</w:t>
      </w:r>
    </w:p>
    <w:p>
      <w:pPr>
        <w:pStyle w:val="Compact"/>
        <w:numPr>
          <w:ilvl w:val="0"/>
          <w:numId w:val="1002"/>
        </w:numPr>
      </w:pPr>
      <w:r>
        <w:rPr>
          <w:b/>
          <w:bCs/>
        </w:rPr>
        <w:t xml:space="preserve">No console-driven changes in production.</w:t>
      </w:r>
      <w:r>
        <w:t xml:space="preserve"> </w:t>
      </w:r>
      <w:r>
        <w:t xml:space="preserve">Production infrastructure SHALL be expressed and modified exclusively through declarative Infrastructure-as-Code. Console / portal changes are permitted only for read-only diagnostics.</w:t>
      </w:r>
    </w:p>
    <w:p>
      <w:pPr>
        <w:pStyle w:val="Compact"/>
        <w:numPr>
          <w:ilvl w:val="0"/>
          <w:numId w:val="1002"/>
        </w:numPr>
      </w:pPr>
      <w:r>
        <w:rPr>
          <w:b/>
          <w:bCs/>
        </w:rPr>
        <w:t xml:space="preserve">All data egress through inspected paths.</w:t>
      </w:r>
      <w:r>
        <w:t xml:space="preserve"> </w:t>
      </w:r>
      <w:r>
        <w:t xml:space="preserve">Egress from any workload to any destination outside its own cloud landing zone SHALL pass through a corporate egress inspection point.</w:t>
      </w:r>
    </w:p>
    <w:p>
      <w:pPr>
        <w:pStyle w:val="Compact"/>
        <w:numPr>
          <w:ilvl w:val="0"/>
          <w:numId w:val="1002"/>
        </w:numPr>
      </w:pPr>
      <w:r>
        <w:rPr>
          <w:b/>
          <w:bCs/>
        </w:rPr>
        <w:t xml:space="preserve">No</w:t>
      </w:r>
      <w:r>
        <w:rPr>
          <w:b/>
          <w:bCs/>
        </w:rPr>
        <w:t xml:space="preserve"> </w:t>
      </w:r>
      <w:r>
        <w:rPr>
          <w:rStyle w:val="VerbatimChar"/>
          <w:b/>
          <w:bCs/>
        </w:rPr>
        <w:t xml:space="preserve">:latest</w:t>
      </w:r>
      <w:r>
        <w:rPr>
          <w:b/>
          <w:bCs/>
        </w:rPr>
        <w:t xml:space="preserve"> </w:t>
      </w:r>
      <w:r>
        <w:rPr>
          <w:b/>
          <w:bCs/>
        </w:rPr>
        <w:t xml:space="preserve">tags and no unpinned dependencies.</w:t>
      </w:r>
      <w:r>
        <w:t xml:space="preserve"> </w:t>
      </w:r>
      <w:r>
        <w:t xml:space="preserve">Every container image reference, every package dependency, and every base-image dependency SHALL be pinned to an immutable identifier (digest or pinned version).</w:t>
      </w:r>
    </w:p>
    <w:p>
      <w:pPr>
        <w:pStyle w:val="Compact"/>
        <w:numPr>
          <w:ilvl w:val="0"/>
          <w:numId w:val="1002"/>
        </w:numPr>
      </w:pPr>
      <w:r>
        <w:rPr>
          <w:b/>
          <w:bCs/>
        </w:rPr>
        <w:t xml:space="preserve">All exceptions are time-boxed to ninety (90) days, ARB-approved, and recorded in the exception register.</w:t>
      </w:r>
    </w:p>
    <w:p>
      <w:pPr>
        <w:pStyle w:val="Compact"/>
        <w:numPr>
          <w:ilvl w:val="0"/>
          <w:numId w:val="1002"/>
        </w:numPr>
      </w:pPr>
      <w:r>
        <w:rPr>
          <w:b/>
          <w:bCs/>
        </w:rPr>
        <w:t xml:space="preserve">TLS 1.2 minimum, TLS 1.3 preferred, on every external path.</w:t>
      </w:r>
      <w:r>
        <w:t xml:space="preserve"> </w:t>
      </w:r>
      <w:r>
        <w:t xml:space="preserve">Mutual TLS SHALL be used for service-to-service traffic within the corporate trust boundary.</w:t>
      </w:r>
    </w:p>
    <w:p>
      <w:pPr>
        <w:pStyle w:val="Compact"/>
        <w:numPr>
          <w:ilvl w:val="0"/>
          <w:numId w:val="1002"/>
        </w:numPr>
      </w:pPr>
      <w:r>
        <w:rPr>
          <w:b/>
          <w:bCs/>
        </w:rPr>
        <w:t xml:space="preserve">OpenTelemetry traces with W3C trace-context propagation are mandatory.</w:t>
      </w:r>
    </w:p>
    <w:p>
      <w:pPr>
        <w:pStyle w:val="Compact"/>
        <w:numPr>
          <w:ilvl w:val="0"/>
          <w:numId w:val="1002"/>
        </w:numPr>
      </w:pPr>
      <w:r>
        <w:rPr>
          <w:b/>
          <w:bCs/>
        </w:rPr>
        <w:t xml:space="preserve">Software Bill of Materials (SBOM) and signed build provenance are mandatory for all production container images.</w:t>
      </w:r>
    </w:p>
    <w:bookmarkEnd w:id="14"/>
    <w:bookmarkStart w:id="15" w:name="how-to-use-this-document"/>
    <w:p>
      <w:pPr>
        <w:pStyle w:val="Heading2"/>
      </w:pPr>
      <w:r>
        <w:t xml:space="preserve">How to Use This Document</w:t>
      </w:r>
    </w:p>
    <w:p>
      <w:pPr>
        <w:pStyle w:val="FirstParagraph"/>
      </w:pPr>
      <w:r>
        <w:t xml:space="preserve">Architects building a new system are expected to read the Intent and Mandatory Controls of every chapter before beginning design. Reviewers conducting an Architecture Review Board assessment are expected to use the Mandatory Controls as a checklist; the Evidence &amp; Audit section of each chapter describes the artifact a team must produce to demonstrate compliance. Operators responding to an incident may consult the Patterns and Anti-Patterns sections as a triage aid. Where a project cannot meet a control, the project SHALL file an exception through the procedure defined in Chapter 19, Section</w:t>
      </w:r>
      <w:r>
        <w:t xml:space="preserve"> </w:t>
      </w:r>
      <w:r>
        <w:rPr>
          <w:i/>
          <w:iCs/>
        </w:rPr>
        <w:t xml:space="preserve">Exceptions</w:t>
      </w:r>
      <w:r>
        <w:t xml:space="preserve">.</w:t>
      </w:r>
    </w:p>
    <w:bookmarkEnd w:id="15"/>
    <w:bookmarkStart w:id="16" w:name="glossary"/>
    <w:p>
      <w:pPr>
        <w:pStyle w:val="Heading2"/>
      </w:pPr>
      <w:r>
        <w:t xml:space="preserve">Glossary</w:t>
      </w:r>
    </w:p>
    <w:p>
      <w:pPr>
        <w:pStyle w:val="Compact"/>
        <w:numPr>
          <w:ilvl w:val="0"/>
          <w:numId w:val="1003"/>
        </w:numPr>
      </w:pPr>
      <w:r>
        <w:rPr>
          <w:b/>
          <w:bCs/>
        </w:rPr>
        <w:t xml:space="preserve">ARB</w:t>
      </w:r>
      <w:r>
        <w:t xml:space="preserve"> </w:t>
      </w:r>
      <w:r>
        <w:t xml:space="preserve">— Enterprise Architecture Review Board, the body that approves design exceptions and reviews architectural decisions of material risk.</w:t>
      </w:r>
    </w:p>
    <w:p>
      <w:pPr>
        <w:pStyle w:val="Compact"/>
        <w:numPr>
          <w:ilvl w:val="0"/>
          <w:numId w:val="1003"/>
        </w:numPr>
      </w:pPr>
      <w:r>
        <w:rPr>
          <w:b/>
          <w:bCs/>
        </w:rPr>
        <w:t xml:space="preserve">CMK</w:t>
      </w:r>
      <w:r>
        <w:t xml:space="preserve"> </w:t>
      </w:r>
      <w:r>
        <w:t xml:space="preserve">— Customer-Managed Key.</w:t>
      </w:r>
    </w:p>
    <w:p>
      <w:pPr>
        <w:pStyle w:val="Compact"/>
        <w:numPr>
          <w:ilvl w:val="0"/>
          <w:numId w:val="1003"/>
        </w:numPr>
      </w:pPr>
      <w:r>
        <w:rPr>
          <w:b/>
          <w:bCs/>
        </w:rPr>
        <w:t xml:space="preserve">HSM</w:t>
      </w:r>
      <w:r>
        <w:t xml:space="preserve"> </w:t>
      </w:r>
      <w:r>
        <w:t xml:space="preserve">— Hardware Security Module.</w:t>
      </w:r>
    </w:p>
    <w:p>
      <w:pPr>
        <w:pStyle w:val="Compact"/>
        <w:numPr>
          <w:ilvl w:val="0"/>
          <w:numId w:val="1003"/>
        </w:numPr>
      </w:pPr>
      <w:r>
        <w:rPr>
          <w:b/>
          <w:bCs/>
        </w:rPr>
        <w:t xml:space="preserve">IaC</w:t>
      </w:r>
      <w:r>
        <w:t xml:space="preserve"> </w:t>
      </w:r>
      <w:r>
        <w:t xml:space="preserve">— Infrastructure-as-Code.</w:t>
      </w:r>
    </w:p>
    <w:p>
      <w:pPr>
        <w:pStyle w:val="Compact"/>
        <w:numPr>
          <w:ilvl w:val="0"/>
          <w:numId w:val="1003"/>
        </w:numPr>
      </w:pPr>
      <w:r>
        <w:rPr>
          <w:b/>
          <w:bCs/>
        </w:rPr>
        <w:t xml:space="preserve">PIM</w:t>
      </w:r>
      <w:r>
        <w:t xml:space="preserve"> </w:t>
      </w:r>
      <w:r>
        <w:t xml:space="preserve">— Privileged Identity Management (Microsoft Entra ID feature).</w:t>
      </w:r>
    </w:p>
    <w:p>
      <w:pPr>
        <w:pStyle w:val="Compact"/>
        <w:numPr>
          <w:ilvl w:val="0"/>
          <w:numId w:val="1003"/>
        </w:numPr>
      </w:pPr>
      <w:r>
        <w:rPr>
          <w:b/>
          <w:bCs/>
        </w:rPr>
        <w:t xml:space="preserve">RPO / RTO</w:t>
      </w:r>
      <w:r>
        <w:t xml:space="preserve"> </w:t>
      </w:r>
      <w:r>
        <w:t xml:space="preserve">— Recovery Point Objective / Recovery Time Objective.</w:t>
      </w:r>
    </w:p>
    <w:p>
      <w:pPr>
        <w:pStyle w:val="Compact"/>
        <w:numPr>
          <w:ilvl w:val="0"/>
          <w:numId w:val="1003"/>
        </w:numPr>
      </w:pPr>
      <w:r>
        <w:rPr>
          <w:b/>
          <w:bCs/>
        </w:rPr>
        <w:t xml:space="preserve">SBOM</w:t>
      </w:r>
      <w:r>
        <w:t xml:space="preserve"> </w:t>
      </w:r>
      <w:r>
        <w:t xml:space="preserve">— Software Bill of Materials.</w:t>
      </w:r>
    </w:p>
    <w:p>
      <w:pPr>
        <w:pStyle w:val="Compact"/>
        <w:numPr>
          <w:ilvl w:val="0"/>
          <w:numId w:val="1003"/>
        </w:numPr>
      </w:pPr>
      <w:r>
        <w:rPr>
          <w:b/>
          <w:bCs/>
        </w:rPr>
        <w:t xml:space="preserve">SFI</w:t>
      </w:r>
      <w:r>
        <w:t xml:space="preserve"> </w:t>
      </w:r>
      <w:r>
        <w:t xml:space="preserve">— Microsoft’s Secure Future Initiative.</w:t>
      </w:r>
    </w:p>
    <w:p>
      <w:pPr>
        <w:pStyle w:val="Compact"/>
        <w:numPr>
          <w:ilvl w:val="0"/>
          <w:numId w:val="1003"/>
        </w:numPr>
      </w:pPr>
      <w:r>
        <w:rPr>
          <w:b/>
          <w:bCs/>
        </w:rPr>
        <w:t xml:space="preserve">SLO / SLI / SLA</w:t>
      </w:r>
      <w:r>
        <w:t xml:space="preserve"> </w:t>
      </w:r>
      <w:r>
        <w:t xml:space="preserve">— Service Level Objective / Indicator / Agreement.</w:t>
      </w:r>
    </w:p>
    <w:p>
      <w:pPr>
        <w:pStyle w:val="Compact"/>
        <w:numPr>
          <w:ilvl w:val="0"/>
          <w:numId w:val="1003"/>
        </w:numPr>
      </w:pPr>
      <w:r>
        <w:rPr>
          <w:b/>
          <w:bCs/>
        </w:rPr>
        <w:t xml:space="preserve">SLSA</w:t>
      </w:r>
      <w:r>
        <w:t xml:space="preserve"> </w:t>
      </w:r>
      <w:r>
        <w:t xml:space="preserve">— Supply-chain Levels for Software Artifacts.</w:t>
      </w:r>
    </w:p>
    <w:p>
      <w:pPr>
        <w:pStyle w:val="Compact"/>
        <w:numPr>
          <w:ilvl w:val="0"/>
          <w:numId w:val="1003"/>
        </w:numPr>
      </w:pPr>
      <w:r>
        <w:rPr>
          <w:b/>
          <w:bCs/>
        </w:rPr>
        <w:t xml:space="preserve">WAF</w:t>
      </w:r>
      <w:r>
        <w:t xml:space="preserve"> </w:t>
      </w:r>
      <w:r>
        <w:t xml:space="preserve">— Web Application Firewall.</w:t>
      </w:r>
    </w:p>
    <w:bookmarkEnd w:id="16"/>
    <w:bookmarkStart w:id="17" w:name="table-of-contents"/>
    <w:p>
      <w:pPr>
        <w:pStyle w:val="Heading2"/>
      </w:pPr>
      <w:r>
        <w:t xml:space="preserve">Table of Contents</w:t>
      </w:r>
    </w:p>
    <w:p>
      <w:pPr>
        <w:pStyle w:val="FirstParagraph"/>
      </w:pPr>
      <w:r>
        <w:t xml:space="preserve">(Generated automatically by Pandoc during build.)</w:t>
      </w:r>
    </w:p>
    <w:bookmarkEnd w:id="17"/>
    <w:bookmarkStart w:id="26" w:name="chapter-1-identity-access-management"/>
    <w:p>
      <w:pPr>
        <w:pStyle w:val="Heading2"/>
      </w:pPr>
      <w:r>
        <w:t xml:space="preserve">Chapter 1 — Identity &amp; Access Management</w:t>
      </w:r>
    </w:p>
    <w:bookmarkStart w:id="18" w:name="intent"/>
    <w:p>
      <w:pPr>
        <w:pStyle w:val="Heading3"/>
      </w:pPr>
      <w:r>
        <w:t xml:space="preserve">Intent</w:t>
      </w:r>
    </w:p>
    <w:p>
      <w:pPr>
        <w:pStyle w:val="FirstParagraph"/>
      </w:pPr>
      <w:r>
        <w:t xml:space="preserve">Identity is the new perimeter. In a multi-cloud estate, the boundary between</w:t>
      </w:r>
      <w:r>
        <w:t xml:space="preserve"> </w:t>
      </w:r>
      <w:r>
        <w:t xml:space="preserve">“trusted”</w:t>
      </w:r>
      <w:r>
        <w:t xml:space="preserve"> </w:t>
      </w:r>
      <w:r>
        <w:t xml:space="preserve">and</w:t>
      </w:r>
      <w:r>
        <w:t xml:space="preserve"> </w:t>
      </w:r>
      <w:r>
        <w:t xml:space="preserve">“untrusted”</w:t>
      </w:r>
      <w:r>
        <w:t xml:space="preserve"> </w:t>
      </w:r>
      <w:r>
        <w:t xml:space="preserve">no longer corresponds to a network segment; it corresponds to a verified principal performing an authorized action on a resource. This chapter governs how every human, every workload, and every automation in the corporation authenticates to Microsoft Azure, Amazon Web Services, and Google Cloud Platform, and how each is authorized to act. The objective is to ensure that the strongest possible authentication is used for every access path, that authorization decisions are made centrally and audited continuously, and that long-lived credentials — the leading root cause of breach in cloud incidents reviewed by the corporation’s response team — are eliminated.</w:t>
      </w:r>
    </w:p>
    <w:p>
      <w:pPr>
        <w:pStyle w:val="BodyText"/>
      </w:pPr>
      <w:r>
        <w:t xml:space="preserve">Identity governance is also the bedrock of every other control in this document. A perfect network segmentation strategy is undermined the moment an attacker obtains valid administrative credentials. A perfect encryption strategy is undermined the moment an attacker is granted, or escalates to, a role that can decrypt. The controls in this chapter therefore precede and underpin the controls in every subsequent chapter.</w:t>
      </w:r>
    </w:p>
    <w:p>
      <w:pPr>
        <w:pStyle w:val="BodyText"/>
      </w:pPr>
      <w:r>
        <w:t xml:space="preserve">Finally, identity controls must be operable: a control that is too painful to use in practice will be circumvented. This chapter therefore mandates</w:t>
      </w:r>
      <w:r>
        <w:t xml:space="preserve"> </w:t>
      </w:r>
      <w:r>
        <w:rPr>
          <w:i/>
          <w:iCs/>
        </w:rPr>
        <w:t xml:space="preserve">just-in-time</w:t>
      </w:r>
      <w:r>
        <w:t xml:space="preserve"> </w:t>
      </w:r>
      <w:r>
        <w:t xml:space="preserve">elevation over standing privilege,</w:t>
      </w:r>
      <w:r>
        <w:t xml:space="preserve"> </w:t>
      </w:r>
      <w:r>
        <w:rPr>
          <w:i/>
          <w:iCs/>
        </w:rPr>
        <w:t xml:space="preserve">workload identity</w:t>
      </w:r>
      <w:r>
        <w:t xml:space="preserve"> </w:t>
      </w:r>
      <w:r>
        <w:t xml:space="preserve">over secrets, and</w:t>
      </w:r>
      <w:r>
        <w:t xml:space="preserve"> </w:t>
      </w:r>
      <w:r>
        <w:rPr>
          <w:i/>
          <w:iCs/>
        </w:rPr>
        <w:t xml:space="preserve">attribute- and condition-based</w:t>
      </w:r>
      <w:r>
        <w:t xml:space="preserve"> </w:t>
      </w:r>
      <w:r>
        <w:t xml:space="preserve">authorization over manual role administration.</w:t>
      </w:r>
    </w:p>
    <w:bookmarkEnd w:id="18"/>
    <w:bookmarkStart w:id="19" w:name="scope-1"/>
    <w:p>
      <w:pPr>
        <w:pStyle w:val="Heading3"/>
      </w:pPr>
      <w:r>
        <w:t xml:space="preserve">Scope</w:t>
      </w:r>
    </w:p>
    <w:p>
      <w:pPr>
        <w:pStyle w:val="Compact"/>
        <w:numPr>
          <w:ilvl w:val="0"/>
          <w:numId w:val="1004"/>
        </w:numPr>
      </w:pPr>
      <w:r>
        <w:t xml:space="preserve">All human identities accessing cloud control planes (Azure portal/CLI/PowerShell, AWS console/CLI/SDK, GCP console/gcloud/SDK).</w:t>
      </w:r>
    </w:p>
    <w:p>
      <w:pPr>
        <w:pStyle w:val="Compact"/>
        <w:numPr>
          <w:ilvl w:val="0"/>
          <w:numId w:val="1004"/>
        </w:numPr>
      </w:pPr>
      <w:r>
        <w:t xml:space="preserve">All workload identities used by applications, scripts, pipelines, and operators.</w:t>
      </w:r>
    </w:p>
    <w:p>
      <w:pPr>
        <w:pStyle w:val="Compact"/>
        <w:numPr>
          <w:ilvl w:val="0"/>
          <w:numId w:val="1004"/>
        </w:numPr>
      </w:pPr>
      <w:r>
        <w:t xml:space="preserve">All federated identities issued by the corporate Entra ID tenant to AWS and GCP through SAML/OIDC.</w:t>
      </w:r>
    </w:p>
    <w:p>
      <w:pPr>
        <w:pStyle w:val="Compact"/>
        <w:numPr>
          <w:ilvl w:val="0"/>
          <w:numId w:val="1004"/>
        </w:numPr>
      </w:pPr>
      <w:r>
        <w:t xml:space="preserve">All emergency-access (</w:t>
      </w:r>
      <w:r>
        <w:t xml:space="preserve">“break-glass”</w:t>
      </w:r>
      <w:r>
        <w:t xml:space="preserve">) accounts.</w:t>
      </w:r>
    </w:p>
    <w:p>
      <w:pPr>
        <w:pStyle w:val="Compact"/>
        <w:numPr>
          <w:ilvl w:val="0"/>
          <w:numId w:val="1004"/>
        </w:numPr>
      </w:pPr>
      <w:r>
        <w:t xml:space="preserve">All third-party identities (vendors, contractors, support engineers) granted any cloud access.</w:t>
      </w:r>
    </w:p>
    <w:p>
      <w:pPr>
        <w:pStyle w:val="Compact"/>
        <w:numPr>
          <w:ilvl w:val="0"/>
          <w:numId w:val="1004"/>
        </w:numPr>
      </w:pPr>
      <w:r>
        <w:t xml:space="preserve">The full lifecycle: provisioning, entitlement, recertification, revocation.</w:t>
      </w:r>
    </w:p>
    <w:bookmarkEnd w:id="19"/>
    <w:bookmarkStart w:id="20" w:name="mandatory-controls"/>
    <w:p>
      <w:pPr>
        <w:pStyle w:val="Heading3"/>
      </w:pPr>
      <w:r>
        <w:t xml:space="preserve">Mandatory Controls</w:t>
      </w:r>
    </w:p>
    <w:p>
      <w:pPr>
        <w:pStyle w:val="Compact"/>
        <w:numPr>
          <w:ilvl w:val="0"/>
          <w:numId w:val="1005"/>
        </w:numPr>
      </w:pPr>
      <w:r>
        <w:t xml:space="preserve">The corporate Microsoft Entra ID tenant SHALL be the single authoritative identity provider for all human access to all three cloud providers; standalone IAM users in AWS and standalone Google accounts for workforce access are prohibited.</w:t>
      </w:r>
    </w:p>
    <w:p>
      <w:pPr>
        <w:pStyle w:val="Compact"/>
        <w:numPr>
          <w:ilvl w:val="0"/>
          <w:numId w:val="1005"/>
        </w:numPr>
      </w:pPr>
      <w:r>
        <w:t xml:space="preserve">Multi-factor authentication using a phishing-resistant factor (FIDO2 security key, platform passkey, or Microsoft Authenticator with number-match) SHALL be enforced on every interactive sign-in to any cloud control plane.</w:t>
      </w:r>
    </w:p>
    <w:p>
      <w:pPr>
        <w:pStyle w:val="Compact"/>
        <w:numPr>
          <w:ilvl w:val="0"/>
          <w:numId w:val="1005"/>
        </w:numPr>
      </w:pPr>
      <w:r>
        <w:t xml:space="preserve">Conditional Access policies SHALL block sign-in from devices that are not enrolled in corporate Intune compliance or an equivalent device-trust system.</w:t>
      </w:r>
    </w:p>
    <w:p>
      <w:pPr>
        <w:pStyle w:val="Compact"/>
        <w:numPr>
          <w:ilvl w:val="0"/>
          <w:numId w:val="1005"/>
        </w:numPr>
      </w:pPr>
      <w:r>
        <w:t xml:space="preserve">Standing privileged role assignments SHALL NOT exist; all privileged roles SHALL be activated through Privileged Identity Management (Entra PIM, AWS IAM Identity Center with permission-set duration limits, or GCP Privileged Access Manager) with a maximum activation window of eight (8) hours.</w:t>
      </w:r>
    </w:p>
    <w:p>
      <w:pPr>
        <w:pStyle w:val="Compact"/>
        <w:numPr>
          <w:ilvl w:val="0"/>
          <w:numId w:val="1005"/>
        </w:numPr>
      </w:pPr>
      <w:r>
        <w:t xml:space="preserve">Workload identities (Entra workload identity, AWS IAM roles for service accounts / IRSA, GCP Workload Identity Federation) SHALL be used for every machine-to-cloud authentication; static access keys and service-account JSON keys MUST NOT be created.</w:t>
      </w:r>
    </w:p>
    <w:p>
      <w:pPr>
        <w:pStyle w:val="Compact"/>
        <w:numPr>
          <w:ilvl w:val="0"/>
          <w:numId w:val="1005"/>
        </w:numPr>
      </w:pPr>
      <w:r>
        <w:t xml:space="preserve">Where a static credential cannot be avoided, it SHALL be stored in the central secret store (Chapter 3), SHALL rotate at most every ninety (90) days, and SHALL be registered in the exception register.</w:t>
      </w:r>
    </w:p>
    <w:p>
      <w:pPr>
        <w:pStyle w:val="Compact"/>
        <w:numPr>
          <w:ilvl w:val="0"/>
          <w:numId w:val="1005"/>
        </w:numPr>
      </w:pPr>
      <w:r>
        <w:t xml:space="preserve">Every IAM role and permission set SHALL follow least privilege: permissions SHALL be scoped to the smallest set of actions and the smallest set of resources required for the role to perform its declared function.</w:t>
      </w:r>
    </w:p>
    <w:p>
      <w:pPr>
        <w:pStyle w:val="Compact"/>
        <w:numPr>
          <w:ilvl w:val="0"/>
          <w:numId w:val="1005"/>
        </w:numPr>
      </w:pPr>
      <w:r>
        <w:t xml:space="preserve">Wildcards (</w:t>
      </w:r>
      <w:r>
        <w:rPr>
          <w:rStyle w:val="VerbatimChar"/>
        </w:rPr>
        <w:t xml:space="preserve">"*"</w:t>
      </w:r>
      <w:r>
        <w:t xml:space="preserve">) in the Action or Resource fields of an IAM policy SHALL be prohibited outside of explicitly approved administrative roles.</w:t>
      </w:r>
    </w:p>
    <w:p>
      <w:pPr>
        <w:pStyle w:val="Compact"/>
        <w:numPr>
          <w:ilvl w:val="0"/>
          <w:numId w:val="1005"/>
        </w:numPr>
      </w:pPr>
      <w:r>
        <w:t xml:space="preserve">Service Control Policies (AWS Organizations), Management Group policies (Azure), and Organization Policies (GCP) SHALL enforce a corporate guardrail set that, at minimum, denies disabling of CloudTrail / Activity Logs / Cloud Audit Logs, denies creation of public S3 buckets / public storage accounts / public GCS buckets, and denies sign-in from sanctioned regions.</w:t>
      </w:r>
    </w:p>
    <w:p>
      <w:pPr>
        <w:pStyle w:val="Compact"/>
        <w:numPr>
          <w:ilvl w:val="0"/>
          <w:numId w:val="1005"/>
        </w:numPr>
      </w:pPr>
      <w:r>
        <w:t xml:space="preserve">Emergency-access (</w:t>
      </w:r>
      <w:r>
        <w:t xml:space="preserve">“break-glass”</w:t>
      </w:r>
      <w:r>
        <w:t xml:space="preserve">) accounts SHALL exist for each cloud provider, SHALL be excluded from Conditional Access MFA only where the MFA system itself is the resource being recovered, SHALL be stored with credentials split across two officers, and SHALL be tested at least semi-annually.</w:t>
      </w:r>
    </w:p>
    <w:p>
      <w:pPr>
        <w:pStyle w:val="Compact"/>
        <w:numPr>
          <w:ilvl w:val="0"/>
          <w:numId w:val="1005"/>
        </w:numPr>
      </w:pPr>
      <w:r>
        <w:t xml:space="preserve">Access recertification SHALL be performed every ninety (90) days for privileged roles and every one hundred eighty (180) days for non-privileged roles, with attestation by the resource owner.</w:t>
      </w:r>
    </w:p>
    <w:p>
      <w:pPr>
        <w:pStyle w:val="Compact"/>
        <w:numPr>
          <w:ilvl w:val="0"/>
          <w:numId w:val="1005"/>
        </w:numPr>
      </w:pPr>
      <w:r>
        <w:t xml:space="preserve">Sign-in logs, audit logs, and provisioning logs from all three providers SHALL be forwarded to the central SIEM (Chapter 9) within fifteen (15) minutes of generation.</w:t>
      </w:r>
    </w:p>
    <w:p>
      <w:pPr>
        <w:pStyle w:val="Compact"/>
        <w:numPr>
          <w:ilvl w:val="0"/>
          <w:numId w:val="1005"/>
        </w:numPr>
      </w:pPr>
      <w:r>
        <w:t xml:space="preserve">All federated trust relationships (SAML, OIDC, Workload Identity Federation) SHALL be reviewed at least annually and SHALL specify a precise audience and subject claim; wildcard audiences are prohibited.</w:t>
      </w:r>
    </w:p>
    <w:p>
      <w:pPr>
        <w:pStyle w:val="Compact"/>
        <w:numPr>
          <w:ilvl w:val="0"/>
          <w:numId w:val="1005"/>
        </w:numPr>
      </w:pPr>
      <w:r>
        <w:t xml:space="preserve">Just-in-Time access requests SHALL require business justification text and SHALL trigger an immediate notification to the requester’s manager and to the security operations center.</w:t>
      </w:r>
    </w:p>
    <w:p>
      <w:pPr>
        <w:pStyle w:val="Compact"/>
        <w:numPr>
          <w:ilvl w:val="0"/>
          <w:numId w:val="1005"/>
        </w:numPr>
      </w:pPr>
      <w:r>
        <w:t xml:space="preserve">Service principals and managed identities SHALL be tagged with the application identifier, the cost center, and the owning team; untagged service principals SHALL be flagged for review weekly and disabled after thirty (30) days.</w:t>
      </w:r>
    </w:p>
    <w:bookmarkEnd w:id="20"/>
    <w:bookmarkStart w:id="21" w:name="patterns-recommended"/>
    <w:p>
      <w:pPr>
        <w:pStyle w:val="Heading3"/>
      </w:pPr>
      <w:r>
        <w:t xml:space="preserve">Patterns (Recommended)</w:t>
      </w:r>
    </w:p>
    <w:p>
      <w:pPr>
        <w:pStyle w:val="Compact"/>
        <w:numPr>
          <w:ilvl w:val="0"/>
          <w:numId w:val="1006"/>
        </w:numPr>
      </w:pPr>
      <w:r>
        <w:rPr>
          <w:b/>
          <w:bCs/>
        </w:rPr>
        <w:t xml:space="preserve">Federated workload identity for CI/CD.</w:t>
      </w:r>
      <w:r>
        <w:t xml:space="preserve"> </w:t>
      </w:r>
      <w:r>
        <w:t xml:space="preserve">GitHub Actions, Azure DevOps Pipelines, and GitLab Runners SHOULD use OpenID Connect federation to assume short-lived cloud roles, rather than storing static cloud credentials as pipeline secrets. Per the Microsoft Learn guidance on workload identity federation, this pattern eliminates the most common credential-leakage vector in pipeline systems while keeping the deployment experience identical to engineers.</w:t>
      </w:r>
    </w:p>
    <w:p>
      <w:pPr>
        <w:pStyle w:val="Compact"/>
        <w:numPr>
          <w:ilvl w:val="0"/>
          <w:numId w:val="1006"/>
        </w:numPr>
      </w:pPr>
      <w:r>
        <w:rPr>
          <w:b/>
          <w:bCs/>
        </w:rPr>
        <w:t xml:space="preserve">Permission boundaries for delegated administration.</w:t>
      </w:r>
      <w:r>
        <w:t xml:space="preserve"> </w:t>
      </w:r>
      <w:r>
        <w:t xml:space="preserve">AWS permission boundaries and Azure role-based access control with custom roles SHOULD be used to allow application teams to manage their own service principals while preventing privilege escalation. Per the AWS Well-Architected Security pillar, permission boundaries are the canonical way to delegate IAM administration safely in a multi-account organization.</w:t>
      </w:r>
    </w:p>
    <w:p>
      <w:pPr>
        <w:pStyle w:val="Compact"/>
        <w:numPr>
          <w:ilvl w:val="0"/>
          <w:numId w:val="1006"/>
        </w:numPr>
      </w:pPr>
      <w:r>
        <w:rPr>
          <w:b/>
          <w:bCs/>
        </w:rPr>
        <w:t xml:space="preserve">Cross-account roles with external IDs.</w:t>
      </w:r>
      <w:r>
        <w:t xml:space="preserve"> </w:t>
      </w:r>
      <w:r>
        <w:t xml:space="preserve">When a third-party SaaS must read or write resources in a corporate account, the integration SHOULD use a cross-account IAM role that requires an</w:t>
      </w:r>
      <w:r>
        <w:t xml:space="preserve"> </w:t>
      </w:r>
      <w:r>
        <w:rPr>
          <w:rStyle w:val="VerbatimChar"/>
        </w:rPr>
        <w:t xml:space="preserve">ExternalId</w:t>
      </w:r>
      <w:r>
        <w:t xml:space="preserve"> </w:t>
      </w:r>
      <w:r>
        <w:t xml:space="preserve">known only to the third party, rather than issuing the third party a long-lived access key. Per the AWS Identity and Access Management user guide, the external-ID pattern defeats the</w:t>
      </w:r>
      <w:r>
        <w:t xml:space="preserve"> </w:t>
      </w:r>
      <w:r>
        <w:t xml:space="preserve">“confused deputy”</w:t>
      </w:r>
      <w:r>
        <w:t xml:space="preserve"> </w:t>
      </w:r>
      <w:r>
        <w:t xml:space="preserve">attack class.</w:t>
      </w:r>
    </w:p>
    <w:p>
      <w:pPr>
        <w:pStyle w:val="Compact"/>
        <w:numPr>
          <w:ilvl w:val="0"/>
          <w:numId w:val="1006"/>
        </w:numPr>
      </w:pPr>
      <w:r>
        <w:rPr>
          <w:b/>
          <w:bCs/>
        </w:rPr>
        <w:t xml:space="preserve">Group-based entitlement; attribute-based authorization.</w:t>
      </w:r>
      <w:r>
        <w:t xml:space="preserve"> </w:t>
      </w:r>
      <w:r>
        <w:t xml:space="preserve">Membership in cloud roles SHOULD be granted through corporate Entra groups synchronized to AWS Identity Center and GCP groups, rather than to individual user IDs. Authorization within the workload SHOULD use attribute-based access control referencing claims in the identity token. This separates the</w:t>
      </w:r>
      <w:r>
        <w:t xml:space="preserve"> </w:t>
      </w:r>
      <w:r>
        <w:t xml:space="preserve">“who can do what”</w:t>
      </w:r>
      <w:r>
        <w:t xml:space="preserve"> </w:t>
      </w:r>
      <w:r>
        <w:t xml:space="preserve">decision from the</w:t>
      </w:r>
      <w:r>
        <w:t xml:space="preserve"> </w:t>
      </w:r>
      <w:r>
        <w:t xml:space="preserve">“who is this person”</w:t>
      </w:r>
      <w:r>
        <w:t xml:space="preserve"> </w:t>
      </w:r>
      <w:r>
        <w:t xml:space="preserve">decision and survives staffing changes cleanly.</w:t>
      </w:r>
    </w:p>
    <w:p>
      <w:pPr>
        <w:pStyle w:val="Compact"/>
        <w:numPr>
          <w:ilvl w:val="0"/>
          <w:numId w:val="1006"/>
        </w:numPr>
      </w:pPr>
      <w:r>
        <w:rPr>
          <w:b/>
          <w:bCs/>
        </w:rPr>
        <w:t xml:space="preserve">Time-bound elevation via PIM.</w:t>
      </w:r>
      <w:r>
        <w:t xml:space="preserve"> </w:t>
      </w:r>
      <w:r>
        <w:t xml:space="preserve">For routine administrative tasks, engineers SHOULD activate a PIM-eligible role for the minimum window required (often thirty or sixty minutes), with an approval workflow where the action is high-risk. Per the Microsoft Entra PIM documentation, time-bound activation produces a continuous audit record that is invaluable both for compliance and for post-incident reconstruction.</w:t>
      </w:r>
    </w:p>
    <w:p>
      <w:pPr>
        <w:pStyle w:val="Compact"/>
        <w:numPr>
          <w:ilvl w:val="0"/>
          <w:numId w:val="1006"/>
        </w:numPr>
      </w:pPr>
      <w:r>
        <w:rPr>
          <w:b/>
          <w:bCs/>
        </w:rPr>
        <w:t xml:space="preserve">Workload identity federation across clouds.</w:t>
      </w:r>
      <w:r>
        <w:t xml:space="preserve"> </w:t>
      </w:r>
      <w:r>
        <w:t xml:space="preserve">A workload running in GKE that must read a resource in Azure Storage SHOULD use GCP Workload Identity Federation to mint a token, exchange that token for an Entra access token via federated credentials, and use the resulting token to call Azure — never embedding an Azure client secret in the GKE workload.</w:t>
      </w:r>
    </w:p>
    <w:bookmarkEnd w:id="21"/>
    <w:bookmarkStart w:id="22" w:name="anti-patterns-prohibited"/>
    <w:p>
      <w:pPr>
        <w:pStyle w:val="Heading3"/>
      </w:pPr>
      <w:r>
        <w:t xml:space="preserve">Anti-Patterns (Prohibited)</w:t>
      </w:r>
    </w:p>
    <w:p>
      <w:pPr>
        <w:pStyle w:val="Compact"/>
        <w:numPr>
          <w:ilvl w:val="0"/>
          <w:numId w:val="1007"/>
        </w:numPr>
      </w:pPr>
      <w:r>
        <w:rPr>
          <w:b/>
          <w:bCs/>
        </w:rPr>
        <w:t xml:space="preserve">MUST NOT</w:t>
      </w:r>
      <w:r>
        <w:t xml:space="preserve"> </w:t>
      </w:r>
      <w:r>
        <w:t xml:space="preserve">create AWS IAM users with login profiles for workforce access. Console access by humans SHALL flow through AWS IAM Identity Center (formerly AWS SSO) federated to the corporate Entra ID tenant. Creating standalone IAM users bypasses MFA enforcement, conditional access, and the corporate joiner-mover-leaver process; multiple historical incidents in the corporation’s records originated from IAM users left active after an employee departed.</w:t>
      </w:r>
    </w:p>
    <w:p>
      <w:pPr>
        <w:pStyle w:val="Compact"/>
        <w:numPr>
          <w:ilvl w:val="0"/>
          <w:numId w:val="1007"/>
        </w:numPr>
      </w:pPr>
      <w:r>
        <w:rPr>
          <w:b/>
          <w:bCs/>
        </w:rPr>
        <w:t xml:space="preserve">MUST NOT</w:t>
      </w:r>
      <w:r>
        <w:t xml:space="preserve"> </w:t>
      </w:r>
      <w:r>
        <w:t xml:space="preserve">check service-account JSON keys, AWS access keys, or Azure client secrets into a code repository, even a private one, and even briefly. Any such credential found in source control SHALL be treated as compromised and rotated immediately. Secret scanners SHALL run on every pull request and SHALL block merge on detection.</w:t>
      </w:r>
    </w:p>
    <w:p>
      <w:pPr>
        <w:pStyle w:val="Compact"/>
        <w:numPr>
          <w:ilvl w:val="0"/>
          <w:numId w:val="1007"/>
        </w:numPr>
      </w:pPr>
      <w:r>
        <w:rPr>
          <w:b/>
          <w:bCs/>
        </w:rPr>
        <w:t xml:space="preserve">SHALL NOT</w:t>
      </w:r>
      <w:r>
        <w:t xml:space="preserve"> </w:t>
      </w:r>
      <w:r>
        <w:t xml:space="preserve">assign the</w:t>
      </w:r>
      <w:r>
        <w:t xml:space="preserve"> </w:t>
      </w:r>
      <w:r>
        <w:rPr>
          <w:rStyle w:val="VerbatimChar"/>
        </w:rPr>
        <w:t xml:space="preserve">Owner</w:t>
      </w:r>
      <w:r>
        <w:t xml:space="preserve">,</w:t>
      </w:r>
      <w:r>
        <w:t xml:space="preserve"> </w:t>
      </w:r>
      <w:r>
        <w:rPr>
          <w:rStyle w:val="VerbatimChar"/>
        </w:rPr>
        <w:t xml:space="preserve">Contributor</w:t>
      </w:r>
      <w:r>
        <w:t xml:space="preserve">,</w:t>
      </w:r>
      <w:r>
        <w:t xml:space="preserve"> </w:t>
      </w:r>
      <w:r>
        <w:rPr>
          <w:rStyle w:val="VerbatimChar"/>
        </w:rPr>
        <w:t xml:space="preserve">AdministratorAccess</w:t>
      </w:r>
      <w:r>
        <w:t xml:space="preserve">,</w:t>
      </w:r>
      <w:r>
        <w:t xml:space="preserve"> </w:t>
      </w:r>
      <w:r>
        <w:rPr>
          <w:rStyle w:val="VerbatimChar"/>
        </w:rPr>
        <w:t xml:space="preserve">roles/owner</w:t>
      </w:r>
      <w:r>
        <w:t xml:space="preserve">, or any other star-permission role to a workload identity. Workloads almost never need administrative permissions; when they do, the scope SHALL be reduced or the operation SHALL be deferred to a separate administrative pipeline.</w:t>
      </w:r>
    </w:p>
    <w:p>
      <w:pPr>
        <w:pStyle w:val="Compact"/>
        <w:numPr>
          <w:ilvl w:val="0"/>
          <w:numId w:val="1007"/>
        </w:numPr>
      </w:pPr>
      <w:r>
        <w:rPr>
          <w:b/>
          <w:bCs/>
        </w:rPr>
        <w:t xml:space="preserve">MUST NOT</w:t>
      </w:r>
      <w:r>
        <w:t xml:space="preserve"> </w:t>
      </w:r>
      <w:r>
        <w:t xml:space="preserve">rely on network location alone to authorize access. A request originating from inside a corporate VPN, an Azure VNet, or an AWS VPC SHALL be subject to the same identity-based authorization checks as a request originating from the public internet. This is a foundational tenet of zero-trust architecture and is reiterated in Chapter 2.</w:t>
      </w:r>
    </w:p>
    <w:p>
      <w:pPr>
        <w:pStyle w:val="Compact"/>
        <w:numPr>
          <w:ilvl w:val="0"/>
          <w:numId w:val="1007"/>
        </w:numPr>
      </w:pPr>
      <w:r>
        <w:rPr>
          <w:b/>
          <w:bCs/>
        </w:rPr>
        <w:t xml:space="preserve">SHALL NOT</w:t>
      </w:r>
      <w:r>
        <w:t xml:space="preserve"> </w:t>
      </w:r>
      <w:r>
        <w:t xml:space="preserve">share a workload identity across more than one application. Each application SHALL have its own workload identity with its own scoped permissions, even when the applications run on the same compute. Sharing workload identities defeats blast-radius containment and complicates revocation.</w:t>
      </w:r>
    </w:p>
    <w:p>
      <w:pPr>
        <w:pStyle w:val="Compact"/>
        <w:numPr>
          <w:ilvl w:val="0"/>
          <w:numId w:val="1007"/>
        </w:numPr>
      </w:pPr>
      <w:r>
        <w:rPr>
          <w:b/>
          <w:bCs/>
        </w:rPr>
        <w:t xml:space="preserve">MUST NOT</w:t>
      </w:r>
      <w:r>
        <w:t xml:space="preserve"> </w:t>
      </w:r>
      <w:r>
        <w:t xml:space="preserve">disable MFA for any user account, including service-test accounts. Service-test scenarios SHALL be addressed through workload identities or through purpose-built test tenants, not by weakening authentication on production identities.</w:t>
      </w:r>
    </w:p>
    <w:bookmarkEnd w:id="22"/>
    <w:bookmarkStart w:id="23" w:name="evidence-audit"/>
    <w:p>
      <w:pPr>
        <w:pStyle w:val="Heading3"/>
      </w:pPr>
      <w:r>
        <w:t xml:space="preserve">Evidence &amp; Audit</w:t>
      </w:r>
    </w:p>
    <w:p>
      <w:pPr>
        <w:pStyle w:val="Compact"/>
        <w:numPr>
          <w:ilvl w:val="0"/>
          <w:numId w:val="1008"/>
        </w:numPr>
      </w:pPr>
      <w:r>
        <w:t xml:space="preserve">Quarterly export of all standing role assignments across the three clouds, reconciled against the PIM eligibility list. Discrepancies SHALL be remediated within ten (10) business days.</w:t>
      </w:r>
    </w:p>
    <w:p>
      <w:pPr>
        <w:pStyle w:val="Compact"/>
        <w:numPr>
          <w:ilvl w:val="0"/>
          <w:numId w:val="1008"/>
        </w:numPr>
      </w:pPr>
      <w:r>
        <w:t xml:space="preserve">Monthly report of all workload identities with their last-used timestamp; identities unused for sixty (60) days SHALL be disabled.</w:t>
      </w:r>
    </w:p>
    <w:p>
      <w:pPr>
        <w:pStyle w:val="Compact"/>
        <w:numPr>
          <w:ilvl w:val="0"/>
          <w:numId w:val="1008"/>
        </w:numPr>
      </w:pPr>
      <w:r>
        <w:t xml:space="preserve">Continuous monitoring of Conditional Access policy changes; any change SHALL produce a SIEM alert and SHALL be approved through change management.</w:t>
      </w:r>
    </w:p>
    <w:p>
      <w:pPr>
        <w:pStyle w:val="Compact"/>
        <w:numPr>
          <w:ilvl w:val="0"/>
          <w:numId w:val="1008"/>
        </w:numPr>
      </w:pPr>
      <w:r>
        <w:t xml:space="preserve">Continuous monitoring of new IAM principals; creation of a new privileged role outside the approved IaC pipeline SHALL page the security operations center.</w:t>
      </w:r>
    </w:p>
    <w:p>
      <w:pPr>
        <w:pStyle w:val="Compact"/>
        <w:numPr>
          <w:ilvl w:val="0"/>
          <w:numId w:val="1008"/>
        </w:numPr>
      </w:pPr>
      <w:r>
        <w:t xml:space="preserve">Annual external penetration test SHALL include identity-pivot scenarios across the three clouds.</w:t>
      </w:r>
    </w:p>
    <w:p>
      <w:pPr>
        <w:pStyle w:val="Compact"/>
        <w:numPr>
          <w:ilvl w:val="0"/>
          <w:numId w:val="1008"/>
        </w:numPr>
      </w:pPr>
      <w:r>
        <w:t xml:space="preserve">Annual entitlement attestation campaign managed through the corporate IGA tool.</w:t>
      </w:r>
    </w:p>
    <w:p>
      <w:pPr>
        <w:pStyle w:val="Compact"/>
        <w:numPr>
          <w:ilvl w:val="0"/>
          <w:numId w:val="1008"/>
        </w:numPr>
      </w:pPr>
      <w:r>
        <w:t xml:space="preserve">Tamper-evident archival of break-glass account usage events, retained for seven (7) years.</w:t>
      </w:r>
    </w:p>
    <w:bookmarkEnd w:id="23"/>
    <w:bookmarkStart w:id="24" w:name="exceptions"/>
    <w:p>
      <w:pPr>
        <w:pStyle w:val="Heading3"/>
      </w:pPr>
      <w:r>
        <w:t xml:space="preserve">Exceptions</w:t>
      </w:r>
    </w:p>
    <w:p>
      <w:pPr>
        <w:pStyle w:val="FirstParagraph"/>
      </w:pPr>
      <w:r>
        <w:t xml:space="preserve">Exceptions to the controls in this chapter SHALL be filed in the corporate exception register, SHALL specify the compensating control, SHALL be approved by the Architecture Review Board, and SHALL be time-boxed to ninety (90) days, after which the exception SHALL be either retired or renewed with fresh review.</w:t>
      </w:r>
      <w:r>
        <w:t xml:space="preserve"> </w:t>
      </w:r>
      <w:r>
        <w:rPr>
          <w:b/>
          <w:bCs/>
        </w:rPr>
        <w:t xml:space="preserve">Exceptions SHALL be time-boxed to 90 days and require ARB approval.</w:t>
      </w:r>
    </w:p>
    <w:bookmarkEnd w:id="24"/>
    <w:bookmarkStart w:id="25" w:name="references"/>
    <w:p>
      <w:pPr>
        <w:pStyle w:val="Heading3"/>
      </w:pPr>
      <w:r>
        <w:t xml:space="preserve">References</w:t>
      </w:r>
    </w:p>
    <w:p>
      <w:pPr>
        <w:pStyle w:val="Compact"/>
        <w:numPr>
          <w:ilvl w:val="0"/>
          <w:numId w:val="1009"/>
        </w:numPr>
      </w:pPr>
      <w:r>
        <w:t xml:space="preserve">Microsoft Learn — Microsoft Entra ID overview: https://learn.microsoft.com/en-us/entra/identity/</w:t>
      </w:r>
    </w:p>
    <w:p>
      <w:pPr>
        <w:pStyle w:val="Compact"/>
        <w:numPr>
          <w:ilvl w:val="0"/>
          <w:numId w:val="1009"/>
        </w:numPr>
      </w:pPr>
      <w:r>
        <w:t xml:space="preserve">Microsoft Learn — Privileged Identity Management: https://learn.microsoft.com/en-us/entra/id-governance/privileged-identity-management/pim-configure</w:t>
      </w:r>
    </w:p>
    <w:p>
      <w:pPr>
        <w:pStyle w:val="Compact"/>
        <w:numPr>
          <w:ilvl w:val="0"/>
          <w:numId w:val="1009"/>
        </w:numPr>
      </w:pPr>
      <w:r>
        <w:t xml:space="preserve">Microsoft Learn — Workload identity federation: https://learn.microsoft.com/en-us/entra/workload-id/workload-identity-federation</w:t>
      </w:r>
    </w:p>
    <w:p>
      <w:pPr>
        <w:pStyle w:val="Compact"/>
        <w:numPr>
          <w:ilvl w:val="0"/>
          <w:numId w:val="1009"/>
        </w:numPr>
      </w:pPr>
      <w:r>
        <w:t xml:space="preserve">AWS Well-Architected — Security pillar (Identity &amp; Access Management): https://docs.aws.amazon.com/wellarchitected/latest/security-pillar/identity-and-access-management.html</w:t>
      </w:r>
    </w:p>
    <w:p>
      <w:pPr>
        <w:pStyle w:val="Compact"/>
        <w:numPr>
          <w:ilvl w:val="0"/>
          <w:numId w:val="1009"/>
        </w:numPr>
      </w:pPr>
      <w:r>
        <w:t xml:space="preserve">AWS IAM Identity Center documentation: https://docs.aws.amazon.com/singlesignon/latest/userguide/what-is.html</w:t>
      </w:r>
    </w:p>
    <w:p>
      <w:pPr>
        <w:pStyle w:val="Compact"/>
        <w:numPr>
          <w:ilvl w:val="0"/>
          <w:numId w:val="1009"/>
        </w:numPr>
      </w:pPr>
      <w:r>
        <w:t xml:space="preserve">Google Cloud — Identity and access management overview: https://cloud.google.com/iam/docs/overview</w:t>
      </w:r>
    </w:p>
    <w:p>
      <w:pPr>
        <w:pStyle w:val="Compact"/>
        <w:numPr>
          <w:ilvl w:val="0"/>
          <w:numId w:val="1009"/>
        </w:numPr>
      </w:pPr>
      <w:r>
        <w:t xml:space="preserve">Google Cloud — Workload Identity Federation: https://cloud.google.com/iam/docs/workload-identity-federation</w:t>
      </w:r>
    </w:p>
    <w:p>
      <w:pPr>
        <w:pStyle w:val="Compact"/>
        <w:numPr>
          <w:ilvl w:val="0"/>
          <w:numId w:val="1009"/>
        </w:numPr>
      </w:pPr>
      <w:r>
        <w:t xml:space="preserve">NIST SP 800-63B — Digital Identity Guidelines, Authentication and Lifecycle Management.</w:t>
      </w:r>
    </w:p>
    <w:p>
      <w:pPr>
        <w:pStyle w:val="Compact"/>
        <w:numPr>
          <w:ilvl w:val="0"/>
          <w:numId w:val="1009"/>
        </w:numPr>
      </w:pPr>
      <w:r>
        <w:t xml:space="preserve">CIS Microsoft 365 Foundations Benchmark — sections on conditional access and privileged identity.</w:t>
      </w:r>
    </w:p>
    <w:p>
      <w:pPr>
        <w:pStyle w:val="Compact"/>
        <w:numPr>
          <w:ilvl w:val="0"/>
          <w:numId w:val="1009"/>
        </w:numPr>
      </w:pPr>
      <w:r>
        <w:t xml:space="preserve">OWASP Application Security Verification Standard — V2 (Authentication) and V3 (Session Management).</w:t>
      </w:r>
    </w:p>
    <w:bookmarkEnd w:id="25"/>
    <w:bookmarkEnd w:id="26"/>
    <w:bookmarkStart w:id="35" w:name="X11ce06c192eb2be28fa4b725ede4bb16d771f89"/>
    <w:p>
      <w:pPr>
        <w:pStyle w:val="Heading2"/>
      </w:pPr>
      <w:r>
        <w:t xml:space="preserve">Chapter 2 — Network Architecture &amp; Edge Protection</w:t>
      </w:r>
    </w:p>
    <w:bookmarkStart w:id="27" w:name="intent-1"/>
    <w:p>
      <w:pPr>
        <w:pStyle w:val="Heading3"/>
      </w:pPr>
      <w:r>
        <w:t xml:space="preserve">Intent</w:t>
      </w:r>
    </w:p>
    <w:p>
      <w:pPr>
        <w:pStyle w:val="FirstParagraph"/>
      </w:pPr>
      <w:r>
        <w:t xml:space="preserve">Network architecture in cloud establishes the physical and logical boundaries within which every other control operates. While identity has become the new perimeter, the network remains the</w:t>
      </w:r>
      <w:r>
        <w:t xml:space="preserve"> </w:t>
      </w:r>
      <w:r>
        <w:rPr>
          <w:i/>
          <w:iCs/>
        </w:rPr>
        <w:t xml:space="preserve">enforcement substrate</w:t>
      </w:r>
      <w:r>
        <w:t xml:space="preserve"> </w:t>
      </w:r>
      <w:r>
        <w:t xml:space="preserve">— the place where attacker reachability is constrained, where lateral movement is contained, and where inspection and logging of traffic become possible. This chapter governs how the corporation designs cloud network topology, terminates ingress, controls egress, and segments environments on Microsoft Azure, Amazon Web Services, and Google Cloud Platform.</w:t>
      </w:r>
    </w:p>
    <w:p>
      <w:pPr>
        <w:pStyle w:val="BodyText"/>
      </w:pPr>
      <w:r>
        <w:t xml:space="preserve">The single most important rule in this chapter — and one of the most important in the entire document — is that</w:t>
      </w:r>
      <w:r>
        <w:t xml:space="preserve"> </w:t>
      </w:r>
      <w:r>
        <w:rPr>
          <w:b/>
          <w:bCs/>
        </w:rPr>
        <w:t xml:space="preserve">no workload operated by the corporation shall expose a service endpoint directly to the public internet</w:t>
      </w:r>
      <w:r>
        <w:t xml:space="preserve">. Every byte of inbound traffic from the public internet to any corporate workload SHALL transit a managed Web Application Firewall and a corporate-owned reverse-proxy layer (Azure Front Door with WAF, AWS CloudFront with AWS WAF, or Google Cloud Armor in front of a global external load balancer). This rule is non-negotiable. It exists because direct exposure of compute, storage, or database endpoints to the public internet has historically been the leading vector for both opportunistic and targeted breaches against the corporation and against peer organizations whose incident reports we have studied.</w:t>
      </w:r>
    </w:p>
    <w:p>
      <w:pPr>
        <w:pStyle w:val="BodyText"/>
      </w:pPr>
      <w:r>
        <w:t xml:space="preserve">The chapter further governs the design of the private network fabric inside each cloud — the hub-and-spoke topology, the use of private endpoints to keep traffic to managed services off the public internet, the partitioning of environments by trust zone, and the inspection of egress traffic.</w:t>
      </w:r>
    </w:p>
    <w:bookmarkEnd w:id="27"/>
    <w:bookmarkStart w:id="28" w:name="scope-2"/>
    <w:p>
      <w:pPr>
        <w:pStyle w:val="Heading3"/>
      </w:pPr>
      <w:r>
        <w:t xml:space="preserve">Scope</w:t>
      </w:r>
    </w:p>
    <w:p>
      <w:pPr>
        <w:pStyle w:val="Compact"/>
        <w:numPr>
          <w:ilvl w:val="0"/>
          <w:numId w:val="1010"/>
        </w:numPr>
      </w:pPr>
      <w:r>
        <w:t xml:space="preserve">Every cloud landing zone (Azure subscription, AWS account, GCP project) hosting any corporate workload.</w:t>
      </w:r>
    </w:p>
    <w:p>
      <w:pPr>
        <w:pStyle w:val="Compact"/>
        <w:numPr>
          <w:ilvl w:val="0"/>
          <w:numId w:val="1010"/>
        </w:numPr>
      </w:pPr>
      <w:r>
        <w:t xml:space="preserve">All inbound and outbound traffic crossing the corporate trust boundary, including traffic from on-premises data centers traversing ExpressRoute, Direct Connect, or Cloud Interconnect.</w:t>
      </w:r>
    </w:p>
    <w:p>
      <w:pPr>
        <w:pStyle w:val="Compact"/>
        <w:numPr>
          <w:ilvl w:val="0"/>
          <w:numId w:val="1010"/>
        </w:numPr>
      </w:pPr>
      <w:r>
        <w:t xml:space="preserve">All service-to-service traffic between landing zones.</w:t>
      </w:r>
    </w:p>
    <w:p>
      <w:pPr>
        <w:pStyle w:val="Compact"/>
        <w:numPr>
          <w:ilvl w:val="0"/>
          <w:numId w:val="1010"/>
        </w:numPr>
      </w:pPr>
      <w:r>
        <w:t xml:space="preserve">Both data-plane and control-plane traffic to managed services (databases, storage, messaging, AI services).</w:t>
      </w:r>
    </w:p>
    <w:p>
      <w:pPr>
        <w:pStyle w:val="Compact"/>
        <w:numPr>
          <w:ilvl w:val="0"/>
          <w:numId w:val="1010"/>
        </w:numPr>
      </w:pPr>
      <w:r>
        <w:t xml:space="preserve">DNS resolution paths and certificate trust chains used to reach corporate services.</w:t>
      </w:r>
    </w:p>
    <w:bookmarkEnd w:id="28"/>
    <w:bookmarkStart w:id="29" w:name="mandatory-controls-1"/>
    <w:p>
      <w:pPr>
        <w:pStyle w:val="Heading3"/>
      </w:pPr>
      <w:r>
        <w:t xml:space="preserve">Mandatory Controls</w:t>
      </w:r>
    </w:p>
    <w:p>
      <w:pPr>
        <w:pStyle w:val="Compact"/>
        <w:numPr>
          <w:ilvl w:val="0"/>
          <w:numId w:val="1011"/>
        </w:numPr>
      </w:pPr>
      <w:r>
        <w:t xml:space="preserve">All public ingress SHALL traverse a managed Web Application Firewall configured in</w:t>
      </w:r>
      <w:r>
        <w:t xml:space="preserve"> </w:t>
      </w:r>
      <w:r>
        <w:rPr>
          <w:b/>
          <w:bCs/>
        </w:rPr>
        <w:t xml:space="preserve">prevention</w:t>
      </w:r>
      <w:r>
        <w:t xml:space="preserve"> </w:t>
      </w:r>
      <w:r>
        <w:t xml:space="preserve">(not detection-only) mode. The WAF SHALL be Azure Front Door + WAF Premium for Azure-hosted workloads, AWS CloudFront + AWS WAF for AWS-hosted workloads, or Google Cloud Armor + global external Application Load Balancer for GCP-hosted workloads.</w:t>
      </w:r>
    </w:p>
    <w:p>
      <w:pPr>
        <w:pStyle w:val="Compact"/>
        <w:numPr>
          <w:ilvl w:val="0"/>
          <w:numId w:val="1011"/>
        </w:numPr>
      </w:pPr>
      <w:r>
        <w:t xml:space="preserve">The WAF SHALL enforce the corporate baseline rule set (which includes the OWASP Core Rule Set, the cloud provider’s managed bot-protection rules, and corporate-specific deny rules) and SHALL block on default action.</w:t>
      </w:r>
    </w:p>
    <w:p>
      <w:pPr>
        <w:pStyle w:val="Compact"/>
        <w:numPr>
          <w:ilvl w:val="0"/>
          <w:numId w:val="1011"/>
        </w:numPr>
      </w:pPr>
      <w:r>
        <w:t xml:space="preserve">No public IP address SHALL be attached to any compute resource (virtual machine, container instance, function host) that processes production traffic. Exceptions are permitted only for the edge / reverse-proxy layer itself, and only when that layer is a managed service operated by the cloud provider.</w:t>
      </w:r>
    </w:p>
    <w:p>
      <w:pPr>
        <w:pStyle w:val="Compact"/>
        <w:numPr>
          <w:ilvl w:val="0"/>
          <w:numId w:val="1011"/>
        </w:numPr>
      </w:pPr>
      <w:r>
        <w:t xml:space="preserve">Public direct endpoints on managed services (Azure Storage public endpoint, AWS S3 bucket public access, RDS publicly-accessible flag, Cloud SQL public IP, Cosmos DB public network access) SHALL be disabled at the organization-policy level; Service Control Policies, Azure Policy, and GCP Organization Policies SHALL enforce this denial.</w:t>
      </w:r>
    </w:p>
    <w:p>
      <w:pPr>
        <w:pStyle w:val="Compact"/>
        <w:numPr>
          <w:ilvl w:val="0"/>
          <w:numId w:val="1011"/>
        </w:numPr>
      </w:pPr>
      <w:r>
        <w:t xml:space="preserve">All consumption of managed PaaS services from inside a corporate VNet/VPC SHALL use private endpoints (Azure Private Link), VPC interface endpoints / Gateway endpoints (AWS PrivateLink), or Private Service Connect (GCP). Public endpoint consumption is prohibited.</w:t>
      </w:r>
    </w:p>
    <w:p>
      <w:pPr>
        <w:pStyle w:val="Compact"/>
        <w:numPr>
          <w:ilvl w:val="0"/>
          <w:numId w:val="1011"/>
        </w:numPr>
      </w:pPr>
      <w:r>
        <w:t xml:space="preserve">The corporate network topology SHALL follow a hub-and-spoke pattern with a centrally managed connectivity hub (Azure Virtual WAN or hub VNet, AWS Transit Gateway, GCP Network Connectivity Center hub). Direct spoke-to-spoke peering MUST NOT be used to bypass hub inspection.</w:t>
      </w:r>
    </w:p>
    <w:p>
      <w:pPr>
        <w:pStyle w:val="Compact"/>
        <w:numPr>
          <w:ilvl w:val="0"/>
          <w:numId w:val="1011"/>
        </w:numPr>
      </w:pPr>
      <w:r>
        <w:t xml:space="preserve">Egress to the public internet from any spoke SHALL transit a corporate egress inspection point (Azure Firewall Premium, AWS Network Firewall, or GCP Cloud NGFW) that performs DNS resolution logging, TLS-inspection where lawful, and policy-based domain allow-listing.</w:t>
      </w:r>
    </w:p>
    <w:p>
      <w:pPr>
        <w:pStyle w:val="Compact"/>
        <w:numPr>
          <w:ilvl w:val="0"/>
          <w:numId w:val="1011"/>
        </w:numPr>
      </w:pPr>
      <w:r>
        <w:t xml:space="preserve">Network Security Groups (Azure), Security Groups (AWS), and VPC Firewall Rules (GCP) SHALL default-deny inbound and SHALL be expressed as least-privilege allow-lists; rule changes SHALL be made only through Infrastructure-as-Code.</w:t>
      </w:r>
    </w:p>
    <w:p>
      <w:pPr>
        <w:pStyle w:val="Compact"/>
        <w:numPr>
          <w:ilvl w:val="0"/>
          <w:numId w:val="1011"/>
        </w:numPr>
      </w:pPr>
      <w:r>
        <w:t xml:space="preserve">Each environment (production, pre-production, development) SHALL be isolated in a separate Azure subscription, AWS account, or GCP project; cross-environment traffic SHALL be explicitly authorized at the hub.</w:t>
      </w:r>
    </w:p>
    <w:p>
      <w:pPr>
        <w:pStyle w:val="Compact"/>
        <w:numPr>
          <w:ilvl w:val="0"/>
          <w:numId w:val="1011"/>
        </w:numPr>
      </w:pPr>
      <w:r>
        <w:t xml:space="preserve">DDoS protection SHALL be enabled at the L3/L4 layer for every public-facing edge: Azure DDoS Protection Network tier, AWS Shield Standard with Shield Advanced for tier-1 workloads, and GCP Cloud Armor’s adaptive protection.</w:t>
      </w:r>
    </w:p>
    <w:p>
      <w:pPr>
        <w:pStyle w:val="Compact"/>
        <w:numPr>
          <w:ilvl w:val="0"/>
          <w:numId w:val="1011"/>
        </w:numPr>
      </w:pPr>
      <w:r>
        <w:t xml:space="preserve">All DNS resolution for private resources SHALL use cloud-private DNS zones; queries SHALL NOT egress to public resolvers for corporate-owned names.</w:t>
      </w:r>
    </w:p>
    <w:p>
      <w:pPr>
        <w:pStyle w:val="Compact"/>
        <w:numPr>
          <w:ilvl w:val="0"/>
          <w:numId w:val="1011"/>
        </w:numPr>
      </w:pPr>
      <w:r>
        <w:t xml:space="preserve">The minimum supported TLS version on any public-facing endpoint SHALL be TLS 1.2; TLS 1.3 SHALL be preferred when both endpoints support it. SSL/TLS 1.0 and 1.1 MUST NOT be enabled.</w:t>
      </w:r>
    </w:p>
    <w:p>
      <w:pPr>
        <w:pStyle w:val="Compact"/>
        <w:numPr>
          <w:ilvl w:val="0"/>
          <w:numId w:val="1011"/>
        </w:numPr>
      </w:pPr>
      <w:r>
        <w:t xml:space="preserve">Network flow logs (NSG flow logs, VPC Flow Logs, GCP VPC Flow Logs) SHALL be enabled on every subnet in every environment and SHALL be forwarded to the central SIEM.</w:t>
      </w:r>
    </w:p>
    <w:p>
      <w:pPr>
        <w:pStyle w:val="Compact"/>
        <w:numPr>
          <w:ilvl w:val="0"/>
          <w:numId w:val="1011"/>
        </w:numPr>
      </w:pPr>
      <w:r>
        <w:t xml:space="preserve">IPv6 SHALL be supported on every public-facing edge endpoint; dual-stack is the default.</w:t>
      </w:r>
    </w:p>
    <w:p>
      <w:pPr>
        <w:pStyle w:val="Compact"/>
        <w:numPr>
          <w:ilvl w:val="0"/>
          <w:numId w:val="1011"/>
        </w:numPr>
      </w:pPr>
      <w:r>
        <w:t xml:space="preserve">Bastion / jump-host access to private resources SHALL use a managed bastion service (Azure Bastion, AWS Systems Manager Session Manager, or GCP IAP TCP forwarding); SSH over the public internet is prohibited.</w:t>
      </w:r>
    </w:p>
    <w:bookmarkEnd w:id="29"/>
    <w:bookmarkStart w:id="30" w:name="patterns-recommended-1"/>
    <w:p>
      <w:pPr>
        <w:pStyle w:val="Heading3"/>
      </w:pPr>
      <w:r>
        <w:t xml:space="preserve">Patterns (Recommended)</w:t>
      </w:r>
    </w:p>
    <w:p>
      <w:pPr>
        <w:pStyle w:val="Compact"/>
        <w:numPr>
          <w:ilvl w:val="0"/>
          <w:numId w:val="1012"/>
        </w:numPr>
      </w:pPr>
      <w:r>
        <w:rPr>
          <w:b/>
          <w:bCs/>
        </w:rPr>
        <w:t xml:space="preserve">Global front door with regional origins.</w:t>
      </w:r>
      <w:r>
        <w:t xml:space="preserve"> </w:t>
      </w:r>
      <w:r>
        <w:t xml:space="preserve">Public web and API traffic SHOULD enter the corporate network through a globally distributed edge (Azure Front Door, AWS CloudFront, GCP global external load balancer), with multiple regional origins behind it. Per the Microsoft Cloud Adoption Framework, this pattern provides DDoS absorption, TLS termination at the edge, WAF enforcement at the edge, and origin failover with no client-visible disruption.</w:t>
      </w:r>
    </w:p>
    <w:p>
      <w:pPr>
        <w:pStyle w:val="Compact"/>
        <w:numPr>
          <w:ilvl w:val="0"/>
          <w:numId w:val="1012"/>
        </w:numPr>
      </w:pPr>
      <w:r>
        <w:rPr>
          <w:b/>
          <w:bCs/>
        </w:rPr>
        <w:t xml:space="preserve">Private Link consumer with Private DNS resolution.</w:t>
      </w:r>
      <w:r>
        <w:t xml:space="preserve"> </w:t>
      </w:r>
      <w:r>
        <w:t xml:space="preserve">Workloads consuming Azure managed services SHOULD do so via Private Endpoints with corporate private DNS zones, ensuring that the FQDN of, say, a storage account resolves to a private IP inside the consumer VNet and traffic never traverses the public internet. Per Microsoft Learn, this is the canonical defense against data-exfiltration via DNS-poisoning of public service endpoints.</w:t>
      </w:r>
    </w:p>
    <w:p>
      <w:pPr>
        <w:pStyle w:val="Compact"/>
        <w:numPr>
          <w:ilvl w:val="0"/>
          <w:numId w:val="1012"/>
        </w:numPr>
      </w:pPr>
      <w:r>
        <w:rPr>
          <w:b/>
          <w:bCs/>
        </w:rPr>
        <w:t xml:space="preserve">Transit Gateway with attachment-policy segmentation.</w:t>
      </w:r>
      <w:r>
        <w:t xml:space="preserve"> </w:t>
      </w:r>
      <w:r>
        <w:t xml:space="preserve">AWS multi-account topologies SHOULD use a Transit Gateway with route-table partitioning to express trust zones (production, pre-production, sandbox, security inspection). Per the AWS Well-Architected Reliability pillar, this approach scales linearly with account count and centralizes routing-policy enforcement.</w:t>
      </w:r>
    </w:p>
    <w:p>
      <w:pPr>
        <w:pStyle w:val="Compact"/>
        <w:numPr>
          <w:ilvl w:val="0"/>
          <w:numId w:val="1012"/>
        </w:numPr>
      </w:pPr>
      <w:r>
        <w:rPr>
          <w:b/>
          <w:bCs/>
        </w:rPr>
        <w:t xml:space="preserve">Egress firewall with FQDN allow-listing.</w:t>
      </w:r>
      <w:r>
        <w:t xml:space="preserve"> </w:t>
      </w:r>
      <w:r>
        <w:t xml:space="preserve">Outbound traffic SHOULD be filtered by destination FQDN rather than IP address where possible, because cloud-service IP ranges change frequently. Azure Firewall Premium, AWS Network Firewall, and GCP Cloud NGFW all support FQDN-based filtering and SHOULD be configured to allow only an explicitly enumerated set of corporate-approved destinations.</w:t>
      </w:r>
    </w:p>
    <w:p>
      <w:pPr>
        <w:pStyle w:val="Compact"/>
        <w:numPr>
          <w:ilvl w:val="0"/>
          <w:numId w:val="1012"/>
        </w:numPr>
      </w:pPr>
      <w:r>
        <w:rPr>
          <w:b/>
          <w:bCs/>
        </w:rPr>
        <w:t xml:space="preserve">Service mesh for east-west mTLS.</w:t>
      </w:r>
      <w:r>
        <w:t xml:space="preserve"> </w:t>
      </w:r>
      <w:r>
        <w:t xml:space="preserve">Service-to-service traffic within a Kubernetes cluster or across clusters SHOULD be wrapped in a service mesh (Istio, Linkerd, AWS App Mesh) so that mTLS, traffic policy, and observability are uniform across services. See Chapter 16 for details on service mesh selection.</w:t>
      </w:r>
    </w:p>
    <w:p>
      <w:pPr>
        <w:pStyle w:val="Compact"/>
        <w:numPr>
          <w:ilvl w:val="0"/>
          <w:numId w:val="1012"/>
        </w:numPr>
      </w:pPr>
      <w:r>
        <w:rPr>
          <w:b/>
          <w:bCs/>
        </w:rPr>
        <w:t xml:space="preserve">Hub-and-spoke with shared services in the hub.</w:t>
      </w:r>
      <w:r>
        <w:t xml:space="preserve"> </w:t>
      </w:r>
      <w:r>
        <w:t xml:space="preserve">Common shared services — DNS, identity proxies, egress firewall, monitoring forwarders, package mirrors — SHOULD live in the hub VNet/VPC so that spokes can be created and destroyed cheaply without re-deploying those shared services per workload.</w:t>
      </w:r>
    </w:p>
    <w:bookmarkEnd w:id="30"/>
    <w:bookmarkStart w:id="31" w:name="anti-patterns-prohibited-1"/>
    <w:p>
      <w:pPr>
        <w:pStyle w:val="Heading3"/>
      </w:pPr>
      <w:r>
        <w:t xml:space="preserve">Anti-Patterns (Prohibited)</w:t>
      </w:r>
    </w:p>
    <w:p>
      <w:pPr>
        <w:pStyle w:val="Compact"/>
        <w:numPr>
          <w:ilvl w:val="0"/>
          <w:numId w:val="1013"/>
        </w:numPr>
      </w:pPr>
      <w:r>
        <w:rPr>
          <w:b/>
          <w:bCs/>
        </w:rPr>
        <w:t xml:space="preserve">MUST NOT</w:t>
      </w:r>
      <w:r>
        <w:t xml:space="preserve"> </w:t>
      </w:r>
      <w:r>
        <w:t xml:space="preserve">attach a public IP to a VM, an EKS worker node, an AKS node pool, or a GKE node pool in any environment that processes corporate data. Even in development environments, public-IP-on-node has consistently been the root cause of credential theft via metadata-service abuse and of opportunistic cryptominer infections.</w:t>
      </w:r>
    </w:p>
    <w:p>
      <w:pPr>
        <w:pStyle w:val="Compact"/>
        <w:numPr>
          <w:ilvl w:val="0"/>
          <w:numId w:val="1013"/>
        </w:numPr>
      </w:pPr>
      <w:r>
        <w:rPr>
          <w:b/>
          <w:bCs/>
        </w:rPr>
        <w:t xml:space="preserve">MUST NOT</w:t>
      </w:r>
      <w:r>
        <w:t xml:space="preserve"> </w:t>
      </w:r>
      <w:r>
        <w:t xml:space="preserve">open a</w:t>
      </w:r>
      <w:r>
        <w:t xml:space="preserve"> </w:t>
      </w:r>
      <w:r>
        <w:rPr>
          <w:rStyle w:val="VerbatimChar"/>
        </w:rPr>
        <w:t xml:space="preserve">0.0.0.0/0</w:t>
      </w:r>
      <w:r>
        <w:t xml:space="preserve"> </w:t>
      </w:r>
      <w:r>
        <w:t xml:space="preserve">inbound rule on any port other than 80/443 on the edge layer itself. Inbound RDP, SSH, database ports, or administrative ports from the open internet are unconditionally prohibited.</w:t>
      </w:r>
    </w:p>
    <w:p>
      <w:pPr>
        <w:pStyle w:val="Compact"/>
        <w:numPr>
          <w:ilvl w:val="0"/>
          <w:numId w:val="1013"/>
        </w:numPr>
      </w:pPr>
      <w:r>
        <w:rPr>
          <w:b/>
          <w:bCs/>
        </w:rPr>
        <w:t xml:space="preserve">SHALL NOT</w:t>
      </w:r>
      <w:r>
        <w:t xml:space="preserve"> </w:t>
      </w:r>
      <w:r>
        <w:t xml:space="preserve">use a</w:t>
      </w:r>
      <w:r>
        <w:t xml:space="preserve"> </w:t>
      </w:r>
      <w:r>
        <w:t xml:space="preserve">“default”</w:t>
      </w:r>
      <w:r>
        <w:t xml:space="preserve"> </w:t>
      </w:r>
      <w:r>
        <w:t xml:space="preserve">VPC,</w:t>
      </w:r>
      <w:r>
        <w:t xml:space="preserve"> </w:t>
      </w:r>
      <w:r>
        <w:t xml:space="preserve">“default”</w:t>
      </w:r>
      <w:r>
        <w:t xml:space="preserve"> </w:t>
      </w:r>
      <w:r>
        <w:t xml:space="preserve">VNet, or</w:t>
      </w:r>
      <w:r>
        <w:t xml:space="preserve"> </w:t>
      </w:r>
      <w:r>
        <w:t xml:space="preserve">“default”</w:t>
      </w:r>
      <w:r>
        <w:t xml:space="preserve"> </w:t>
      </w:r>
      <w:r>
        <w:t xml:space="preserve">project network for any workload. Default networks are created without segmentation, without flow logging, and without firewall rules aligned to the corporate baseline.</w:t>
      </w:r>
    </w:p>
    <w:p>
      <w:pPr>
        <w:pStyle w:val="Compact"/>
        <w:numPr>
          <w:ilvl w:val="0"/>
          <w:numId w:val="1013"/>
        </w:numPr>
      </w:pPr>
      <w:r>
        <w:rPr>
          <w:b/>
          <w:bCs/>
        </w:rPr>
        <w:t xml:space="preserve">MUST NOT</w:t>
      </w:r>
      <w:r>
        <w:t xml:space="preserve"> </w:t>
      </w:r>
      <w:r>
        <w:t xml:space="preserve">terminate TLS on a workload pod and then forward plaintext HTTP across the cluster. Even within a private subnet, east-west traffic SHALL be encrypted; see service-mesh pattern above.</w:t>
      </w:r>
    </w:p>
    <w:p>
      <w:pPr>
        <w:pStyle w:val="Compact"/>
        <w:numPr>
          <w:ilvl w:val="0"/>
          <w:numId w:val="1013"/>
        </w:numPr>
      </w:pPr>
      <w:r>
        <w:rPr>
          <w:b/>
          <w:bCs/>
        </w:rPr>
        <w:t xml:space="preserve">SHALL NOT</w:t>
      </w:r>
      <w:r>
        <w:t xml:space="preserve"> </w:t>
      </w:r>
      <w:r>
        <w:t xml:space="preserve">rely on security-group references in one account to authorize traffic from another account without an explicit Transit Gateway or VPC Peering route, since accidental peering teardown silently breaks the model. Use explicit ingress / egress rules with hub-based inspection.</w:t>
      </w:r>
    </w:p>
    <w:p>
      <w:pPr>
        <w:pStyle w:val="Compact"/>
        <w:numPr>
          <w:ilvl w:val="0"/>
          <w:numId w:val="1013"/>
        </w:numPr>
      </w:pPr>
      <w:r>
        <w:rPr>
          <w:b/>
          <w:bCs/>
        </w:rPr>
        <w:t xml:space="preserve">MUST NOT</w:t>
      </w:r>
      <w:r>
        <w:t xml:space="preserve"> </w:t>
      </w:r>
      <w:r>
        <w:t xml:space="preserve">bypass the corporate egress inspection point by configuring a workload to use a NAT gateway with direct internet route. NAT gateways SHALL route to the corporate egress firewall, not directly to the internet gateway.</w:t>
      </w:r>
    </w:p>
    <w:bookmarkEnd w:id="31"/>
    <w:bookmarkStart w:id="32" w:name="evidence-audit-1"/>
    <w:p>
      <w:pPr>
        <w:pStyle w:val="Heading3"/>
      </w:pPr>
      <w:r>
        <w:t xml:space="preserve">Evidence &amp; Audit</w:t>
      </w:r>
    </w:p>
    <w:p>
      <w:pPr>
        <w:pStyle w:val="Compact"/>
        <w:numPr>
          <w:ilvl w:val="0"/>
          <w:numId w:val="1014"/>
        </w:numPr>
      </w:pPr>
      <w:r>
        <w:t xml:space="preserve">Continuous evaluation of Azure Policy / AWS Config / GCP Org Policy assertions enforcing the no-public-endpoint rules, with a daily compliance report to the ARB.</w:t>
      </w:r>
    </w:p>
    <w:p>
      <w:pPr>
        <w:pStyle w:val="Compact"/>
        <w:numPr>
          <w:ilvl w:val="0"/>
          <w:numId w:val="1014"/>
        </w:numPr>
      </w:pPr>
      <w:r>
        <w:t xml:space="preserve">Continuous discovery scan of newly attached public IPs across all three clouds; any finding SHALL page the security operations center.</w:t>
      </w:r>
    </w:p>
    <w:p>
      <w:pPr>
        <w:pStyle w:val="Compact"/>
        <w:numPr>
          <w:ilvl w:val="0"/>
          <w:numId w:val="1014"/>
        </w:numPr>
      </w:pPr>
      <w:r>
        <w:t xml:space="preserve">Quarterly external attack-surface scan (Shodan-equivalent, plus internal asset graph) cross-referenced against the inventory of approved edge endpoints; unexpected exposures SHALL be remediated within forty-eight (48) hours.</w:t>
      </w:r>
    </w:p>
    <w:p>
      <w:pPr>
        <w:pStyle w:val="Compact"/>
        <w:numPr>
          <w:ilvl w:val="0"/>
          <w:numId w:val="1014"/>
        </w:numPr>
      </w:pPr>
      <w:r>
        <w:t xml:space="preserve">WAF rule deployment SHALL be reviewed weekly; changes to the deny-action default SHALL require ARB approval.</w:t>
      </w:r>
    </w:p>
    <w:p>
      <w:pPr>
        <w:pStyle w:val="Compact"/>
        <w:numPr>
          <w:ilvl w:val="0"/>
          <w:numId w:val="1014"/>
        </w:numPr>
      </w:pPr>
      <w:r>
        <w:t xml:space="preserve">Flow-log ingestion volume SHALL be monitored; a drop of more than twenty (20) percent in a twenty-four-hour window SHALL trigger investigation.</w:t>
      </w:r>
    </w:p>
    <w:p>
      <w:pPr>
        <w:pStyle w:val="Compact"/>
        <w:numPr>
          <w:ilvl w:val="0"/>
          <w:numId w:val="1014"/>
        </w:numPr>
      </w:pPr>
      <w:r>
        <w:t xml:space="preserve">Annual red-team engagement SHALL test public attack surface as discovered from outside the corporate network.</w:t>
      </w:r>
    </w:p>
    <w:bookmarkEnd w:id="32"/>
    <w:bookmarkStart w:id="33" w:name="exceptions-1"/>
    <w:p>
      <w:pPr>
        <w:pStyle w:val="Heading3"/>
      </w:pPr>
      <w:r>
        <w:t xml:space="preserve">Exceptions</w:t>
      </w:r>
    </w:p>
    <w:p>
      <w:pPr>
        <w:pStyle w:val="FirstParagraph"/>
      </w:pPr>
      <w:r>
        <w:t xml:space="preserve">A workload that genuinely cannot operate behind a reverse proxy (for example, a non-HTTP protocol that the corporate WAF does not support) SHALL apply for an exception that documents the protocol, the compensating controls (typically an L4 inspection appliance), the inspection cadence, and the data sensitivity.</w:t>
      </w:r>
      <w:r>
        <w:t xml:space="preserve"> </w:t>
      </w:r>
      <w:r>
        <w:rPr>
          <w:b/>
          <w:bCs/>
        </w:rPr>
        <w:t xml:space="preserve">Exceptions SHALL be time-boxed to 90 days and require ARB approval.</w:t>
      </w:r>
    </w:p>
    <w:bookmarkEnd w:id="33"/>
    <w:bookmarkStart w:id="34" w:name="references-1"/>
    <w:p>
      <w:pPr>
        <w:pStyle w:val="Heading3"/>
      </w:pPr>
      <w:r>
        <w:t xml:space="preserve">References</w:t>
      </w:r>
    </w:p>
    <w:p>
      <w:pPr>
        <w:pStyle w:val="Compact"/>
        <w:numPr>
          <w:ilvl w:val="0"/>
          <w:numId w:val="1015"/>
        </w:numPr>
      </w:pPr>
      <w:r>
        <w:t xml:space="preserve">Microsoft Learn — Azure landing zone network topology and connectivity: https://learn.microsoft.com/en-us/azure/cloud-adoption-framework/ready/landing-zone/design-area/network-topology-and-connectivity</w:t>
      </w:r>
    </w:p>
    <w:p>
      <w:pPr>
        <w:pStyle w:val="Compact"/>
        <w:numPr>
          <w:ilvl w:val="0"/>
          <w:numId w:val="1015"/>
        </w:numPr>
      </w:pPr>
      <w:r>
        <w:t xml:space="preserve">Microsoft Learn — Azure Front Door and WAF: https://learn.microsoft.com/en-us/azure/frontdoor/</w:t>
      </w:r>
    </w:p>
    <w:p>
      <w:pPr>
        <w:pStyle w:val="Compact"/>
        <w:numPr>
          <w:ilvl w:val="0"/>
          <w:numId w:val="1015"/>
        </w:numPr>
      </w:pPr>
      <w:r>
        <w:t xml:space="preserve">Microsoft Learn — Azure Private Link: https://learn.microsoft.com/en-us/azure/private-link/private-link-overview</w:t>
      </w:r>
    </w:p>
    <w:p>
      <w:pPr>
        <w:pStyle w:val="Compact"/>
        <w:numPr>
          <w:ilvl w:val="0"/>
          <w:numId w:val="1015"/>
        </w:numPr>
      </w:pPr>
      <w:r>
        <w:t xml:space="preserve">AWS Well-Architected — Security pillar (Infrastructure Protection): https://docs.aws.amazon.com/wellarchitected/latest/security-pillar/infrastructure-protection.html</w:t>
      </w:r>
    </w:p>
    <w:p>
      <w:pPr>
        <w:pStyle w:val="Compact"/>
        <w:numPr>
          <w:ilvl w:val="0"/>
          <w:numId w:val="1015"/>
        </w:numPr>
      </w:pPr>
      <w:r>
        <w:t xml:space="preserve">AWS — VPC design for multi-account environments: https://docs.aws.amazon.com/whitepapers/latest/aws-vpc-connectivity-options/welcome.html</w:t>
      </w:r>
    </w:p>
    <w:p>
      <w:pPr>
        <w:pStyle w:val="Compact"/>
        <w:numPr>
          <w:ilvl w:val="0"/>
          <w:numId w:val="1015"/>
        </w:numPr>
      </w:pPr>
      <w:r>
        <w:t xml:space="preserve">AWS WAF developer guide: https://docs.aws.amazon.com/waf/latest/developerguide/waf-chapter.html</w:t>
      </w:r>
    </w:p>
    <w:p>
      <w:pPr>
        <w:pStyle w:val="Compact"/>
        <w:numPr>
          <w:ilvl w:val="0"/>
          <w:numId w:val="1015"/>
        </w:numPr>
      </w:pPr>
      <w:r>
        <w:t xml:space="preserve">Google Cloud Architecture Framework — Security: https://cloud.google.com/architecture/framework/security</w:t>
      </w:r>
    </w:p>
    <w:p>
      <w:pPr>
        <w:pStyle w:val="Compact"/>
        <w:numPr>
          <w:ilvl w:val="0"/>
          <w:numId w:val="1015"/>
        </w:numPr>
      </w:pPr>
      <w:r>
        <w:t xml:space="preserve">Google Cloud Armor overview: https://cloud.google.com/armor/docs/cloud-armor-overview</w:t>
      </w:r>
    </w:p>
    <w:p>
      <w:pPr>
        <w:pStyle w:val="Compact"/>
        <w:numPr>
          <w:ilvl w:val="0"/>
          <w:numId w:val="1015"/>
        </w:numPr>
      </w:pPr>
      <w:r>
        <w:t xml:space="preserve">Google Cloud — Private Service Connect: https://cloud.google.com/vpc/docs/private-service-connect</w:t>
      </w:r>
    </w:p>
    <w:p>
      <w:pPr>
        <w:pStyle w:val="Compact"/>
        <w:numPr>
          <w:ilvl w:val="0"/>
          <w:numId w:val="1015"/>
        </w:numPr>
      </w:pPr>
      <w:r>
        <w:t xml:space="preserve">NIST SP 800-207 — Zero Trust Architecture.</w:t>
      </w:r>
    </w:p>
    <w:bookmarkEnd w:id="34"/>
    <w:bookmarkEnd w:id="35"/>
    <w:bookmarkStart w:id="44" w:name="chapter-3-secrets-keys-certificates"/>
    <w:p>
      <w:pPr>
        <w:pStyle w:val="Heading2"/>
      </w:pPr>
      <w:r>
        <w:t xml:space="preserve">Chapter 3 — Secrets, Keys &amp; Certificates</w:t>
      </w:r>
    </w:p>
    <w:bookmarkStart w:id="36" w:name="intent-2"/>
    <w:p>
      <w:pPr>
        <w:pStyle w:val="Heading3"/>
      </w:pPr>
      <w:r>
        <w:t xml:space="preserve">Intent</w:t>
      </w:r>
    </w:p>
    <w:p>
      <w:pPr>
        <w:pStyle w:val="FirstParagraph"/>
      </w:pPr>
      <w:r>
        <w:t xml:space="preserve">Secrets, cryptographic keys, and certificates are the materials from which trust is built in a distributed system. Compromise of a single signing key, encryption key, or service credential can invalidate every other control in this document. This chapter governs how the corporation generates, stores, distributes, rotates, and retires the cryptographic material and the application secrets used by its cloud workloads on Microsoft Azure, Amazon Web Services, and Google Cloud Platform.</w:t>
      </w:r>
    </w:p>
    <w:p>
      <w:pPr>
        <w:pStyle w:val="BodyText"/>
      </w:pPr>
      <w:r>
        <w:t xml:space="preserve">The objective of this chapter is twofold. First, to ensure that</w:t>
      </w:r>
      <w:r>
        <w:t xml:space="preserve"> </w:t>
      </w:r>
      <w:r>
        <w:rPr>
          <w:i/>
          <w:iCs/>
        </w:rPr>
        <w:t xml:space="preserve">no</w:t>
      </w:r>
      <w:r>
        <w:t xml:space="preserve"> </w:t>
      </w:r>
      <w:r>
        <w:t xml:space="preserve">application secret, encryption key, or certificate private key exists outside of a hardened, audited, access-controlled vault. Second, to ensure that the operational cost of doing the right thing — using the vault, rotating regularly, federating identity instead of holding static credentials — is low enough that engineers do not invent shortcuts.</w:t>
      </w:r>
    </w:p>
    <w:p>
      <w:pPr>
        <w:pStyle w:val="BodyText"/>
      </w:pPr>
      <w:r>
        <w:t xml:space="preserve">This chapter is tightly coupled to Chapter 1 (Identity &amp; Access Management) and Chapter 4 (Data Protection). The rules here close the secret-lifecycle gap that those chapters leave open.</w:t>
      </w:r>
    </w:p>
    <w:bookmarkEnd w:id="36"/>
    <w:bookmarkStart w:id="37" w:name="scope-3"/>
    <w:p>
      <w:pPr>
        <w:pStyle w:val="Heading3"/>
      </w:pPr>
      <w:r>
        <w:t xml:space="preserve">Scope</w:t>
      </w:r>
    </w:p>
    <w:p>
      <w:pPr>
        <w:pStyle w:val="Compact"/>
        <w:numPr>
          <w:ilvl w:val="0"/>
          <w:numId w:val="1016"/>
        </w:numPr>
      </w:pPr>
      <w:r>
        <w:t xml:space="preserve">All application secrets: database connection strings, API keys to third parties, OAuth client secrets, encryption keys handled at the application layer.</w:t>
      </w:r>
    </w:p>
    <w:p>
      <w:pPr>
        <w:pStyle w:val="Compact"/>
        <w:numPr>
          <w:ilvl w:val="0"/>
          <w:numId w:val="1016"/>
        </w:numPr>
      </w:pPr>
      <w:r>
        <w:t xml:space="preserve">All cryptographic keys used to encrypt data at rest under corporate control: customer-managed keys (CMK), bring-your-own-keys (BYOK).</w:t>
      </w:r>
    </w:p>
    <w:p>
      <w:pPr>
        <w:pStyle w:val="Compact"/>
        <w:numPr>
          <w:ilvl w:val="0"/>
          <w:numId w:val="1016"/>
        </w:numPr>
      </w:pPr>
      <w:r>
        <w:t xml:space="preserve">All certificates issued to corporate workloads, whether public-trust or private-trust.</w:t>
      </w:r>
    </w:p>
    <w:p>
      <w:pPr>
        <w:pStyle w:val="Compact"/>
        <w:numPr>
          <w:ilvl w:val="0"/>
          <w:numId w:val="1016"/>
        </w:numPr>
      </w:pPr>
      <w:r>
        <w:t xml:space="preserve">All HSM-backed key material for tier-1 workloads.</w:t>
      </w:r>
    </w:p>
    <w:p>
      <w:pPr>
        <w:pStyle w:val="Compact"/>
        <w:numPr>
          <w:ilvl w:val="0"/>
          <w:numId w:val="1016"/>
        </w:numPr>
      </w:pPr>
      <w:r>
        <w:t xml:space="preserve">The signing keys and credentials used by the corporate CI/CD systems (covered jointly with Chapter 14).</w:t>
      </w:r>
    </w:p>
    <w:bookmarkEnd w:id="37"/>
    <w:bookmarkStart w:id="38" w:name="mandatory-controls-2"/>
    <w:p>
      <w:pPr>
        <w:pStyle w:val="Heading3"/>
      </w:pPr>
      <w:r>
        <w:t xml:space="preserve">Mandatory Controls</w:t>
      </w:r>
    </w:p>
    <w:p>
      <w:pPr>
        <w:pStyle w:val="Compact"/>
        <w:numPr>
          <w:ilvl w:val="0"/>
          <w:numId w:val="1017"/>
        </w:numPr>
      </w:pPr>
      <w:r>
        <w:t xml:space="preserve">Every application secret SHALL be stored in a managed secret store: Azure Key Vault, AWS Secrets Manager, or GCP Secret Manager, scoped to the workload’s environment.</w:t>
      </w:r>
    </w:p>
    <w:p>
      <w:pPr>
        <w:pStyle w:val="Compact"/>
        <w:numPr>
          <w:ilvl w:val="0"/>
          <w:numId w:val="1017"/>
        </w:numPr>
      </w:pPr>
      <w:r>
        <w:t xml:space="preserve">Secrets MUST NOT appear in source code, in container images, in environment-variable files committed to a repository, in CI/CD logs, or in plain-text configuration files distributed with the application.</w:t>
      </w:r>
    </w:p>
    <w:p>
      <w:pPr>
        <w:pStyle w:val="Compact"/>
        <w:numPr>
          <w:ilvl w:val="0"/>
          <w:numId w:val="1017"/>
        </w:numPr>
      </w:pPr>
      <w:r>
        <w:t xml:space="preserve">Application code SHALL retrieve secrets at runtime via workload identity (Chapter 1), not via static credentials embedded at build time.</w:t>
      </w:r>
    </w:p>
    <w:p>
      <w:pPr>
        <w:pStyle w:val="Compact"/>
        <w:numPr>
          <w:ilvl w:val="0"/>
          <w:numId w:val="1017"/>
        </w:numPr>
      </w:pPr>
      <w:r>
        <w:t xml:space="preserve">Customer-managed encryption keys SHALL be used for all data classified Internal or higher (Chapter 18). Provider-managed default keys SHALL be used only for Public data.</w:t>
      </w:r>
    </w:p>
    <w:p>
      <w:pPr>
        <w:pStyle w:val="Compact"/>
        <w:numPr>
          <w:ilvl w:val="0"/>
          <w:numId w:val="1017"/>
        </w:numPr>
      </w:pPr>
      <w:r>
        <w:t xml:space="preserve">Tier-1 workload encryption keys SHALL be backed by a hardware-security module: Azure Key Vault Managed HSM, AWS CloudHSM or AWS KMS with Hardware Key Manager, or GCP Cloud HSM. The HSM SHALL be FIPS 140-2 Level 3 certified or higher.</w:t>
      </w:r>
    </w:p>
    <w:p>
      <w:pPr>
        <w:pStyle w:val="Compact"/>
        <w:numPr>
          <w:ilvl w:val="0"/>
          <w:numId w:val="1017"/>
        </w:numPr>
      </w:pPr>
      <w:r>
        <w:t xml:space="preserve">Cryptographic keys used to encrypt data at rest SHALL be rotated automatically at least every three hundred sixty-five (365) days; keys used to sign authentication tokens SHALL be rotated at least every ninety (90) days.</w:t>
      </w:r>
    </w:p>
    <w:p>
      <w:pPr>
        <w:pStyle w:val="Compact"/>
        <w:numPr>
          <w:ilvl w:val="0"/>
          <w:numId w:val="1017"/>
        </w:numPr>
      </w:pPr>
      <w:r>
        <w:t xml:space="preserve">Where a static credential to an external party SHALL exist, it SHALL be rotated at least every ninety (90) days, the rotation SHALL be automated, and the rotation event SHALL be audit-logged.</w:t>
      </w:r>
    </w:p>
    <w:p>
      <w:pPr>
        <w:pStyle w:val="Compact"/>
        <w:numPr>
          <w:ilvl w:val="0"/>
          <w:numId w:val="1017"/>
        </w:numPr>
      </w:pPr>
      <w:r>
        <w:t xml:space="preserve">Access to read a secret SHALL be granted to workload identities only, never to broad human groups;</w:t>
      </w:r>
      <w:r>
        <w:t xml:space="preserve"> </w:t>
      </w:r>
      <w:r>
        <w:t xml:space="preserve">“developer”</w:t>
      </w:r>
      <w:r>
        <w:t xml:space="preserve"> </w:t>
      </w:r>
      <w:r>
        <w:t xml:space="preserve">roles in production secret stores are prohibited.</w:t>
      </w:r>
    </w:p>
    <w:p>
      <w:pPr>
        <w:pStyle w:val="Compact"/>
        <w:numPr>
          <w:ilvl w:val="0"/>
          <w:numId w:val="1017"/>
        </w:numPr>
      </w:pPr>
      <w:r>
        <w:t xml:space="preserve">Every secret read SHALL be audit-logged with the calling identity, the timestamp, and the secret version.</w:t>
      </w:r>
    </w:p>
    <w:p>
      <w:pPr>
        <w:pStyle w:val="Compact"/>
        <w:numPr>
          <w:ilvl w:val="0"/>
          <w:numId w:val="1017"/>
        </w:numPr>
      </w:pPr>
      <w:r>
        <w:t xml:space="preserve">TLS certificates issued to corporate workloads SHALL be issued by an approved CA: the corporate private PKI for internal services, or a public CA via Azure App Service managed certificates / AWS Certificate Manager / GCP-managed SSL certificates for public services.</w:t>
      </w:r>
    </w:p>
    <w:p>
      <w:pPr>
        <w:pStyle w:val="Compact"/>
        <w:numPr>
          <w:ilvl w:val="0"/>
          <w:numId w:val="1017"/>
        </w:numPr>
      </w:pPr>
      <w:r>
        <w:t xml:space="preserve">Certificate private keys SHALL be generated inside the cloud key store, NOT generated on a workstation and uploaded; the private key SHALL be non-exportable.</w:t>
      </w:r>
    </w:p>
    <w:p>
      <w:pPr>
        <w:pStyle w:val="Compact"/>
        <w:numPr>
          <w:ilvl w:val="0"/>
          <w:numId w:val="1017"/>
        </w:numPr>
      </w:pPr>
      <w:r>
        <w:t xml:space="preserve">Public-trust certificates SHALL have a validity period of no more than ninety (90) days and SHALL renew automatically; expired certificates in production are an incident.</w:t>
      </w:r>
    </w:p>
    <w:p>
      <w:pPr>
        <w:pStyle w:val="Compact"/>
        <w:numPr>
          <w:ilvl w:val="0"/>
          <w:numId w:val="1017"/>
        </w:numPr>
      </w:pPr>
      <w:r>
        <w:t xml:space="preserve">Secrets created outside the IaC pipeline — for example, manually through the portal — SHALL be flagged for review weekly and SHALL either be brought under IaC management or deleted within thirty (30) days.</w:t>
      </w:r>
    </w:p>
    <w:p>
      <w:pPr>
        <w:pStyle w:val="Compact"/>
        <w:numPr>
          <w:ilvl w:val="0"/>
          <w:numId w:val="1017"/>
        </w:numPr>
      </w:pPr>
      <w:r>
        <w:t xml:space="preserve">The vault itself SHALL be configured with soft-delete and purge-protection enabled to prevent malicious or accidental destruction.</w:t>
      </w:r>
    </w:p>
    <w:p>
      <w:pPr>
        <w:pStyle w:val="Compact"/>
        <w:numPr>
          <w:ilvl w:val="0"/>
          <w:numId w:val="1017"/>
        </w:numPr>
      </w:pPr>
      <w:r>
        <w:t xml:space="preserve">Cross-cloud secret synchronization MUST NOT be implemented by exporting plaintext secret values; if a workload in cloud A must consume a secret stored in cloud B, the integration SHALL use a federated workload identity to fetch the secret on demand from cloud B’s vault.</w:t>
      </w:r>
    </w:p>
    <w:bookmarkEnd w:id="38"/>
    <w:bookmarkStart w:id="39" w:name="patterns-recommended-2"/>
    <w:p>
      <w:pPr>
        <w:pStyle w:val="Heading3"/>
      </w:pPr>
      <w:r>
        <w:t xml:space="preserve">Patterns (Recommended)</w:t>
      </w:r>
    </w:p>
    <w:p>
      <w:pPr>
        <w:pStyle w:val="Compact"/>
        <w:numPr>
          <w:ilvl w:val="0"/>
          <w:numId w:val="1018"/>
        </w:numPr>
      </w:pPr>
      <w:r>
        <w:rPr>
          <w:b/>
          <w:bCs/>
        </w:rPr>
        <w:t xml:space="preserve">CSI Secret Store driver in Kubernetes.</w:t>
      </w:r>
      <w:r>
        <w:t xml:space="preserve"> </w:t>
      </w:r>
      <w:r>
        <w:t xml:space="preserve">In AKS, EKS, and GKE, secrets needed by pods SHOULD be mounted via the CSI Secret Store driver (Azure Key Vault provider, AWS Secrets Manager provider, GCP Secret Manager provider). Per the Microsoft Learn AKS documentation, this pattern allows secrets to be mounted as files or environment variables without ever being persisted to the Kubernetes etcd store, and without the application needing to authenticate to the vault directly.</w:t>
      </w:r>
    </w:p>
    <w:p>
      <w:pPr>
        <w:pStyle w:val="Compact"/>
        <w:numPr>
          <w:ilvl w:val="0"/>
          <w:numId w:val="1018"/>
        </w:numPr>
      </w:pPr>
      <w:r>
        <w:rPr>
          <w:b/>
          <w:bCs/>
        </w:rPr>
        <w:t xml:space="preserve">Envelope encryption with CMK.</w:t>
      </w:r>
      <w:r>
        <w:t xml:space="preserve"> </w:t>
      </w:r>
      <w:r>
        <w:t xml:space="preserve">For application-layer encryption of sensitive fields, applications SHOULD generate a data-encryption-key (DEK) per record, encrypt the DEK with a key-encryption-key (KEK) held in the cloud KMS, and store the encrypted DEK alongside the record. Per AWS Key Management Service developer guide, envelope encryption permits rotation of the KEK without re-encrypting the underlying data.</w:t>
      </w:r>
    </w:p>
    <w:p>
      <w:pPr>
        <w:pStyle w:val="Compact"/>
        <w:numPr>
          <w:ilvl w:val="0"/>
          <w:numId w:val="1018"/>
        </w:numPr>
      </w:pPr>
      <w:r>
        <w:rPr>
          <w:b/>
          <w:bCs/>
        </w:rPr>
        <w:t xml:space="preserve">Automated rotation with dual-credential overlap.</w:t>
      </w:r>
      <w:r>
        <w:t xml:space="preserve"> </w:t>
      </w:r>
      <w:r>
        <w:t xml:space="preserve">For database credentials, the rotation SHOULD create the new credential, validate it, switch the application to it, and only then retire the old credential, with the two credentials live simultaneously for a short overlap window. Per the AWS Secrets Manager documentation, this prevents brief authentication outages during rotation.</w:t>
      </w:r>
    </w:p>
    <w:p>
      <w:pPr>
        <w:pStyle w:val="Compact"/>
        <w:numPr>
          <w:ilvl w:val="0"/>
          <w:numId w:val="1018"/>
        </w:numPr>
      </w:pPr>
      <w:r>
        <w:rPr>
          <w:b/>
          <w:bCs/>
        </w:rPr>
        <w:t xml:space="preserve">Short-lived workload certificates via SPIFFE/SPIRE.</w:t>
      </w:r>
      <w:r>
        <w:t xml:space="preserve"> </w:t>
      </w:r>
      <w:r>
        <w:t xml:space="preserve">For service-to-service mTLS, workloads SHOULD obtain ephemeral X.509 certificates (lifetime one hour or less) from a SPIFFE-compliant identity service rather than long-lived certificates. Per the CNCF SPIFFE specification, short-lived identities make credential theft economically unattractive.</w:t>
      </w:r>
    </w:p>
    <w:p>
      <w:pPr>
        <w:pStyle w:val="Compact"/>
        <w:numPr>
          <w:ilvl w:val="0"/>
          <w:numId w:val="1018"/>
        </w:numPr>
      </w:pPr>
      <w:r>
        <w:rPr>
          <w:b/>
          <w:bCs/>
        </w:rPr>
        <w:t xml:space="preserve">Sealed secrets for GitOps.</w:t>
      </w:r>
      <w:r>
        <w:t xml:space="preserve"> </w:t>
      </w:r>
      <w:r>
        <w:t xml:space="preserve">Where Kubernetes GitOps tooling needs to ship secrets alongside manifests, the secret SHOULD be sealed with a public key whose private half lives only in the cluster’s vault (Bitnami Sealed Secrets, SOPS with KMS, External Secrets Operator). The clear-text secret SHALL NOT be committed to source control under any circumstance.</w:t>
      </w:r>
    </w:p>
    <w:bookmarkEnd w:id="39"/>
    <w:bookmarkStart w:id="40" w:name="anti-patterns-prohibited-2"/>
    <w:p>
      <w:pPr>
        <w:pStyle w:val="Heading3"/>
      </w:pPr>
      <w:r>
        <w:t xml:space="preserve">Anti-Patterns (Prohibited)</w:t>
      </w:r>
    </w:p>
    <w:p>
      <w:pPr>
        <w:pStyle w:val="Compact"/>
        <w:numPr>
          <w:ilvl w:val="0"/>
          <w:numId w:val="1019"/>
        </w:numPr>
      </w:pPr>
      <w:r>
        <w:rPr>
          <w:b/>
          <w:bCs/>
        </w:rPr>
        <w:t xml:space="preserve">MUST NOT</w:t>
      </w:r>
      <w:r>
        <w:t xml:space="preserve"> </w:t>
      </w:r>
      <w:r>
        <w:t xml:space="preserve">embed an API key, password, or connection string in a Dockerfile</w:t>
      </w:r>
      <w:r>
        <w:t xml:space="preserve"> </w:t>
      </w:r>
      <w:r>
        <w:rPr>
          <w:rStyle w:val="VerbatimChar"/>
        </w:rPr>
        <w:t xml:space="preserve">ENV</w:t>
      </w:r>
      <w:r>
        <w:t xml:space="preserve"> </w:t>
      </w:r>
      <w:r>
        <w:t xml:space="preserve">directive, a Kubernetes</w:t>
      </w:r>
      <w:r>
        <w:t xml:space="preserve"> </w:t>
      </w:r>
      <w:r>
        <w:rPr>
          <w:rStyle w:val="VerbatimChar"/>
        </w:rPr>
        <w:t xml:space="preserve">ConfigMap</w:t>
      </w:r>
      <w:r>
        <w:t xml:space="preserve"> </w:t>
      </w:r>
      <w:r>
        <w:t xml:space="preserve">(which is not a secret), an Azure App Service application setting marked non-secret, or a</w:t>
      </w:r>
      <w:r>
        <w:t xml:space="preserve"> </w:t>
      </w:r>
      <w:r>
        <w:rPr>
          <w:rStyle w:val="VerbatimChar"/>
        </w:rPr>
        <w:t xml:space="preserve">terraform.tfvars</w:t>
      </w:r>
      <w:r>
        <w:t xml:space="preserve"> </w:t>
      </w:r>
      <w:r>
        <w:t xml:space="preserve">file checked into source control. Each of these has been the root cause of a corporate credential disclosure incident.</w:t>
      </w:r>
    </w:p>
    <w:p>
      <w:pPr>
        <w:pStyle w:val="Compact"/>
        <w:numPr>
          <w:ilvl w:val="0"/>
          <w:numId w:val="1019"/>
        </w:numPr>
      </w:pPr>
      <w:r>
        <w:rPr>
          <w:b/>
          <w:bCs/>
        </w:rPr>
        <w:t xml:space="preserve">MUST NOT</w:t>
      </w:r>
      <w:r>
        <w:t xml:space="preserve"> </w:t>
      </w:r>
      <w:r>
        <w:t xml:space="preserve">export a private key from a cloud HSM. Private keys generated in an HSM SHALL remain in the HSM; the only legitimate output is a ciphertext, a signature, or a derived secret.</w:t>
      </w:r>
    </w:p>
    <w:p>
      <w:pPr>
        <w:pStyle w:val="Compact"/>
        <w:numPr>
          <w:ilvl w:val="0"/>
          <w:numId w:val="1019"/>
        </w:numPr>
      </w:pPr>
      <w:r>
        <w:rPr>
          <w:b/>
          <w:bCs/>
        </w:rPr>
        <w:t xml:space="preserve">SHALL NOT</w:t>
      </w:r>
      <w:r>
        <w:t xml:space="preserve"> </w:t>
      </w:r>
      <w:r>
        <w:t xml:space="preserve">use a single shared</w:t>
      </w:r>
      <w:r>
        <w:t xml:space="preserve"> </w:t>
      </w:r>
      <w:r>
        <w:t xml:space="preserve">“service”</w:t>
      </w:r>
      <w:r>
        <w:t xml:space="preserve"> </w:t>
      </w:r>
      <w:r>
        <w:t xml:space="preserve">secret for multiple applications. Each workload SHALL have its own secret with its own rotation schedule and its own access-audit trail.</w:t>
      </w:r>
    </w:p>
    <w:p>
      <w:pPr>
        <w:pStyle w:val="Compact"/>
        <w:numPr>
          <w:ilvl w:val="0"/>
          <w:numId w:val="1019"/>
        </w:numPr>
      </w:pPr>
      <w:r>
        <w:rPr>
          <w:b/>
          <w:bCs/>
        </w:rPr>
        <w:t xml:space="preserve">MUST NOT</w:t>
      </w:r>
      <w:r>
        <w:t xml:space="preserve"> </w:t>
      </w:r>
      <w:r>
        <w:t xml:space="preserve">disable soft-delete or purge-protection on a production vault, even temporarily. A vault without these protections is a single keystroke away from catastrophic data loss.</w:t>
      </w:r>
    </w:p>
    <w:p>
      <w:pPr>
        <w:pStyle w:val="Compact"/>
        <w:numPr>
          <w:ilvl w:val="0"/>
          <w:numId w:val="1019"/>
        </w:numPr>
      </w:pPr>
      <w:r>
        <w:rPr>
          <w:b/>
          <w:bCs/>
        </w:rPr>
        <w:t xml:space="preserve">SHALL NOT</w:t>
      </w:r>
      <w:r>
        <w:t xml:space="preserve"> </w:t>
      </w:r>
      <w:r>
        <w:t xml:space="preserve">issue long-lived (greater than thirteen months, or any duration commonly used historically) public-trust certificates. Modern browsers and CAs enforce ninety-day maxima; corporate practice SHALL match.</w:t>
      </w:r>
    </w:p>
    <w:p>
      <w:pPr>
        <w:pStyle w:val="Compact"/>
        <w:numPr>
          <w:ilvl w:val="0"/>
          <w:numId w:val="1019"/>
        </w:numPr>
      </w:pPr>
      <w:r>
        <w:rPr>
          <w:b/>
          <w:bCs/>
        </w:rPr>
        <w:t xml:space="preserve">MUST NOT</w:t>
      </w:r>
      <w:r>
        <w:t xml:space="preserve"> </w:t>
      </w:r>
      <w:r>
        <w:t xml:space="preserve">log secret values, even at debug level, in any environment. Logging frameworks SHALL be configured to scrub known secret fields.</w:t>
      </w:r>
    </w:p>
    <w:bookmarkEnd w:id="40"/>
    <w:bookmarkStart w:id="41" w:name="evidence-audit-2"/>
    <w:p>
      <w:pPr>
        <w:pStyle w:val="Heading3"/>
      </w:pPr>
      <w:r>
        <w:t xml:space="preserve">Evidence &amp; Audit</w:t>
      </w:r>
    </w:p>
    <w:p>
      <w:pPr>
        <w:pStyle w:val="Compact"/>
        <w:numPr>
          <w:ilvl w:val="0"/>
          <w:numId w:val="1020"/>
        </w:numPr>
      </w:pPr>
      <w:r>
        <w:t xml:space="preserve">Quarterly inventory of all secrets across the three clouds, with the date of last rotation; secrets exceeding the rotation SLA SHALL be flagged.</w:t>
      </w:r>
    </w:p>
    <w:p>
      <w:pPr>
        <w:pStyle w:val="Compact"/>
        <w:numPr>
          <w:ilvl w:val="0"/>
          <w:numId w:val="1020"/>
        </w:numPr>
      </w:pPr>
      <w:r>
        <w:t xml:space="preserve">Continuous monitoring of secret-store read events into the SIEM; abnormal patterns (read from a new identity, read at unusual hour, bulk read) SHALL trigger alerts.</w:t>
      </w:r>
    </w:p>
    <w:p>
      <w:pPr>
        <w:pStyle w:val="Compact"/>
        <w:numPr>
          <w:ilvl w:val="0"/>
          <w:numId w:val="1020"/>
        </w:numPr>
      </w:pPr>
      <w:r>
        <w:t xml:space="preserve">Quarterly key-usage audit produced from cloud KMS audit logs (Azure Key Vault diagnostic logs, AWS CloudTrail KMS events, GCP Cloud Audit Logs for Cloud KMS).</w:t>
      </w:r>
    </w:p>
    <w:p>
      <w:pPr>
        <w:pStyle w:val="Compact"/>
        <w:numPr>
          <w:ilvl w:val="0"/>
          <w:numId w:val="1020"/>
        </w:numPr>
      </w:pPr>
      <w:r>
        <w:t xml:space="preserve">Annual cryptographic-hygiene review by the corporate cryptography council, including review of cipher-suite configuration and certificate issuance practice.</w:t>
      </w:r>
    </w:p>
    <w:p>
      <w:pPr>
        <w:pStyle w:val="Compact"/>
        <w:numPr>
          <w:ilvl w:val="0"/>
          <w:numId w:val="1020"/>
        </w:numPr>
      </w:pPr>
      <w:r>
        <w:t xml:space="preserve">Automated CI scan for committed secrets (gitleaks, truffleHog, or GitHub Advanced Security secret scanning) on every pull request; detection blocks merge.</w:t>
      </w:r>
    </w:p>
    <w:p>
      <w:pPr>
        <w:pStyle w:val="Compact"/>
        <w:numPr>
          <w:ilvl w:val="0"/>
          <w:numId w:val="1020"/>
        </w:numPr>
      </w:pPr>
      <w:r>
        <w:t xml:space="preserve">Certificate inventory with expiry; certificates within thirty (30) days of expiry SHALL be auto-renewed and SHALL alert on failure.</w:t>
      </w:r>
    </w:p>
    <w:bookmarkEnd w:id="41"/>
    <w:bookmarkStart w:id="42" w:name="exceptions-2"/>
    <w:p>
      <w:pPr>
        <w:pStyle w:val="Heading3"/>
      </w:pPr>
      <w:r>
        <w:t xml:space="preserve">Exceptions</w:t>
      </w:r>
    </w:p>
    <w:p>
      <w:pPr>
        <w:pStyle w:val="FirstParagraph"/>
      </w:pPr>
      <w:r>
        <w:t xml:space="preserve">Where a legacy system cannot consume secrets from a managed vault, the team SHALL document a migration plan and a compensating control (typically: filesystem permissions, tightly scoped IAM, frequent manual rotation) and SHALL file an exception.</w:t>
      </w:r>
      <w:r>
        <w:t xml:space="preserve"> </w:t>
      </w:r>
      <w:r>
        <w:rPr>
          <w:b/>
          <w:bCs/>
        </w:rPr>
        <w:t xml:space="preserve">Exceptions SHALL be time-boxed to 90 days and require ARB approval.</w:t>
      </w:r>
    </w:p>
    <w:bookmarkEnd w:id="42"/>
    <w:bookmarkStart w:id="43" w:name="references-2"/>
    <w:p>
      <w:pPr>
        <w:pStyle w:val="Heading3"/>
      </w:pPr>
      <w:r>
        <w:t xml:space="preserve">References</w:t>
      </w:r>
    </w:p>
    <w:p>
      <w:pPr>
        <w:pStyle w:val="Compact"/>
        <w:numPr>
          <w:ilvl w:val="0"/>
          <w:numId w:val="1021"/>
        </w:numPr>
      </w:pPr>
      <w:r>
        <w:t xml:space="preserve">Microsoft Learn — Azure Key Vault overview: https://learn.microsoft.com/en-us/azure/key-vault/general/overview</w:t>
      </w:r>
    </w:p>
    <w:p>
      <w:pPr>
        <w:pStyle w:val="Compact"/>
        <w:numPr>
          <w:ilvl w:val="0"/>
          <w:numId w:val="1021"/>
        </w:numPr>
      </w:pPr>
      <w:r>
        <w:t xml:space="preserve">Microsoft Learn — Azure Key Vault Managed HSM: https://learn.microsoft.com/en-us/azure/key-vault/managed-hsm/overview</w:t>
      </w:r>
    </w:p>
    <w:p>
      <w:pPr>
        <w:pStyle w:val="Compact"/>
        <w:numPr>
          <w:ilvl w:val="0"/>
          <w:numId w:val="1021"/>
        </w:numPr>
      </w:pPr>
      <w:r>
        <w:t xml:space="preserve">Microsoft Learn — Secrets Store CSI Driver for AKS: https://learn.microsoft.com/en-us/azure/aks/csi-secrets-store-driver</w:t>
      </w:r>
    </w:p>
    <w:p>
      <w:pPr>
        <w:pStyle w:val="Compact"/>
        <w:numPr>
          <w:ilvl w:val="0"/>
          <w:numId w:val="1021"/>
        </w:numPr>
      </w:pPr>
      <w:r>
        <w:t xml:space="preserve">AWS Secrets Manager user guide: https://docs.aws.amazon.com/secretsmanager/latest/userguide/intro.html</w:t>
      </w:r>
    </w:p>
    <w:p>
      <w:pPr>
        <w:pStyle w:val="Compact"/>
        <w:numPr>
          <w:ilvl w:val="0"/>
          <w:numId w:val="1021"/>
        </w:numPr>
      </w:pPr>
      <w:r>
        <w:t xml:space="preserve">AWS Key Management Service developer guide: https://docs.aws.amazon.com/kms/latest/developerguide/overview.html</w:t>
      </w:r>
    </w:p>
    <w:p>
      <w:pPr>
        <w:pStyle w:val="Compact"/>
        <w:numPr>
          <w:ilvl w:val="0"/>
          <w:numId w:val="1021"/>
        </w:numPr>
      </w:pPr>
      <w:r>
        <w:t xml:space="preserve">AWS Certificate Manager user guide: https://docs.aws.amazon.com/acm/latest/userguide/acm-overview.html</w:t>
      </w:r>
    </w:p>
    <w:p>
      <w:pPr>
        <w:pStyle w:val="Compact"/>
        <w:numPr>
          <w:ilvl w:val="0"/>
          <w:numId w:val="1021"/>
        </w:numPr>
      </w:pPr>
      <w:r>
        <w:t xml:space="preserve">Google Cloud Secret Manager: https://cloud.google.com/secret-manager/docs/overview</w:t>
      </w:r>
    </w:p>
    <w:p>
      <w:pPr>
        <w:pStyle w:val="Compact"/>
        <w:numPr>
          <w:ilvl w:val="0"/>
          <w:numId w:val="1021"/>
        </w:numPr>
      </w:pPr>
      <w:r>
        <w:t xml:space="preserve">Google Cloud KMS: https://cloud.google.com/kms/docs</w:t>
      </w:r>
    </w:p>
    <w:p>
      <w:pPr>
        <w:pStyle w:val="Compact"/>
        <w:numPr>
          <w:ilvl w:val="0"/>
          <w:numId w:val="1021"/>
        </w:numPr>
      </w:pPr>
      <w:r>
        <w:t xml:space="preserve">NIST SP 800-57 — Recommendation for Key Management.</w:t>
      </w:r>
    </w:p>
    <w:p>
      <w:pPr>
        <w:pStyle w:val="Compact"/>
        <w:numPr>
          <w:ilvl w:val="0"/>
          <w:numId w:val="1021"/>
        </w:numPr>
      </w:pPr>
      <w:r>
        <w:t xml:space="preserve">CA/Browser Forum Baseline Requirements for the Issuance and Management of Publicly-Trusted Certificates.</w:t>
      </w:r>
    </w:p>
    <w:bookmarkEnd w:id="43"/>
    <w:bookmarkEnd w:id="44"/>
    <w:bookmarkStart w:id="53" w:name="chapter-4-data-protection"/>
    <w:p>
      <w:pPr>
        <w:pStyle w:val="Heading2"/>
      </w:pPr>
      <w:r>
        <w:t xml:space="preserve">Chapter 4 — Data Protection</w:t>
      </w:r>
    </w:p>
    <w:bookmarkStart w:id="45" w:name="intent-3"/>
    <w:p>
      <w:pPr>
        <w:pStyle w:val="Heading3"/>
      </w:pPr>
      <w:r>
        <w:t xml:space="preserve">Intent</w:t>
      </w:r>
    </w:p>
    <w:p>
      <w:pPr>
        <w:pStyle w:val="FirstParagraph"/>
      </w:pPr>
      <w:r>
        <w:t xml:space="preserve">Data is the corporation’s most consequential asset and the asset most likely to attract adversaries. This chapter governs how data is classified, encrypted, transmitted, masked, and de-identified across all corporate workloads on Microsoft Azure, Amazon Web Services, and Google Cloud Platform. The chapter assumes the controls of Chapter 1 (Identity) and Chapter 3 (Keys) and concentrates on the protections that apply to the data itself: encryption at rest with customer-managed keys, encryption in transit with modern TLS, tokenization or format-preserving encryption for high-sensitivity fields, and protection in use through confidential-computing primitives where the threat model warrants.</w:t>
      </w:r>
    </w:p>
    <w:p>
      <w:pPr>
        <w:pStyle w:val="BodyText"/>
      </w:pPr>
      <w:r>
        <w:t xml:space="preserve">A second objective is to ensure that</w:t>
      </w:r>
      <w:r>
        <w:t xml:space="preserve"> </w:t>
      </w:r>
      <w:r>
        <w:rPr>
          <w:i/>
          <w:iCs/>
        </w:rPr>
        <w:t xml:space="preserve">all</w:t>
      </w:r>
      <w:r>
        <w:t xml:space="preserve"> </w:t>
      </w:r>
      <w:r>
        <w:t xml:space="preserve">data egress from the corporate trust boundary is intentional, inspected, and logged. Modern attackers exfiltrate data through allowed channels — DNS queries, blob-storage public endpoints, SaaS integrations — far more often than they exfiltrate through novel zero-days. This chapter therefore intersects with Chapter 2 (Network) at the egress-inspection point and with Chapter 9 (Logging) at the audit-trail point.</w:t>
      </w:r>
    </w:p>
    <w:bookmarkEnd w:id="45"/>
    <w:bookmarkStart w:id="46" w:name="scope-4"/>
    <w:p>
      <w:pPr>
        <w:pStyle w:val="Heading3"/>
      </w:pPr>
      <w:r>
        <w:t xml:space="preserve">Scope</w:t>
      </w:r>
    </w:p>
    <w:p>
      <w:pPr>
        <w:pStyle w:val="Compact"/>
        <w:numPr>
          <w:ilvl w:val="0"/>
          <w:numId w:val="1022"/>
        </w:numPr>
      </w:pPr>
      <w:r>
        <w:t xml:space="preserve">All structured and unstructured data stored in any corporate cloud account, including object storage, block storage, file shares, relational and NoSQL databases, message queues, event streams, data lakes, and analytical stores.</w:t>
      </w:r>
    </w:p>
    <w:p>
      <w:pPr>
        <w:pStyle w:val="Compact"/>
        <w:numPr>
          <w:ilvl w:val="0"/>
          <w:numId w:val="1022"/>
        </w:numPr>
      </w:pPr>
      <w:r>
        <w:t xml:space="preserve">All data in motion between corporate workloads, between corporate workloads and cloud services, and between corporate workloads and external parties.</w:t>
      </w:r>
    </w:p>
    <w:p>
      <w:pPr>
        <w:pStyle w:val="Compact"/>
        <w:numPr>
          <w:ilvl w:val="0"/>
          <w:numId w:val="1022"/>
        </w:numPr>
      </w:pPr>
      <w:r>
        <w:t xml:space="preserve">All data in use on compute resources, especially where confidential computing is required by classification.</w:t>
      </w:r>
    </w:p>
    <w:p>
      <w:pPr>
        <w:pStyle w:val="Compact"/>
        <w:numPr>
          <w:ilvl w:val="0"/>
          <w:numId w:val="1022"/>
        </w:numPr>
      </w:pPr>
      <w:r>
        <w:t xml:space="preserve">All backups, snapshots, and replicas of the above.</w:t>
      </w:r>
    </w:p>
    <w:p>
      <w:pPr>
        <w:pStyle w:val="Compact"/>
        <w:numPr>
          <w:ilvl w:val="0"/>
          <w:numId w:val="1022"/>
        </w:numPr>
      </w:pPr>
      <w:r>
        <w:t xml:space="preserve">All log data, telemetry, and metric data that may contain protected information.</w:t>
      </w:r>
    </w:p>
    <w:bookmarkEnd w:id="46"/>
    <w:bookmarkStart w:id="47" w:name="mandatory-controls-3"/>
    <w:p>
      <w:pPr>
        <w:pStyle w:val="Heading3"/>
      </w:pPr>
      <w:r>
        <w:t xml:space="preserve">Mandatory Controls</w:t>
      </w:r>
    </w:p>
    <w:p>
      <w:pPr>
        <w:pStyle w:val="Compact"/>
        <w:numPr>
          <w:ilvl w:val="0"/>
          <w:numId w:val="1023"/>
        </w:numPr>
      </w:pPr>
      <w:r>
        <w:t xml:space="preserve">All data at rest SHALL be encrypted using cryptographic algorithms approved by the corporate cryptography standard (AES-256-GCM, ChaCha20-Poly1305, or equivalents). Provider-default encryption-at-rest is the floor, not the ceiling.</w:t>
      </w:r>
    </w:p>
    <w:p>
      <w:pPr>
        <w:pStyle w:val="Compact"/>
        <w:numPr>
          <w:ilvl w:val="0"/>
          <w:numId w:val="1023"/>
        </w:numPr>
      </w:pPr>
      <w:r>
        <w:t xml:space="preserve">Data classified Internal, Confidential, or Restricted (Chapter 18) SHALL be encrypted with a customer-managed key (CMK) under corporate control, per Chapter 3.</w:t>
      </w:r>
    </w:p>
    <w:p>
      <w:pPr>
        <w:pStyle w:val="Compact"/>
        <w:numPr>
          <w:ilvl w:val="0"/>
          <w:numId w:val="1023"/>
        </w:numPr>
      </w:pPr>
      <w:r>
        <w:t xml:space="preserve">Data classified Restricted SHALL additionally use envelope encryption with a key-encryption-key held in a FIPS 140-2 Level 3 HSM.</w:t>
      </w:r>
    </w:p>
    <w:p>
      <w:pPr>
        <w:pStyle w:val="Compact"/>
        <w:numPr>
          <w:ilvl w:val="0"/>
          <w:numId w:val="1023"/>
        </w:numPr>
      </w:pPr>
      <w:r>
        <w:t xml:space="preserve">All data in transit on any external network — including any network not under exclusive corporate control — SHALL be encrypted with TLS 1.2 or higher; TLS 1.3 SHALL be preferred where the endpoint supports it.</w:t>
      </w:r>
    </w:p>
    <w:p>
      <w:pPr>
        <w:pStyle w:val="Compact"/>
        <w:numPr>
          <w:ilvl w:val="0"/>
          <w:numId w:val="1023"/>
        </w:numPr>
      </w:pPr>
      <w:r>
        <w:t xml:space="preserve">East-west service traffic inside the corporate trust boundary SHALL be encrypted with mutual TLS (mTLS); plaintext HTTP between services is prohibited (see Chapter 2 and Chapter 16).</w:t>
      </w:r>
    </w:p>
    <w:p>
      <w:pPr>
        <w:pStyle w:val="Compact"/>
        <w:numPr>
          <w:ilvl w:val="0"/>
          <w:numId w:val="1023"/>
        </w:numPr>
      </w:pPr>
      <w:r>
        <w:t xml:space="preserve">TLS configuration SHALL use only cipher suites listed on the corporate approved cipher-suite list; export-grade, RC4, 3DES, MD5-based MACs, and CBC modes without per-record nonces are prohibited.</w:t>
      </w:r>
    </w:p>
    <w:p>
      <w:pPr>
        <w:pStyle w:val="Compact"/>
        <w:numPr>
          <w:ilvl w:val="0"/>
          <w:numId w:val="1023"/>
        </w:numPr>
      </w:pPr>
      <w:r>
        <w:t xml:space="preserve">Personal data fields and authentication-secret fields SHALL be tokenized or encrypted at the application layer prior to persistence, in addition to storage-layer encryption.</w:t>
      </w:r>
    </w:p>
    <w:p>
      <w:pPr>
        <w:pStyle w:val="Compact"/>
        <w:numPr>
          <w:ilvl w:val="0"/>
          <w:numId w:val="1023"/>
        </w:numPr>
      </w:pPr>
      <w:r>
        <w:t xml:space="preserve">Database fields that store unique direct identifiers (national identifier, payment-card primary account number, government health identifier) SHALL use format-preserving encryption or tokenization so that the canonical-form value never lands in cleartext on disk.</w:t>
      </w:r>
    </w:p>
    <w:p>
      <w:pPr>
        <w:pStyle w:val="Compact"/>
        <w:numPr>
          <w:ilvl w:val="0"/>
          <w:numId w:val="1023"/>
        </w:numPr>
      </w:pPr>
      <w:r>
        <w:t xml:space="preserve">All data egress from a corporate trust zone to an external destination SHALL transit the egress inspection point defined in Chapter 2 and SHALL be logged.</w:t>
      </w:r>
    </w:p>
    <w:p>
      <w:pPr>
        <w:pStyle w:val="Compact"/>
        <w:numPr>
          <w:ilvl w:val="0"/>
          <w:numId w:val="1023"/>
        </w:numPr>
      </w:pPr>
      <w:r>
        <w:t xml:space="preserve">Cross-region or cross-border data movement SHALL be reviewed against the corporate Data Residency Standard (Chapter 18) before deployment.</w:t>
      </w:r>
    </w:p>
    <w:p>
      <w:pPr>
        <w:pStyle w:val="Compact"/>
        <w:numPr>
          <w:ilvl w:val="0"/>
          <w:numId w:val="1023"/>
        </w:numPr>
      </w:pPr>
      <w:r>
        <w:t xml:space="preserve">Backup and snapshot data SHALL be encrypted with the same or stronger key material as the source and SHALL be stored in a region permitted by the Data Residency Standard.</w:t>
      </w:r>
    </w:p>
    <w:p>
      <w:pPr>
        <w:pStyle w:val="Compact"/>
        <w:numPr>
          <w:ilvl w:val="0"/>
          <w:numId w:val="1023"/>
        </w:numPr>
      </w:pPr>
      <w:r>
        <w:t xml:space="preserve">Backup media keys SHALL be held in a separate cryptographic boundary from the source data keys, so that compromise of the source key does not compromise the recoverability of backups.</w:t>
      </w:r>
    </w:p>
    <w:p>
      <w:pPr>
        <w:pStyle w:val="Compact"/>
        <w:numPr>
          <w:ilvl w:val="0"/>
          <w:numId w:val="1023"/>
        </w:numPr>
      </w:pPr>
      <w:r>
        <w:t xml:space="preserve">Public-internet-accessible data sharing (signed URLs, public buckets, public blob containers) SHALL be prohibited for any data classified Internal or higher; signed-URL durations SHALL be bounded to fifteen (15) minutes for Public-classified data shared externally.</w:t>
      </w:r>
    </w:p>
    <w:p>
      <w:pPr>
        <w:pStyle w:val="Compact"/>
        <w:numPr>
          <w:ilvl w:val="0"/>
          <w:numId w:val="1023"/>
        </w:numPr>
      </w:pPr>
      <w:r>
        <w:t xml:space="preserve">Data-in-use confidential computing (AMD SEV-SNP, Intel TDX, AWS Nitro Enclaves, GCP Confidential VMs) SHALL be used for workloads processing Restricted data outside the corporate trust boundary, e.g., on multi-tenant nodes shared with other tenants.</w:t>
      </w:r>
    </w:p>
    <w:p>
      <w:pPr>
        <w:pStyle w:val="Compact"/>
        <w:numPr>
          <w:ilvl w:val="0"/>
          <w:numId w:val="1023"/>
        </w:numPr>
      </w:pPr>
      <w:r>
        <w:t xml:space="preserve">Cryptographic agility SHALL be maintained: applications SHALL identify cryptographic algorithms via a parameterized configuration rather than hard-coding, so that algorithm changes (including a future PQ-cryptography transition) can be rolled out without code refactoring.</w:t>
      </w:r>
    </w:p>
    <w:bookmarkEnd w:id="47"/>
    <w:bookmarkStart w:id="48" w:name="patterns-recommended-3"/>
    <w:p>
      <w:pPr>
        <w:pStyle w:val="Heading3"/>
      </w:pPr>
      <w:r>
        <w:t xml:space="preserve">Patterns (Recommended)</w:t>
      </w:r>
    </w:p>
    <w:p>
      <w:pPr>
        <w:pStyle w:val="Compact"/>
        <w:numPr>
          <w:ilvl w:val="0"/>
          <w:numId w:val="1024"/>
        </w:numPr>
      </w:pPr>
      <w:r>
        <w:rPr>
          <w:b/>
          <w:bCs/>
        </w:rPr>
        <w:t xml:space="preserve">Storage encryption with CMK rotated yearly.</w:t>
      </w:r>
      <w:r>
        <w:t xml:space="preserve"> </w:t>
      </w:r>
      <w:r>
        <w:t xml:space="preserve">Object storage and block storage SHOULD be configured to use a CMK whose rotation is scheduled annually. Per Microsoft Learn guidance on Storage encryption with customer-managed keys, key rotation does not require re-encrypting blobs because storage uses an envelope-encryption scheme internally; only the key-encryption-key is rolled.</w:t>
      </w:r>
    </w:p>
    <w:p>
      <w:pPr>
        <w:pStyle w:val="Compact"/>
        <w:numPr>
          <w:ilvl w:val="0"/>
          <w:numId w:val="1024"/>
        </w:numPr>
      </w:pPr>
      <w:r>
        <w:rPr>
          <w:b/>
          <w:bCs/>
        </w:rPr>
        <w:t xml:space="preserve">Tokenization vault for direct identifiers.</w:t>
      </w:r>
      <w:r>
        <w:t xml:space="preserve"> </w:t>
      </w:r>
      <w:r>
        <w:t xml:space="preserve">Fields such as government identifiers SHOULD be stored as opaque tokens minted by a corporate tokenization service; the application sees tokens, the analytics platform sees tokens, and only a narrowly scoped detokenization service can resolve a token to the original value. Per the NIST guidance on tokenization, this dramatically reduces the scope of compliance for data lakes and reporting systems.</w:t>
      </w:r>
    </w:p>
    <w:p>
      <w:pPr>
        <w:pStyle w:val="Compact"/>
        <w:numPr>
          <w:ilvl w:val="0"/>
          <w:numId w:val="1024"/>
        </w:numPr>
      </w:pPr>
      <w:r>
        <w:rPr>
          <w:b/>
          <w:bCs/>
        </w:rPr>
        <w:t xml:space="preserve">mTLS via service mesh sidecars.</w:t>
      </w:r>
      <w:r>
        <w:t xml:space="preserve"> </w:t>
      </w:r>
      <w:r>
        <w:t xml:space="preserve">Service-to-service traffic SHOULD be encrypted by sidecar proxies (Envoy in Istio, linkerd2-proxy in Linkerd) rather than in application code, decoupling the encryption configuration from the application’s deployment lifecycle. Per the CNCF service-mesh guidance, this also enables uniform observability of encrypted east-west traffic.</w:t>
      </w:r>
    </w:p>
    <w:p>
      <w:pPr>
        <w:pStyle w:val="Compact"/>
        <w:numPr>
          <w:ilvl w:val="0"/>
          <w:numId w:val="1024"/>
        </w:numPr>
      </w:pPr>
      <w:r>
        <w:rPr>
          <w:b/>
          <w:bCs/>
        </w:rPr>
        <w:t xml:space="preserve">Field-level encryption with envelope keys.</w:t>
      </w:r>
      <w:r>
        <w:t xml:space="preserve"> </w:t>
      </w:r>
      <w:r>
        <w:t xml:space="preserve">Sensitive application fields SHOULD be encrypted with a per-record data-encryption-key wrapped by a CMK. Per the AWS KMS developer guide, this pattern bounds the cryptographic blast radius of any single compromised record without requiring per-record HSM operations on the read path.</w:t>
      </w:r>
    </w:p>
    <w:p>
      <w:pPr>
        <w:pStyle w:val="Compact"/>
        <w:numPr>
          <w:ilvl w:val="0"/>
          <w:numId w:val="1024"/>
        </w:numPr>
      </w:pPr>
      <w:r>
        <w:rPr>
          <w:b/>
          <w:bCs/>
        </w:rPr>
        <w:t xml:space="preserve">Confidential VMs for third-party model inference.</w:t>
      </w:r>
      <w:r>
        <w:t xml:space="preserve"> </w:t>
      </w:r>
      <w:r>
        <w:t xml:space="preserve">When a corporate dataset must be processed by a third-party AI model, the workload SHOULD run in a confidential VM so that the model provider’s operator cannot inspect the in-memory data. Per the GCP Confidential Computing guidance, this preserves the corporation’s data-control assertions even on a multi-tenant inference platform.</w:t>
      </w:r>
    </w:p>
    <w:bookmarkEnd w:id="48"/>
    <w:bookmarkStart w:id="49" w:name="anti-patterns-prohibited-3"/>
    <w:p>
      <w:pPr>
        <w:pStyle w:val="Heading3"/>
      </w:pPr>
      <w:r>
        <w:t xml:space="preserve">Anti-Patterns (Prohibited)</w:t>
      </w:r>
    </w:p>
    <w:p>
      <w:pPr>
        <w:pStyle w:val="Compact"/>
        <w:numPr>
          <w:ilvl w:val="0"/>
          <w:numId w:val="1025"/>
        </w:numPr>
      </w:pPr>
      <w:r>
        <w:rPr>
          <w:b/>
          <w:bCs/>
        </w:rPr>
        <w:t xml:space="preserve">MUST NOT</w:t>
      </w:r>
      <w:r>
        <w:t xml:space="preserve"> </w:t>
      </w:r>
      <w:r>
        <w:t xml:space="preserve">rely solely on storage-layer encryption to protect sensitive application data. Storage-layer encryption protects against media theft and against a small subset of operator-error scenarios; it does not protect against application-layer compromise, accidental over-permissioning, or accidental publication. Application-layer encryption or tokenization is required for Confidential and Restricted classes.</w:t>
      </w:r>
    </w:p>
    <w:p>
      <w:pPr>
        <w:pStyle w:val="Compact"/>
        <w:numPr>
          <w:ilvl w:val="0"/>
          <w:numId w:val="1025"/>
        </w:numPr>
      </w:pPr>
      <w:r>
        <w:rPr>
          <w:b/>
          <w:bCs/>
        </w:rPr>
        <w:t xml:space="preserve">SHALL NOT</w:t>
      </w:r>
      <w:r>
        <w:t xml:space="preserve"> </w:t>
      </w:r>
      <w:r>
        <w:t xml:space="preserve">disable TLS validation in client code</w:t>
      </w:r>
      <w:r>
        <w:t xml:space="preserve"> </w:t>
      </w:r>
      <w:r>
        <w:t xml:space="preserve">“to make it work”</w:t>
      </w:r>
      <w:r>
        <w:t xml:space="preserve">. Certificate-pinning issues SHALL be resolved by fixing the certificate chain or pinning correctly, not by disabling validation.</w:t>
      </w:r>
    </w:p>
    <w:p>
      <w:pPr>
        <w:pStyle w:val="Compact"/>
        <w:numPr>
          <w:ilvl w:val="0"/>
          <w:numId w:val="1025"/>
        </w:numPr>
      </w:pPr>
      <w:r>
        <w:rPr>
          <w:b/>
          <w:bCs/>
        </w:rPr>
        <w:t xml:space="preserve">MUST NOT</w:t>
      </w:r>
      <w:r>
        <w:t xml:space="preserve"> </w:t>
      </w:r>
      <w:r>
        <w:t xml:space="preserve">generate or import keys via a process that allows the cleartext key material to be observed by a human operator. Key ceremonies SHALL be conducted inside an HSM, with key parts under split control if export is required.</w:t>
      </w:r>
    </w:p>
    <w:p>
      <w:pPr>
        <w:pStyle w:val="Compact"/>
        <w:numPr>
          <w:ilvl w:val="0"/>
          <w:numId w:val="1025"/>
        </w:numPr>
      </w:pPr>
      <w:r>
        <w:rPr>
          <w:b/>
          <w:bCs/>
        </w:rPr>
        <w:t xml:space="preserve">SHALL NOT</w:t>
      </w:r>
      <w:r>
        <w:t xml:space="preserve"> </w:t>
      </w:r>
      <w:r>
        <w:t xml:space="preserve">copy production data into a development or test environment without first applying the corporate de-identification procedure. Development environments are subject to weaker controls and a single copy of unmasked production data invalidates that asymmetry.</w:t>
      </w:r>
    </w:p>
    <w:p>
      <w:pPr>
        <w:pStyle w:val="Compact"/>
        <w:numPr>
          <w:ilvl w:val="0"/>
          <w:numId w:val="1025"/>
        </w:numPr>
      </w:pPr>
      <w:r>
        <w:rPr>
          <w:b/>
          <w:bCs/>
        </w:rPr>
        <w:t xml:space="preserve">MUST NOT</w:t>
      </w:r>
      <w:r>
        <w:t xml:space="preserve"> </w:t>
      </w:r>
      <w:r>
        <w:t xml:space="preserve">transmit secrets, tokens, or personal data via URL query strings; query strings appear in proxy logs, browser histories, and referer headers.</w:t>
      </w:r>
    </w:p>
    <w:p>
      <w:pPr>
        <w:pStyle w:val="Compact"/>
        <w:numPr>
          <w:ilvl w:val="0"/>
          <w:numId w:val="1025"/>
        </w:numPr>
      </w:pPr>
      <w:r>
        <w:rPr>
          <w:b/>
          <w:bCs/>
        </w:rPr>
        <w:t xml:space="preserve">SHALL NOT</w:t>
      </w:r>
      <w:r>
        <w:t xml:space="preserve"> </w:t>
      </w:r>
      <w:r>
        <w:t xml:space="preserve">rely on signed URLs as a long-term sharing mechanism. Signed URLs SHALL be short-lived, single-purpose, and SHALL NOT replace identity-based access controls for ongoing collaboration.</w:t>
      </w:r>
    </w:p>
    <w:bookmarkEnd w:id="49"/>
    <w:bookmarkStart w:id="50" w:name="evidence-audit-3"/>
    <w:p>
      <w:pPr>
        <w:pStyle w:val="Heading3"/>
      </w:pPr>
      <w:r>
        <w:t xml:space="preserve">Evidence &amp; Audit</w:t>
      </w:r>
    </w:p>
    <w:p>
      <w:pPr>
        <w:pStyle w:val="Compact"/>
        <w:numPr>
          <w:ilvl w:val="0"/>
          <w:numId w:val="1026"/>
        </w:numPr>
      </w:pPr>
      <w:r>
        <w:t xml:space="preserve">Continuous evaluation of cloud-policy assertions that every storage account / S3 bucket / GCS bucket has CMK encryption enabled where required, with weekly compliance report.</w:t>
      </w:r>
    </w:p>
    <w:p>
      <w:pPr>
        <w:pStyle w:val="Compact"/>
        <w:numPr>
          <w:ilvl w:val="0"/>
          <w:numId w:val="1026"/>
        </w:numPr>
      </w:pPr>
      <w:r>
        <w:t xml:space="preserve">Quarterly TLS-configuration scan of every public endpoint, comparing against the corporate approved cipher-suite list.</w:t>
      </w:r>
    </w:p>
    <w:p>
      <w:pPr>
        <w:pStyle w:val="Compact"/>
        <w:numPr>
          <w:ilvl w:val="0"/>
          <w:numId w:val="1026"/>
        </w:numPr>
      </w:pPr>
      <w:r>
        <w:t xml:space="preserve">Annual cryptographic-implementation review including review of any application-layer encryption code.</w:t>
      </w:r>
    </w:p>
    <w:p>
      <w:pPr>
        <w:pStyle w:val="Compact"/>
        <w:numPr>
          <w:ilvl w:val="0"/>
          <w:numId w:val="1026"/>
        </w:numPr>
      </w:pPr>
      <w:r>
        <w:t xml:space="preserve">Continuous monitoring of egress flow data classified by destination; large transfers to new destinations SHALL alert.</w:t>
      </w:r>
    </w:p>
    <w:p>
      <w:pPr>
        <w:pStyle w:val="Compact"/>
        <w:numPr>
          <w:ilvl w:val="0"/>
          <w:numId w:val="1026"/>
        </w:numPr>
      </w:pPr>
      <w:r>
        <w:t xml:space="preserve">Quarterly tabletop on data-exfiltration scenarios with cross-team participation.</w:t>
      </w:r>
    </w:p>
    <w:p>
      <w:pPr>
        <w:pStyle w:val="Compact"/>
        <w:numPr>
          <w:ilvl w:val="0"/>
          <w:numId w:val="1026"/>
        </w:numPr>
      </w:pPr>
      <w:r>
        <w:t xml:space="preserve">DLP scanning at the egress inspection point with the corporate sensitive-data dictionary.</w:t>
      </w:r>
    </w:p>
    <w:p>
      <w:pPr>
        <w:pStyle w:val="Compact"/>
        <w:numPr>
          <w:ilvl w:val="0"/>
          <w:numId w:val="1026"/>
        </w:numPr>
      </w:pPr>
      <w:r>
        <w:t xml:space="preserve">Backup-restore test conducted at least quarterly with cryptographic validation that the restored data decrypts under the current CMK and matches integrity hashes.</w:t>
      </w:r>
    </w:p>
    <w:bookmarkEnd w:id="50"/>
    <w:bookmarkStart w:id="51" w:name="exceptions-3"/>
    <w:p>
      <w:pPr>
        <w:pStyle w:val="Heading3"/>
      </w:pPr>
      <w:r>
        <w:t xml:space="preserve">Exceptions</w:t>
      </w:r>
    </w:p>
    <w:p>
      <w:pPr>
        <w:pStyle w:val="FirstParagraph"/>
      </w:pPr>
      <w:r>
        <w:t xml:space="preserve">Where a managed service does not support CMK encryption or modern TLS, the team SHALL document the gap and apply a compensating control (typically: application-layer encryption, or migration to an alternative service).</w:t>
      </w:r>
      <w:r>
        <w:t xml:space="preserve"> </w:t>
      </w:r>
      <w:r>
        <w:rPr>
          <w:b/>
          <w:bCs/>
        </w:rPr>
        <w:t xml:space="preserve">Exceptions SHALL be time-boxed to 90 days and require ARB approval.</w:t>
      </w:r>
    </w:p>
    <w:bookmarkEnd w:id="51"/>
    <w:bookmarkStart w:id="52" w:name="references-3"/>
    <w:p>
      <w:pPr>
        <w:pStyle w:val="Heading3"/>
      </w:pPr>
      <w:r>
        <w:t xml:space="preserve">References</w:t>
      </w:r>
    </w:p>
    <w:p>
      <w:pPr>
        <w:pStyle w:val="Compact"/>
        <w:numPr>
          <w:ilvl w:val="0"/>
          <w:numId w:val="1027"/>
        </w:numPr>
      </w:pPr>
      <w:r>
        <w:t xml:space="preserve">Microsoft Learn — Azure data encryption at rest: https://learn.microsoft.com/en-us/azure/security/fundamentals/encryption-atrest</w:t>
      </w:r>
    </w:p>
    <w:p>
      <w:pPr>
        <w:pStyle w:val="Compact"/>
        <w:numPr>
          <w:ilvl w:val="0"/>
          <w:numId w:val="1027"/>
        </w:numPr>
      </w:pPr>
      <w:r>
        <w:t xml:space="preserve">Microsoft Learn — Azure Storage encryption for data at rest: https://learn.microsoft.com/en-us/azure/storage/common/storage-service-encryption</w:t>
      </w:r>
    </w:p>
    <w:p>
      <w:pPr>
        <w:pStyle w:val="Compact"/>
        <w:numPr>
          <w:ilvl w:val="0"/>
          <w:numId w:val="1027"/>
        </w:numPr>
      </w:pPr>
      <w:r>
        <w:t xml:space="preserve">Microsoft Learn — Azure Disk Encryption: https://learn.microsoft.com/en-us/azure/security/fundamentals/azure-disk-encryption-vms-vmss</w:t>
      </w:r>
    </w:p>
    <w:p>
      <w:pPr>
        <w:pStyle w:val="Compact"/>
        <w:numPr>
          <w:ilvl w:val="0"/>
          <w:numId w:val="1027"/>
        </w:numPr>
      </w:pPr>
      <w:r>
        <w:t xml:space="preserve">AWS Well-Architected — Security pillar (Data Protection): https://docs.aws.amazon.com/wellarchitected/latest/security-pillar/protecting-data.html</w:t>
      </w:r>
    </w:p>
    <w:p>
      <w:pPr>
        <w:pStyle w:val="Compact"/>
        <w:numPr>
          <w:ilvl w:val="0"/>
          <w:numId w:val="1027"/>
        </w:numPr>
      </w:pPr>
      <w:r>
        <w:t xml:space="preserve">AWS S3 — server-side encryption: https://docs.aws.amazon.com/AmazonS3/latest/userguide/serv-side-encryption.html</w:t>
      </w:r>
    </w:p>
    <w:p>
      <w:pPr>
        <w:pStyle w:val="Compact"/>
        <w:numPr>
          <w:ilvl w:val="0"/>
          <w:numId w:val="1027"/>
        </w:numPr>
      </w:pPr>
      <w:r>
        <w:t xml:space="preserve">AWS — Encryption in transit: https://docs.aws.amazon.com/whitepapers/latest/logical-separation/encrypting-data-at-rest-and–in-transit.html</w:t>
      </w:r>
    </w:p>
    <w:p>
      <w:pPr>
        <w:pStyle w:val="Compact"/>
        <w:numPr>
          <w:ilvl w:val="0"/>
          <w:numId w:val="1027"/>
        </w:numPr>
      </w:pPr>
      <w:r>
        <w:t xml:space="preserve">Google Cloud — Encryption at rest in Google Cloud: https://cloud.google.com/docs/security/encryption/default-encryption</w:t>
      </w:r>
    </w:p>
    <w:p>
      <w:pPr>
        <w:pStyle w:val="Compact"/>
        <w:numPr>
          <w:ilvl w:val="0"/>
          <w:numId w:val="1027"/>
        </w:numPr>
      </w:pPr>
      <w:r>
        <w:t xml:space="preserve">Google Cloud — Encryption in transit: https://cloud.google.com/docs/security/encryption-in-transit</w:t>
      </w:r>
    </w:p>
    <w:p>
      <w:pPr>
        <w:pStyle w:val="Compact"/>
        <w:numPr>
          <w:ilvl w:val="0"/>
          <w:numId w:val="1027"/>
        </w:numPr>
      </w:pPr>
      <w:r>
        <w:t xml:space="preserve">NIST SP 800-175B — Guideline for Using Cryptographic Standards in the Federal Government.</w:t>
      </w:r>
    </w:p>
    <w:p>
      <w:pPr>
        <w:pStyle w:val="Compact"/>
        <w:numPr>
          <w:ilvl w:val="0"/>
          <w:numId w:val="1027"/>
        </w:numPr>
      </w:pPr>
      <w:r>
        <w:t xml:space="preserve">NIST SP 800-57 Part 1 — Key Management General.</w:t>
      </w:r>
    </w:p>
    <w:bookmarkEnd w:id="52"/>
    <w:bookmarkEnd w:id="53"/>
    <w:bookmarkStart w:id="62" w:name="chapter-5-containerization-standards"/>
    <w:p>
      <w:pPr>
        <w:pStyle w:val="Heading2"/>
      </w:pPr>
      <w:r>
        <w:t xml:space="preserve">Chapter 5 — Containerization Standards</w:t>
      </w:r>
    </w:p>
    <w:bookmarkStart w:id="54" w:name="intent-4"/>
    <w:p>
      <w:pPr>
        <w:pStyle w:val="Heading3"/>
      </w:pPr>
      <w:r>
        <w:t xml:space="preserve">Intent</w:t>
      </w:r>
    </w:p>
    <w:p>
      <w:pPr>
        <w:pStyle w:val="FirstParagraph"/>
      </w:pPr>
      <w:r>
        <w:t xml:space="preserve">Containers are the dominant unit of deployment in corporate cloud workloads. This chapter governs how container images are built, scanned, signed, stored, and consumed by the corporation on Azure, AWS, and GCP. The objective is to ensure that every image entering a production environment is reproducible, minimal, scanned for known vulnerabilities, signed by an authenticated build system, and accompanied by a Software Bill of Materials.</w:t>
      </w:r>
    </w:p>
    <w:p>
      <w:pPr>
        <w:pStyle w:val="BodyText"/>
      </w:pPr>
      <w:r>
        <w:t xml:space="preserve">A second, equally important objective is to reduce the runtime attack surface of every container: small base images, no shells where shells are not needed, non-root execution, read-only root filesystems, and explicit capability drops. These hardening properties together substantially reduce the value of a remote-code-execution vulnerability in a containerized service.</w:t>
      </w:r>
    </w:p>
    <w:p>
      <w:pPr>
        <w:pStyle w:val="BodyText"/>
      </w:pPr>
      <w:r>
        <w:t xml:space="preserve">Containerization standards are tightly coupled to Chapter 6 (Kubernetes) and Chapter 14 (CI/CD &amp; Supply Chain). This chapter governs the artifact; the next chapter governs the runtime; Chapter 14 governs the path from source to artifact.</w:t>
      </w:r>
    </w:p>
    <w:bookmarkEnd w:id="54"/>
    <w:bookmarkStart w:id="55" w:name="scope-5"/>
    <w:p>
      <w:pPr>
        <w:pStyle w:val="Heading3"/>
      </w:pPr>
      <w:r>
        <w:t xml:space="preserve">Scope</w:t>
      </w:r>
    </w:p>
    <w:p>
      <w:pPr>
        <w:pStyle w:val="Compact"/>
        <w:numPr>
          <w:ilvl w:val="0"/>
          <w:numId w:val="1028"/>
        </w:numPr>
      </w:pPr>
      <w:r>
        <w:t xml:space="preserve">All container images used in any environment that processes corporate data.</w:t>
      </w:r>
    </w:p>
    <w:p>
      <w:pPr>
        <w:pStyle w:val="Compact"/>
        <w:numPr>
          <w:ilvl w:val="0"/>
          <w:numId w:val="1028"/>
        </w:numPr>
      </w:pPr>
      <w:r>
        <w:t xml:space="preserve">Public base images consumed from any source (Docker Hub, GitHub Container Registry, Microsoft Container Registry, Amazon ECR Public, Google Artifact Registry public mirrors).</w:t>
      </w:r>
    </w:p>
    <w:p>
      <w:pPr>
        <w:pStyle w:val="Compact"/>
        <w:numPr>
          <w:ilvl w:val="0"/>
          <w:numId w:val="1028"/>
        </w:numPr>
      </w:pPr>
      <w:r>
        <w:t xml:space="preserve">Internal base images produced by platform teams.</w:t>
      </w:r>
    </w:p>
    <w:p>
      <w:pPr>
        <w:pStyle w:val="Compact"/>
        <w:numPr>
          <w:ilvl w:val="0"/>
          <w:numId w:val="1028"/>
        </w:numPr>
      </w:pPr>
      <w:r>
        <w:t xml:space="preserve">All registries used by the corporation: Azure Container Registry, Amazon ECR, Google Artifact Registry, and any approved third-party registry.</w:t>
      </w:r>
    </w:p>
    <w:p>
      <w:pPr>
        <w:pStyle w:val="Compact"/>
        <w:numPr>
          <w:ilvl w:val="0"/>
          <w:numId w:val="1028"/>
        </w:numPr>
      </w:pPr>
      <w:r>
        <w:t xml:space="preserve">Container build systems: GitHub Actions, Azure Pipelines, GitLab CI, Buildkite, and internal build farms.</w:t>
      </w:r>
    </w:p>
    <w:bookmarkEnd w:id="55"/>
    <w:bookmarkStart w:id="56" w:name="mandatory-controls-4"/>
    <w:p>
      <w:pPr>
        <w:pStyle w:val="Heading3"/>
      </w:pPr>
      <w:r>
        <w:t xml:space="preserve">Mandatory Controls</w:t>
      </w:r>
    </w:p>
    <w:p>
      <w:pPr>
        <w:pStyle w:val="Compact"/>
        <w:numPr>
          <w:ilvl w:val="0"/>
          <w:numId w:val="1029"/>
        </w:numPr>
      </w:pPr>
      <w:r>
        <w:t xml:space="preserve">Container images SHALL use a minimal base image: distroless, Chainguard, Wolfi-based, or the cloud provider’s minimal images (Mariner, Bottlerocket, Container-Optimized OS). Full general-purpose distribution images (Ubuntu, Debian, CentOS) MUST NOT be used for production runtime images.</w:t>
      </w:r>
    </w:p>
    <w:p>
      <w:pPr>
        <w:pStyle w:val="Compact"/>
        <w:numPr>
          <w:ilvl w:val="0"/>
          <w:numId w:val="1029"/>
        </w:numPr>
      </w:pPr>
      <w:r>
        <w:t xml:space="preserve">Container images SHALL NOT reference the</w:t>
      </w:r>
      <w:r>
        <w:t xml:space="preserve"> </w:t>
      </w:r>
      <w:r>
        <w:rPr>
          <w:rStyle w:val="VerbatimChar"/>
        </w:rPr>
        <w:t xml:space="preserve">:latest</w:t>
      </w:r>
      <w:r>
        <w:t xml:space="preserve"> </w:t>
      </w:r>
      <w:r>
        <w:t xml:space="preserve">tag in any environment. Tags SHALL be immutable and SHALL include either a semantic version or a content digest.</w:t>
      </w:r>
    </w:p>
    <w:p>
      <w:pPr>
        <w:pStyle w:val="Compact"/>
        <w:numPr>
          <w:ilvl w:val="0"/>
          <w:numId w:val="1029"/>
        </w:numPr>
      </w:pPr>
      <w:r>
        <w:t xml:space="preserve">Image references SHALL be pinned by digest (</w:t>
      </w:r>
      <w:r>
        <w:rPr>
          <w:rStyle w:val="VerbatimChar"/>
        </w:rPr>
        <w:t xml:space="preserve">@sha256:...</w:t>
      </w:r>
      <w:r>
        <w:t xml:space="preserve">) in production deployment manifests. Tag-only references in production manifests are prohibited.</w:t>
      </w:r>
    </w:p>
    <w:p>
      <w:pPr>
        <w:pStyle w:val="Compact"/>
        <w:numPr>
          <w:ilvl w:val="0"/>
          <w:numId w:val="1029"/>
        </w:numPr>
      </w:pPr>
      <w:r>
        <w:t xml:space="preserve">Container images SHALL be built from a multi-stage build, with the build toolchain absent from the final runtime image.</w:t>
      </w:r>
    </w:p>
    <w:p>
      <w:pPr>
        <w:pStyle w:val="Compact"/>
        <w:numPr>
          <w:ilvl w:val="0"/>
          <w:numId w:val="1029"/>
        </w:numPr>
      </w:pPr>
      <w:r>
        <w:t xml:space="preserve">Container images SHALL run as a non-root user (</w:t>
      </w:r>
      <w:r>
        <w:rPr>
          <w:rStyle w:val="VerbatimChar"/>
        </w:rPr>
        <w:t xml:space="preserve">USER</w:t>
      </w:r>
      <w:r>
        <w:t xml:space="preserve"> </w:t>
      </w:r>
      <w:r>
        <w:t xml:space="preserve">directive); UID 0 inside the container is prohibited in production.</w:t>
      </w:r>
    </w:p>
    <w:p>
      <w:pPr>
        <w:pStyle w:val="Compact"/>
        <w:numPr>
          <w:ilvl w:val="0"/>
          <w:numId w:val="1029"/>
        </w:numPr>
      </w:pPr>
      <w:r>
        <w:t xml:space="preserve">The root filesystem of a running container SHALL be read-only; writable scratch space SHALL be mounted explicitly as a</w:t>
      </w:r>
      <w:r>
        <w:t xml:space="preserve"> </w:t>
      </w:r>
      <w:r>
        <w:rPr>
          <w:rStyle w:val="VerbatimChar"/>
        </w:rPr>
        <w:t xml:space="preserve">tmpfs</w:t>
      </w:r>
      <w:r>
        <w:t xml:space="preserve"> </w:t>
      </w:r>
      <w:r>
        <w:t xml:space="preserve">or as a dedicated volume.</w:t>
      </w:r>
    </w:p>
    <w:p>
      <w:pPr>
        <w:pStyle w:val="Compact"/>
        <w:numPr>
          <w:ilvl w:val="0"/>
          <w:numId w:val="1029"/>
        </w:numPr>
      </w:pPr>
      <w:r>
        <w:t xml:space="preserve">Linux capabilities SHALL be dropped to</w:t>
      </w:r>
      <w:r>
        <w:t xml:space="preserve"> </w:t>
      </w:r>
      <w:r>
        <w:rPr>
          <w:rStyle w:val="VerbatimChar"/>
        </w:rPr>
        <w:t xml:space="preserve">ALL</w:t>
      </w:r>
      <w:r>
        <w:t xml:space="preserve"> </w:t>
      </w:r>
      <w:r>
        <w:t xml:space="preserve">and only the specifically required capabilities re-added.</w:t>
      </w:r>
      <w:r>
        <w:t xml:space="preserve"> </w:t>
      </w:r>
      <w:r>
        <w:rPr>
          <w:rStyle w:val="VerbatimChar"/>
        </w:rPr>
        <w:t xml:space="preserve">CAP_SYS_ADMIN</w:t>
      </w:r>
      <w:r>
        <w:t xml:space="preserve"> </w:t>
      </w:r>
      <w:r>
        <w:t xml:space="preserve">is prohibited.</w:t>
      </w:r>
    </w:p>
    <w:p>
      <w:pPr>
        <w:pStyle w:val="Compact"/>
        <w:numPr>
          <w:ilvl w:val="0"/>
          <w:numId w:val="1029"/>
        </w:numPr>
      </w:pPr>
      <w:r>
        <w:t xml:space="preserve">Container images SHALL be scanned for known vulnerabilities at build time and continuously at registry rest. Critical vulnerabilities SHALL block promotion to production; High vulnerabilities SHALL be remediated within thirty (30) days.</w:t>
      </w:r>
    </w:p>
    <w:p>
      <w:pPr>
        <w:pStyle w:val="Compact"/>
        <w:numPr>
          <w:ilvl w:val="0"/>
          <w:numId w:val="1029"/>
        </w:numPr>
      </w:pPr>
      <w:r>
        <w:t xml:space="preserve">Image scanning SHALL be performed by the platform-approved scanner: Microsoft Defender for Containers, Amazon ECR enhanced scanning with Inspector, or Google Artifact Registry Container Analysis.</w:t>
      </w:r>
    </w:p>
    <w:p>
      <w:pPr>
        <w:pStyle w:val="Compact"/>
        <w:numPr>
          <w:ilvl w:val="0"/>
          <w:numId w:val="1029"/>
        </w:numPr>
      </w:pPr>
      <w:r>
        <w:t xml:space="preserve">Every production image SHALL be accompanied by a Software Bill of Materials in CycloneDX or SPDX format, generated by the build system and stored alongside the image in the registry.</w:t>
      </w:r>
    </w:p>
    <w:p>
      <w:pPr>
        <w:pStyle w:val="Compact"/>
        <w:numPr>
          <w:ilvl w:val="0"/>
          <w:numId w:val="1029"/>
        </w:numPr>
      </w:pPr>
      <w:r>
        <w:t xml:space="preserve">Every production image SHALL be signed using Sigstore/cosign with a key bound to the build system’s federated identity; admission controllers SHALL verify the signature at deployment time.</w:t>
      </w:r>
    </w:p>
    <w:p>
      <w:pPr>
        <w:pStyle w:val="Compact"/>
        <w:numPr>
          <w:ilvl w:val="0"/>
          <w:numId w:val="1029"/>
        </w:numPr>
      </w:pPr>
      <w:r>
        <w:t xml:space="preserve">Image registries SHALL be private; images SHALL NOT be pushed to public registries from internal pipelines unless the image is a deliberately public artifact reviewed by the ARB.</w:t>
      </w:r>
    </w:p>
    <w:p>
      <w:pPr>
        <w:pStyle w:val="Compact"/>
        <w:numPr>
          <w:ilvl w:val="0"/>
          <w:numId w:val="1029"/>
        </w:numPr>
      </w:pPr>
      <w:r>
        <w:t xml:space="preserve">A build that produces an image with any Critical-severity vulnerability or with a missing SBOM SHALL fail.</w:t>
      </w:r>
    </w:p>
    <w:p>
      <w:pPr>
        <w:pStyle w:val="Compact"/>
        <w:numPr>
          <w:ilvl w:val="0"/>
          <w:numId w:val="1029"/>
        </w:numPr>
      </w:pPr>
      <w:r>
        <w:t xml:space="preserve">Container images SHALL declare a</w:t>
      </w:r>
      <w:r>
        <w:t xml:space="preserve"> </w:t>
      </w:r>
      <w:r>
        <w:rPr>
          <w:rStyle w:val="VerbatimChar"/>
        </w:rPr>
        <w:t xml:space="preserve">HEALTHCHECK</w:t>
      </w:r>
      <w:r>
        <w:t xml:space="preserve"> </w:t>
      </w:r>
      <w:r>
        <w:t xml:space="preserve">instruction or an equivalent Kubernetes liveness/readiness probe.</w:t>
      </w:r>
    </w:p>
    <w:p>
      <w:pPr>
        <w:pStyle w:val="Compact"/>
        <w:numPr>
          <w:ilvl w:val="0"/>
          <w:numId w:val="1029"/>
        </w:numPr>
      </w:pPr>
      <w:r>
        <w:t xml:space="preserve">Container images SHALL NOT embed credentials, tokens, or private keys at any layer; secret material SHALL be injected at runtime per Chapter 3.</w:t>
      </w:r>
    </w:p>
    <w:p>
      <w:pPr>
        <w:pStyle w:val="Compact"/>
        <w:numPr>
          <w:ilvl w:val="0"/>
          <w:numId w:val="1029"/>
        </w:numPr>
      </w:pPr>
      <w:r>
        <w:t xml:space="preserve">Container image layers SHALL be reproducible: given the same source commit, two independent builds SHALL produce byte-identical layers for at least the application-code layer.</w:t>
      </w:r>
    </w:p>
    <w:bookmarkEnd w:id="56"/>
    <w:bookmarkStart w:id="57" w:name="patterns-recommended-4"/>
    <w:p>
      <w:pPr>
        <w:pStyle w:val="Heading3"/>
      </w:pPr>
      <w:r>
        <w:t xml:space="preserve">Patterns (Recommended)</w:t>
      </w:r>
    </w:p>
    <w:p>
      <w:pPr>
        <w:pStyle w:val="Compact"/>
        <w:numPr>
          <w:ilvl w:val="0"/>
          <w:numId w:val="1030"/>
        </w:numPr>
      </w:pPr>
      <w:r>
        <w:rPr>
          <w:b/>
          <w:bCs/>
        </w:rPr>
        <w:t xml:space="preserve">Distroless or Chainguard base for compiled languages.</w:t>
      </w:r>
      <w:r>
        <w:t xml:space="preserve"> </w:t>
      </w:r>
      <w:r>
        <w:t xml:space="preserve">Go, Rust, and statically-linked C/C++ applications SHOULD ship in a</w:t>
      </w:r>
      <w:r>
        <w:t xml:space="preserve"> </w:t>
      </w:r>
      <w:r>
        <w:rPr>
          <w:rStyle w:val="VerbatimChar"/>
        </w:rPr>
        <w:t xml:space="preserve">gcr.io/distroless/static</w:t>
      </w:r>
      <w:r>
        <w:t xml:space="preserve"> </w:t>
      </w:r>
      <w:r>
        <w:t xml:space="preserve">or Chainguard</w:t>
      </w:r>
      <w:r>
        <w:t xml:space="preserve"> </w:t>
      </w:r>
      <w:r>
        <w:rPr>
          <w:rStyle w:val="VerbatimChar"/>
        </w:rPr>
        <w:t xml:space="preserve">cgr.dev/chainguard/static</w:t>
      </w:r>
      <w:r>
        <w:t xml:space="preserve"> </w:t>
      </w:r>
      <w:r>
        <w:t xml:space="preserve">final image, with the binary copied from a build-stage image. Per the Google distroless project, this reduces the image to kilobytes, eliminates the shell entirely, and presents no package manager for an attacker to abuse.</w:t>
      </w:r>
    </w:p>
    <w:p>
      <w:pPr>
        <w:pStyle w:val="Compact"/>
        <w:numPr>
          <w:ilvl w:val="0"/>
          <w:numId w:val="1030"/>
        </w:numPr>
      </w:pPr>
      <w:r>
        <w:rPr>
          <w:b/>
          <w:bCs/>
        </w:rPr>
        <w:t xml:space="preserve">Multi-stage build with vendored dependencies.</w:t>
      </w:r>
      <w:r>
        <w:t xml:space="preserve"> </w:t>
      </w:r>
      <w:r>
        <w:t xml:space="preserve">Build stages SHOULD vendor and verify dependencies (Go modules with</w:t>
      </w:r>
      <w:r>
        <w:t xml:space="preserve"> </w:t>
      </w:r>
      <w:r>
        <w:rPr>
          <w:rStyle w:val="VerbatimChar"/>
        </w:rPr>
        <w:t xml:space="preserve">GOFLAGS=-mod=vendor</w:t>
      </w:r>
      <w:r>
        <w:t xml:space="preserve">, npm with</w:t>
      </w:r>
      <w:r>
        <w:t xml:space="preserve"> </w:t>
      </w:r>
      <w:r>
        <w:rPr>
          <w:rStyle w:val="VerbatimChar"/>
        </w:rPr>
        <w:t xml:space="preserve">npm ci</w:t>
      </w:r>
      <w:r>
        <w:t xml:space="preserve"> </w:t>
      </w:r>
      <w:r>
        <w:t xml:space="preserve">and a lockfile, Python with</w:t>
      </w:r>
      <w:r>
        <w:t xml:space="preserve"> </w:t>
      </w:r>
      <w:r>
        <w:rPr>
          <w:rStyle w:val="VerbatimChar"/>
        </w:rPr>
        <w:t xml:space="preserve">pip install --require-hashes</w:t>
      </w:r>
      <w:r>
        <w:t xml:space="preserve">), so that the final image’s content is derivable from a single commit. Per the Microsoft Learn guidance on container image best practices, this is a precondition for reproducible builds.</w:t>
      </w:r>
    </w:p>
    <w:p>
      <w:pPr>
        <w:pStyle w:val="Compact"/>
        <w:numPr>
          <w:ilvl w:val="0"/>
          <w:numId w:val="1030"/>
        </w:numPr>
      </w:pPr>
      <w:r>
        <w:rPr>
          <w:b/>
          <w:bCs/>
        </w:rPr>
        <w:t xml:space="preserve">Image signing via OIDC-federated cosign.</w:t>
      </w:r>
      <w:r>
        <w:t xml:space="preserve"> </w:t>
      </w:r>
      <w:r>
        <w:t xml:space="preserve">Build systems SHOULD sign images using cosign with keyless signing tied to the build’s OIDC identity. Per the Sigstore documentation, keyless signing eliminates the need for a long-lived signing key while preserving cryptographic provenance.</w:t>
      </w:r>
    </w:p>
    <w:p>
      <w:pPr>
        <w:pStyle w:val="Compact"/>
        <w:numPr>
          <w:ilvl w:val="0"/>
          <w:numId w:val="1030"/>
        </w:numPr>
      </w:pPr>
      <w:r>
        <w:rPr>
          <w:b/>
          <w:bCs/>
        </w:rPr>
        <w:t xml:space="preserve">Layer caching with content-addressable storage.</w:t>
      </w:r>
      <w:r>
        <w:t xml:space="preserve"> </w:t>
      </w:r>
      <w:r>
        <w:t xml:space="preserve">Build caches SHOULD use the registry’s content-addressable storage rather than a workstation cache. Per the BuildKit documentation, this enables cache sharing across builders and reproducibility of incremental builds.</w:t>
      </w:r>
    </w:p>
    <w:p>
      <w:pPr>
        <w:pStyle w:val="Compact"/>
        <w:numPr>
          <w:ilvl w:val="0"/>
          <w:numId w:val="1030"/>
        </w:numPr>
      </w:pPr>
      <w:r>
        <w:rPr>
          <w:b/>
          <w:bCs/>
        </w:rPr>
        <w:t xml:space="preserve">Image-promotion via digest, not tag.</w:t>
      </w:r>
      <w:r>
        <w:t xml:space="preserve"> </w:t>
      </w:r>
      <w:r>
        <w:t xml:space="preserve">Promotion from a staging registry to a production registry SHOULD copy by digest, preserving the cryptographic identity of the image across registries. Per the Open Container Initiative distribution spec, digest-based promotion is the only way to be sure that the image promoted is the image scanned.</w:t>
      </w:r>
    </w:p>
    <w:bookmarkEnd w:id="57"/>
    <w:bookmarkStart w:id="58" w:name="anti-patterns-prohibited-4"/>
    <w:p>
      <w:pPr>
        <w:pStyle w:val="Heading3"/>
      </w:pPr>
      <w:r>
        <w:t xml:space="preserve">Anti-Patterns (Prohibited)</w:t>
      </w:r>
    </w:p>
    <w:p>
      <w:pPr>
        <w:pStyle w:val="Compact"/>
        <w:numPr>
          <w:ilvl w:val="0"/>
          <w:numId w:val="1031"/>
        </w:numPr>
      </w:pPr>
      <w:r>
        <w:rPr>
          <w:b/>
          <w:bCs/>
        </w:rPr>
        <w:t xml:space="preserve">MUST NOT</w:t>
      </w:r>
      <w:r>
        <w:t xml:space="preserve"> </w:t>
      </w:r>
      <w:r>
        <w:t xml:space="preserve">use the</w:t>
      </w:r>
      <w:r>
        <w:t xml:space="preserve"> </w:t>
      </w:r>
      <w:r>
        <w:rPr>
          <w:rStyle w:val="VerbatimChar"/>
        </w:rPr>
        <w:t xml:space="preserve">:latest</w:t>
      </w:r>
      <w:r>
        <w:t xml:space="preserve"> </w:t>
      </w:r>
      <w:r>
        <w:t xml:space="preserve">tag in any production manifest. Latest is mutable; an attacker who compromises the registry can substitute a malicious image without changing the manifest. Multiple corporate incidents involving compromised public base images have been traced to</w:t>
      </w:r>
      <w:r>
        <w:t xml:space="preserve"> </w:t>
      </w:r>
      <w:r>
        <w:rPr>
          <w:rStyle w:val="VerbatimChar"/>
        </w:rPr>
        <w:t xml:space="preserve">:latest</w:t>
      </w:r>
      <w:r>
        <w:t xml:space="preserve"> </w:t>
      </w:r>
      <w:r>
        <w:t xml:space="preserve">usage.</w:t>
      </w:r>
    </w:p>
    <w:p>
      <w:pPr>
        <w:pStyle w:val="Compact"/>
        <w:numPr>
          <w:ilvl w:val="0"/>
          <w:numId w:val="1031"/>
        </w:numPr>
      </w:pPr>
      <w:r>
        <w:rPr>
          <w:b/>
          <w:bCs/>
        </w:rPr>
        <w:t xml:space="preserve">MUST NOT</w:t>
      </w:r>
      <w:r>
        <w:t xml:space="preserve"> </w:t>
      </w:r>
      <w:r>
        <w:t xml:space="preserve">run as</w:t>
      </w:r>
      <w:r>
        <w:t xml:space="preserve"> </w:t>
      </w:r>
      <w:r>
        <w:rPr>
          <w:rStyle w:val="VerbatimChar"/>
        </w:rPr>
        <w:t xml:space="preserve">root</w:t>
      </w:r>
      <w:r>
        <w:t xml:space="preserve"> </w:t>
      </w:r>
      <w:r>
        <w:t xml:space="preserve">inside the container in production. Root inside a container is one mis-configured</w:t>
      </w:r>
      <w:r>
        <w:t xml:space="preserve"> </w:t>
      </w:r>
      <w:r>
        <w:rPr>
          <w:rStyle w:val="VerbatimChar"/>
        </w:rPr>
        <w:t xml:space="preserve">securityContext</w:t>
      </w:r>
      <w:r>
        <w:t xml:space="preserve"> </w:t>
      </w:r>
      <w:r>
        <w:t xml:space="preserve">away from root on the node; non-root execution is a fundamental defense-in-depth measure.</w:t>
      </w:r>
    </w:p>
    <w:p>
      <w:pPr>
        <w:pStyle w:val="Compact"/>
        <w:numPr>
          <w:ilvl w:val="0"/>
          <w:numId w:val="1031"/>
        </w:numPr>
      </w:pPr>
      <w:r>
        <w:rPr>
          <w:b/>
          <w:bCs/>
        </w:rPr>
        <w:t xml:space="preserve">SHALL NOT</w:t>
      </w:r>
      <w:r>
        <w:t xml:space="preserve"> </w:t>
      </w:r>
      <w:r>
        <w:t xml:space="preserve">install package-manager utilities or shells in the final runtime image unless explicitly required for the application’s function.</w:t>
      </w:r>
      <w:r>
        <w:t xml:space="preserve"> </w:t>
      </w:r>
      <w:r>
        <w:rPr>
          <w:rStyle w:val="VerbatimChar"/>
        </w:rPr>
        <w:t xml:space="preserve">apt</w:t>
      </w:r>
      <w:r>
        <w:t xml:space="preserve">,</w:t>
      </w:r>
      <w:r>
        <w:t xml:space="preserve"> </w:t>
      </w:r>
      <w:r>
        <w:rPr>
          <w:rStyle w:val="VerbatimChar"/>
        </w:rPr>
        <w:t xml:space="preserve">yum</w:t>
      </w:r>
      <w:r>
        <w:t xml:space="preserve">,</w:t>
      </w:r>
      <w:r>
        <w:t xml:space="preserve"> </w:t>
      </w:r>
      <w:r>
        <w:rPr>
          <w:rStyle w:val="VerbatimChar"/>
        </w:rPr>
        <w:t xml:space="preserve">apk</w:t>
      </w:r>
      <w:r>
        <w:t xml:space="preserve">,</w:t>
      </w:r>
      <w:r>
        <w:t xml:space="preserve"> </w:t>
      </w:r>
      <w:r>
        <w:rPr>
          <w:rStyle w:val="VerbatimChar"/>
        </w:rPr>
        <w:t xml:space="preserve">bash</w:t>
      </w:r>
      <w:r>
        <w:t xml:space="preserve">, and</w:t>
      </w:r>
      <w:r>
        <w:t xml:space="preserve"> </w:t>
      </w:r>
      <w:r>
        <w:rPr>
          <w:rStyle w:val="VerbatimChar"/>
        </w:rPr>
        <w:t xml:space="preserve">sh</w:t>
      </w:r>
      <w:r>
        <w:t xml:space="preserve"> </w:t>
      </w:r>
      <w:r>
        <w:t xml:space="preserve">are valuable to an attacker performing post-exploitation; their absence raises the cost of compromise.</w:t>
      </w:r>
    </w:p>
    <w:p>
      <w:pPr>
        <w:pStyle w:val="Compact"/>
        <w:numPr>
          <w:ilvl w:val="0"/>
          <w:numId w:val="1031"/>
        </w:numPr>
      </w:pPr>
      <w:r>
        <w:rPr>
          <w:b/>
          <w:bCs/>
        </w:rPr>
        <w:t xml:space="preserve">MUST NOT</w:t>
      </w:r>
      <w:r>
        <w:t xml:space="preserve"> </w:t>
      </w:r>
      <w:r>
        <w:t xml:space="preserve">disable image scanning on a registry</w:t>
      </w:r>
      <w:r>
        <w:t xml:space="preserve"> </w:t>
      </w:r>
      <w:r>
        <w:t xml:space="preserve">“to unblock a release”</w:t>
      </w:r>
      <w:r>
        <w:t xml:space="preserve">. A release that requires unscanned images is a release that has not satisfied the entry criteria for production.</w:t>
      </w:r>
    </w:p>
    <w:p>
      <w:pPr>
        <w:pStyle w:val="Compact"/>
        <w:numPr>
          <w:ilvl w:val="0"/>
          <w:numId w:val="1031"/>
        </w:numPr>
      </w:pPr>
      <w:r>
        <w:rPr>
          <w:b/>
          <w:bCs/>
        </w:rPr>
        <w:t xml:space="preserve">SHALL NOT</w:t>
      </w:r>
      <w:r>
        <w:t xml:space="preserve"> </w:t>
      </w:r>
      <w:r>
        <w:t xml:space="preserve">bake configuration values that vary by environment into the image. Image immutability is a core property; environment-specific configuration belongs in runtime configuration (ConfigMaps, environment variables sourced from secrets, application-config services).</w:t>
      </w:r>
    </w:p>
    <w:p>
      <w:pPr>
        <w:pStyle w:val="Compact"/>
        <w:numPr>
          <w:ilvl w:val="0"/>
          <w:numId w:val="1031"/>
        </w:numPr>
      </w:pPr>
      <w:r>
        <w:rPr>
          <w:b/>
          <w:bCs/>
        </w:rPr>
        <w:t xml:space="preserve">MUST NOT</w:t>
      </w:r>
      <w:r>
        <w:t xml:space="preserve"> </w:t>
      </w:r>
      <w:r>
        <w:t xml:space="preserve">push images from a developer workstation to the production registry. Production images SHALL originate exclusively from the corporate build system, signed by that build system’s identity.</w:t>
      </w:r>
    </w:p>
    <w:bookmarkEnd w:id="58"/>
    <w:bookmarkStart w:id="59" w:name="evidence-audit-4"/>
    <w:p>
      <w:pPr>
        <w:pStyle w:val="Heading3"/>
      </w:pPr>
      <w:r>
        <w:t xml:space="preserve">Evidence &amp; Audit</w:t>
      </w:r>
    </w:p>
    <w:p>
      <w:pPr>
        <w:pStyle w:val="Compact"/>
        <w:numPr>
          <w:ilvl w:val="0"/>
          <w:numId w:val="1032"/>
        </w:numPr>
      </w:pPr>
      <w:r>
        <w:t xml:space="preserve">Daily compliance report from the image scanner showing the count of production images with Critical / High vulnerabilities and the time-since-discovery for each.</w:t>
      </w:r>
    </w:p>
    <w:p>
      <w:pPr>
        <w:pStyle w:val="Compact"/>
        <w:numPr>
          <w:ilvl w:val="0"/>
          <w:numId w:val="1032"/>
        </w:numPr>
      </w:pPr>
      <w:r>
        <w:t xml:space="preserve">Quarterly inventory reconciliation between deployed images (Kubernetes / App Service / Lambda) and registry contents; images deployed from outside the corporate registry SHALL be flagged.</w:t>
      </w:r>
    </w:p>
    <w:p>
      <w:pPr>
        <w:pStyle w:val="Compact"/>
        <w:numPr>
          <w:ilvl w:val="0"/>
          <w:numId w:val="1032"/>
        </w:numPr>
      </w:pPr>
      <w:r>
        <w:t xml:space="preserve">Build pipeline audit log showing image signing events and SBOM-generation events for every production build, retained for three (3) years.</w:t>
      </w:r>
    </w:p>
    <w:p>
      <w:pPr>
        <w:pStyle w:val="Compact"/>
        <w:numPr>
          <w:ilvl w:val="0"/>
          <w:numId w:val="1032"/>
        </w:numPr>
      </w:pPr>
      <w:r>
        <w:t xml:space="preserve">Admission-controller logs showing rejected unsigned images, with weekly trend review.</w:t>
      </w:r>
    </w:p>
    <w:p>
      <w:pPr>
        <w:pStyle w:val="Compact"/>
        <w:numPr>
          <w:ilvl w:val="0"/>
          <w:numId w:val="1032"/>
        </w:numPr>
      </w:pPr>
      <w:r>
        <w:t xml:space="preserve">Annual exercise: rebuild a randomly selected set of production images from source and verify byte-identical reproduction of application-code layers.</w:t>
      </w:r>
    </w:p>
    <w:p>
      <w:pPr>
        <w:pStyle w:val="Compact"/>
        <w:numPr>
          <w:ilvl w:val="0"/>
          <w:numId w:val="1032"/>
        </w:numPr>
      </w:pPr>
      <w:r>
        <w:t xml:space="preserve">Registry access logs forwarded to SIEM; image pulls by unexpected identities SHALL alert.</w:t>
      </w:r>
    </w:p>
    <w:bookmarkEnd w:id="59"/>
    <w:bookmarkStart w:id="60" w:name="exceptions-4"/>
    <w:p>
      <w:pPr>
        <w:pStyle w:val="Heading3"/>
      </w:pPr>
      <w:r>
        <w:t xml:space="preserve">Exceptions</w:t>
      </w:r>
    </w:p>
    <w:p>
      <w:pPr>
        <w:pStyle w:val="FirstParagraph"/>
      </w:pPr>
      <w:r>
        <w:t xml:space="preserve">Where a legacy application cannot be containerized to the standards above (e.g., requires a specific package not available in a minimal base), the team SHALL document the gap, apply runtime mitigations (stronger pod-security policies, network restrictions, additional monitoring), and file an exception.</w:t>
      </w:r>
      <w:r>
        <w:t xml:space="preserve"> </w:t>
      </w:r>
      <w:r>
        <w:rPr>
          <w:b/>
          <w:bCs/>
        </w:rPr>
        <w:t xml:space="preserve">Exceptions SHALL be time-boxed to 90 days and require ARB approval.</w:t>
      </w:r>
    </w:p>
    <w:bookmarkEnd w:id="60"/>
    <w:bookmarkStart w:id="61" w:name="references-4"/>
    <w:p>
      <w:pPr>
        <w:pStyle w:val="Heading3"/>
      </w:pPr>
      <w:r>
        <w:t xml:space="preserve">References</w:t>
      </w:r>
    </w:p>
    <w:p>
      <w:pPr>
        <w:pStyle w:val="Compact"/>
        <w:numPr>
          <w:ilvl w:val="0"/>
          <w:numId w:val="1033"/>
        </w:numPr>
      </w:pPr>
      <w:r>
        <w:t xml:space="preserve">Microsoft Learn — Best practices for Azure Container Registry: https://learn.microsoft.com/en-us/azure/container-registry/container-registry-best-practices</w:t>
      </w:r>
    </w:p>
    <w:p>
      <w:pPr>
        <w:pStyle w:val="Compact"/>
        <w:numPr>
          <w:ilvl w:val="0"/>
          <w:numId w:val="1033"/>
        </w:numPr>
      </w:pPr>
      <w:r>
        <w:t xml:space="preserve">Microsoft Learn — Microsoft Defender for Containers: https://learn.microsoft.com/en-us/azure/defender-for-cloud/defender-for-containers-introduction</w:t>
      </w:r>
    </w:p>
    <w:p>
      <w:pPr>
        <w:pStyle w:val="Compact"/>
        <w:numPr>
          <w:ilvl w:val="0"/>
          <w:numId w:val="1033"/>
        </w:numPr>
      </w:pPr>
      <w:r>
        <w:t xml:space="preserve">Microsoft Learn — Build container images for AKS: https://learn.microsoft.com/en-us/azure/aks/concepts-clusters-workloads</w:t>
      </w:r>
    </w:p>
    <w:p>
      <w:pPr>
        <w:pStyle w:val="Compact"/>
        <w:numPr>
          <w:ilvl w:val="0"/>
          <w:numId w:val="1033"/>
        </w:numPr>
      </w:pPr>
      <w:r>
        <w:t xml:space="preserve">AWS — Amazon ECR image scanning: https://docs.aws.amazon.com/AmazonECR/latest/userguide/image-scanning.html</w:t>
      </w:r>
    </w:p>
    <w:p>
      <w:pPr>
        <w:pStyle w:val="Compact"/>
        <w:numPr>
          <w:ilvl w:val="0"/>
          <w:numId w:val="1033"/>
        </w:numPr>
      </w:pPr>
      <w:r>
        <w:t xml:space="preserve">AWS Well-Architected — Container Build Lens (best practices on minimal images, non-root, multi-stage): https://docs.aws.amazon.com/wellarchitected/latest/container-build-lens/</w:t>
      </w:r>
    </w:p>
    <w:p>
      <w:pPr>
        <w:pStyle w:val="Compact"/>
        <w:numPr>
          <w:ilvl w:val="0"/>
          <w:numId w:val="1033"/>
        </w:numPr>
      </w:pPr>
      <w:r>
        <w:t xml:space="preserve">AWS — Bottlerocket OS: https://aws.amazon.com/bottlerocket/</w:t>
      </w:r>
    </w:p>
    <w:p>
      <w:pPr>
        <w:pStyle w:val="Compact"/>
        <w:numPr>
          <w:ilvl w:val="0"/>
          <w:numId w:val="1033"/>
        </w:numPr>
      </w:pPr>
      <w:r>
        <w:t xml:space="preserve">Google Cloud — Artifact Registry vulnerability scanning: https://cloud.google.com/artifact-registry/docs/analysis</w:t>
      </w:r>
    </w:p>
    <w:p>
      <w:pPr>
        <w:pStyle w:val="Compact"/>
        <w:numPr>
          <w:ilvl w:val="0"/>
          <w:numId w:val="1033"/>
        </w:numPr>
      </w:pPr>
      <w:r>
        <w:t xml:space="preserve">Google distroless container images: https://github.com/GoogleContainerTools/distroless</w:t>
      </w:r>
    </w:p>
    <w:p>
      <w:pPr>
        <w:pStyle w:val="Compact"/>
        <w:numPr>
          <w:ilvl w:val="0"/>
          <w:numId w:val="1033"/>
        </w:numPr>
      </w:pPr>
      <w:r>
        <w:t xml:space="preserve">Sigstore cosign: https://docs.sigstore.dev/signing/quickstart/</w:t>
      </w:r>
    </w:p>
    <w:p>
      <w:pPr>
        <w:pStyle w:val="Compact"/>
        <w:numPr>
          <w:ilvl w:val="0"/>
          <w:numId w:val="1033"/>
        </w:numPr>
      </w:pPr>
      <w:r>
        <w:t xml:space="preserve">CycloneDX Software Bill of Materials: https://cyclonedx.org/specification/overview/</w:t>
      </w:r>
    </w:p>
    <w:p>
      <w:pPr>
        <w:pStyle w:val="Compact"/>
        <w:numPr>
          <w:ilvl w:val="0"/>
          <w:numId w:val="1033"/>
        </w:numPr>
      </w:pPr>
      <w:r>
        <w:t xml:space="preserve">CIS Docker Benchmark: https://www.cisecurity.org/benchmark/docker</w:t>
      </w:r>
    </w:p>
    <w:bookmarkEnd w:id="61"/>
    <w:bookmarkEnd w:id="62"/>
    <w:bookmarkStart w:id="71" w:name="chapter-6-kubernetes-aks-security"/>
    <w:p>
      <w:pPr>
        <w:pStyle w:val="Heading2"/>
      </w:pPr>
      <w:r>
        <w:t xml:space="preserve">Chapter 6 — Kubernetes &amp; AKS Security</w:t>
      </w:r>
    </w:p>
    <w:bookmarkStart w:id="63" w:name="intent-5"/>
    <w:p>
      <w:pPr>
        <w:pStyle w:val="Heading3"/>
      </w:pPr>
      <w:r>
        <w:t xml:space="preserve">Intent</w:t>
      </w:r>
    </w:p>
    <w:p>
      <w:pPr>
        <w:pStyle w:val="FirstParagraph"/>
      </w:pPr>
      <w:r>
        <w:t xml:space="preserve">Kubernetes is the corporation’s preferred orchestrator for containerized workloads, deployed as Azure Kubernetes Service (AKS), Amazon Elastic Kubernetes Service (EKS), and Google Kubernetes Engine (GKE). This chapter governs how those clusters are configured, how workloads are admitted, how secrets reach pods, how pods identify themselves to cloud APIs, and how runtime defense is achieved.</w:t>
      </w:r>
    </w:p>
    <w:p>
      <w:pPr>
        <w:pStyle w:val="BodyText"/>
      </w:pPr>
      <w:r>
        <w:t xml:space="preserve">Kubernetes presents a uniquely concentrated attack surface: a single cluster typically hosts dozens of unrelated services, shares a single underlying node pool, and exposes a powerful API server. The controls in this chapter are designed so that the compromise of any one workload cannot be parlayed into the compromise of the cluster or of other workloads on the same cluster. The chapter builds on Chapter 5 (Containerization) and Chapter 1 (Identity).</w:t>
      </w:r>
    </w:p>
    <w:bookmarkEnd w:id="63"/>
    <w:bookmarkStart w:id="64" w:name="scope-6"/>
    <w:p>
      <w:pPr>
        <w:pStyle w:val="Heading3"/>
      </w:pPr>
      <w:r>
        <w:t xml:space="preserve">Scope</w:t>
      </w:r>
    </w:p>
    <w:p>
      <w:pPr>
        <w:pStyle w:val="Compact"/>
        <w:numPr>
          <w:ilvl w:val="0"/>
          <w:numId w:val="1034"/>
        </w:numPr>
      </w:pPr>
      <w:r>
        <w:t xml:space="preserve">All managed Kubernetes clusters operated by the corporation: AKS, EKS, GKE Standard, and GKE Autopilot.</w:t>
      </w:r>
    </w:p>
    <w:p>
      <w:pPr>
        <w:pStyle w:val="Compact"/>
        <w:numPr>
          <w:ilvl w:val="0"/>
          <w:numId w:val="1034"/>
        </w:numPr>
      </w:pPr>
      <w:r>
        <w:t xml:space="preserve">All node pools, including system node pools and user node pools.</w:t>
      </w:r>
    </w:p>
    <w:p>
      <w:pPr>
        <w:pStyle w:val="Compact"/>
        <w:numPr>
          <w:ilvl w:val="0"/>
          <w:numId w:val="1034"/>
        </w:numPr>
      </w:pPr>
      <w:r>
        <w:t xml:space="preserve">All admission controllers and policy engines deployed in those clusters.</w:t>
      </w:r>
    </w:p>
    <w:p>
      <w:pPr>
        <w:pStyle w:val="Compact"/>
        <w:numPr>
          <w:ilvl w:val="0"/>
          <w:numId w:val="1034"/>
        </w:numPr>
      </w:pPr>
      <w:r>
        <w:t xml:space="preserve">All workloads (Deployments, StatefulSets, DaemonSets, Jobs, CronJobs) running in those clusters.</w:t>
      </w:r>
    </w:p>
    <w:p>
      <w:pPr>
        <w:pStyle w:val="Compact"/>
        <w:numPr>
          <w:ilvl w:val="0"/>
          <w:numId w:val="1034"/>
        </w:numPr>
      </w:pPr>
      <w:r>
        <w:t xml:space="preserve">All shared cluster infrastructure: ingress controllers, service meshes, autoscalers, secret-store CSI drivers.</w:t>
      </w:r>
    </w:p>
    <w:bookmarkEnd w:id="64"/>
    <w:bookmarkStart w:id="65" w:name="mandatory-controls-5"/>
    <w:p>
      <w:pPr>
        <w:pStyle w:val="Heading3"/>
      </w:pPr>
      <w:r>
        <w:t xml:space="preserve">Mandatory Controls</w:t>
      </w:r>
    </w:p>
    <w:p>
      <w:pPr>
        <w:pStyle w:val="Compact"/>
        <w:numPr>
          <w:ilvl w:val="0"/>
          <w:numId w:val="1035"/>
        </w:numPr>
      </w:pPr>
      <w:r>
        <w:t xml:space="preserve">Pods SHALL authenticate to cloud APIs via workload identity: AKS workload identity (Microsoft Entra workload identity federation), EKS IAM roles for service accounts (IRSA), or GKE Workload Identity. Pods MUST NOT carry static cloud credentials.</w:t>
      </w:r>
    </w:p>
    <w:p>
      <w:pPr>
        <w:pStyle w:val="Compact"/>
        <w:numPr>
          <w:ilvl w:val="0"/>
          <w:numId w:val="1035"/>
        </w:numPr>
      </w:pPr>
      <w:r>
        <w:t xml:space="preserve">The Kubernetes Pod Security Standard</w:t>
      </w:r>
      <w:r>
        <w:t xml:space="preserve"> </w:t>
      </w:r>
      <w:r>
        <w:rPr>
          <w:rStyle w:val="VerbatimChar"/>
        </w:rPr>
        <w:t xml:space="preserve">restricted</w:t>
      </w:r>
      <w:r>
        <w:t xml:space="preserve"> </w:t>
      </w:r>
      <w:r>
        <w:t xml:space="preserve">profile SHALL be enforced by the API server admission for all production namespaces;</w:t>
      </w:r>
      <w:r>
        <w:t xml:space="preserve"> </w:t>
      </w:r>
      <w:r>
        <w:rPr>
          <w:rStyle w:val="VerbatimChar"/>
        </w:rPr>
        <w:t xml:space="preserve">baseline</w:t>
      </w:r>
      <w:r>
        <w:t xml:space="preserve"> </w:t>
      </w:r>
      <w:r>
        <w:t xml:space="preserve">is permitted only for transient sandbox namespaces.</w:t>
      </w:r>
    </w:p>
    <w:p>
      <w:pPr>
        <w:pStyle w:val="Compact"/>
        <w:numPr>
          <w:ilvl w:val="0"/>
          <w:numId w:val="1035"/>
        </w:numPr>
      </w:pPr>
      <w:r>
        <w:t xml:space="preserve">Containers SHALL NOT run as privileged (</w:t>
      </w:r>
      <w:r>
        <w:rPr>
          <w:rStyle w:val="VerbatimChar"/>
        </w:rPr>
        <w:t xml:space="preserve">securityContext.privileged: true</w:t>
      </w:r>
      <w:r>
        <w:t xml:space="preserve"> </w:t>
      </w:r>
      <w:r>
        <w:t xml:space="preserve">is prohibited).</w:t>
      </w:r>
    </w:p>
    <w:p>
      <w:pPr>
        <w:pStyle w:val="Compact"/>
        <w:numPr>
          <w:ilvl w:val="0"/>
          <w:numId w:val="1035"/>
        </w:numPr>
      </w:pPr>
      <w:r>
        <w:t xml:space="preserve">Containers SHALL NOT request</w:t>
      </w:r>
      <w:r>
        <w:t xml:space="preserve"> </w:t>
      </w:r>
      <w:r>
        <w:rPr>
          <w:rStyle w:val="VerbatimChar"/>
        </w:rPr>
        <w:t xml:space="preserve">hostNetwork</w:t>
      </w:r>
      <w:r>
        <w:t xml:space="preserve">,</w:t>
      </w:r>
      <w:r>
        <w:t xml:space="preserve"> </w:t>
      </w:r>
      <w:r>
        <w:rPr>
          <w:rStyle w:val="VerbatimChar"/>
        </w:rPr>
        <w:t xml:space="preserve">hostPID</w:t>
      </w:r>
      <w:r>
        <w:t xml:space="preserve">,</w:t>
      </w:r>
      <w:r>
        <w:t xml:space="preserve"> </w:t>
      </w:r>
      <w:r>
        <w:rPr>
          <w:rStyle w:val="VerbatimChar"/>
        </w:rPr>
        <w:t xml:space="preserve">hostIPC</w:t>
      </w:r>
      <w:r>
        <w:t xml:space="preserve">,</w:t>
      </w:r>
      <w:r>
        <w:t xml:space="preserve"> </w:t>
      </w:r>
      <w:r>
        <w:rPr>
          <w:rStyle w:val="VerbatimChar"/>
        </w:rPr>
        <w:t xml:space="preserve">hostPath</w:t>
      </w:r>
      <w:r>
        <w:t xml:space="preserve"> </w:t>
      </w:r>
      <w:r>
        <w:t xml:space="preserve">volumes, or</w:t>
      </w:r>
      <w:r>
        <w:t xml:space="preserve"> </w:t>
      </w:r>
      <w:r>
        <w:rPr>
          <w:rStyle w:val="VerbatimChar"/>
        </w:rPr>
        <w:t xml:space="preserve">hostPort</w:t>
      </w:r>
      <w:r>
        <w:t xml:space="preserve"> </w:t>
      </w:r>
      <w:r>
        <w:t xml:space="preserve">bindings except for explicitly approved infrastructure DaemonSets (CNI, CSI, logging, observability).</w:t>
      </w:r>
    </w:p>
    <w:p>
      <w:pPr>
        <w:pStyle w:val="Compact"/>
        <w:numPr>
          <w:ilvl w:val="0"/>
          <w:numId w:val="1035"/>
        </w:numPr>
      </w:pPr>
      <w:r>
        <w:t xml:space="preserve">The container runtime SHALL drop all Linux capabilities and add back only the minimum required;</w:t>
      </w:r>
      <w:r>
        <w:t xml:space="preserve"> </w:t>
      </w:r>
      <w:r>
        <w:rPr>
          <w:rStyle w:val="VerbatimChar"/>
        </w:rPr>
        <w:t xml:space="preserve">CAP_SYS_ADMIN</w:t>
      </w:r>
      <w:r>
        <w:t xml:space="preserve"> </w:t>
      </w:r>
      <w:r>
        <w:t xml:space="preserve">is unconditionally prohibited.</w:t>
      </w:r>
    </w:p>
    <w:p>
      <w:pPr>
        <w:pStyle w:val="Compact"/>
        <w:numPr>
          <w:ilvl w:val="0"/>
          <w:numId w:val="1035"/>
        </w:numPr>
      </w:pPr>
      <w:r>
        <w:t xml:space="preserve">Network policies (Kubernetes NetworkPolicy with a deny-by-default baseline, or a CNI-specific equivalent such as Cilium or Calico) SHALL be enforced in every namespace. Cross-namespace traffic SHALL be explicit.</w:t>
      </w:r>
    </w:p>
    <w:p>
      <w:pPr>
        <w:pStyle w:val="Compact"/>
        <w:numPr>
          <w:ilvl w:val="0"/>
          <w:numId w:val="1035"/>
        </w:numPr>
      </w:pPr>
      <w:r>
        <w:t xml:space="preserve">A policy engine — OPA Gatekeeper or Kyverno — SHALL be installed in every cluster and SHALL enforce the corporate baseline (image-signature verification, registry allow-list, label requirements, resource requests and limits).</w:t>
      </w:r>
    </w:p>
    <w:p>
      <w:pPr>
        <w:pStyle w:val="Compact"/>
        <w:numPr>
          <w:ilvl w:val="0"/>
          <w:numId w:val="1035"/>
        </w:numPr>
      </w:pPr>
      <w:r>
        <w:t xml:space="preserve">Secrets SHALL be delivered to pods via the Secret Store CSI driver from the corporate vault (Chapter 3); native Kubernetes</w:t>
      </w:r>
      <w:r>
        <w:t xml:space="preserve"> </w:t>
      </w:r>
      <w:r>
        <w:rPr>
          <w:rStyle w:val="VerbatimChar"/>
        </w:rPr>
        <w:t xml:space="preserve">Secret</w:t>
      </w:r>
      <w:r>
        <w:t xml:space="preserve"> </w:t>
      </w:r>
      <w:r>
        <w:t xml:space="preserve">objects SHALL NOT be used as the source of truth for production credentials.</w:t>
      </w:r>
    </w:p>
    <w:p>
      <w:pPr>
        <w:pStyle w:val="Compact"/>
        <w:numPr>
          <w:ilvl w:val="0"/>
          <w:numId w:val="1035"/>
        </w:numPr>
      </w:pPr>
      <w:r>
        <w:t xml:space="preserve">The Kubernetes API server SHALL be accessible only from authorized networks: corporate egress IPs, hub VNet/VPC, or private cluster mode. Public API-server endpoints with</w:t>
      </w:r>
      <w:r>
        <w:t xml:space="preserve"> </w:t>
      </w:r>
      <w:r>
        <w:rPr>
          <w:rStyle w:val="VerbatimChar"/>
        </w:rPr>
        <w:t xml:space="preserve">0.0.0.0/0</w:t>
      </w:r>
      <w:r>
        <w:t xml:space="preserve"> </w:t>
      </w:r>
      <w:r>
        <w:t xml:space="preserve">authorized are prohibited.</w:t>
      </w:r>
    </w:p>
    <w:p>
      <w:pPr>
        <w:pStyle w:val="Compact"/>
        <w:numPr>
          <w:ilvl w:val="0"/>
          <w:numId w:val="1035"/>
        </w:numPr>
      </w:pPr>
      <w:r>
        <w:t xml:space="preserve">Cluster RBAC SHALL follow least privilege;</w:t>
      </w:r>
      <w:r>
        <w:t xml:space="preserve"> </w:t>
      </w:r>
      <w:r>
        <w:rPr>
          <w:rStyle w:val="VerbatimChar"/>
        </w:rPr>
        <w:t xml:space="preserve">cluster-admin</w:t>
      </w:r>
      <w:r>
        <w:t xml:space="preserve"> </w:t>
      </w:r>
      <w:r>
        <w:t xml:space="preserve">and equivalent broad roles SHALL be assigned only to break-glass identities and to specific platform-team service principals.</w:t>
      </w:r>
    </w:p>
    <w:p>
      <w:pPr>
        <w:pStyle w:val="Compact"/>
        <w:numPr>
          <w:ilvl w:val="0"/>
          <w:numId w:val="1035"/>
        </w:numPr>
      </w:pPr>
      <w:r>
        <w:t xml:space="preserve">Audit logging SHALL be enabled at the</w:t>
      </w:r>
      <w:r>
        <w:t xml:space="preserve"> </w:t>
      </w:r>
      <w:r>
        <w:rPr>
          <w:rStyle w:val="VerbatimChar"/>
        </w:rPr>
        <w:t xml:space="preserve">RequestResponse</w:t>
      </w:r>
      <w:r>
        <w:t xml:space="preserve"> </w:t>
      </w:r>
      <w:r>
        <w:t xml:space="preserve">level for sensitive resources (Secrets, RoleBindings, ServiceAccounts) and at</w:t>
      </w:r>
      <w:r>
        <w:t xml:space="preserve"> </w:t>
      </w:r>
      <w:r>
        <w:rPr>
          <w:rStyle w:val="VerbatimChar"/>
        </w:rPr>
        <w:t xml:space="preserve">Metadata</w:t>
      </w:r>
      <w:r>
        <w:t xml:space="preserve"> </w:t>
      </w:r>
      <w:r>
        <w:t xml:space="preserve">level for the rest, and SHALL be forwarded to the central SIEM.</w:t>
      </w:r>
    </w:p>
    <w:p>
      <w:pPr>
        <w:pStyle w:val="Compact"/>
        <w:numPr>
          <w:ilvl w:val="0"/>
          <w:numId w:val="1035"/>
        </w:numPr>
      </w:pPr>
      <w:r>
        <w:t xml:space="preserve">Container images SHALL be admitted only from the corporate registry; the policy engine SHALL deny pods whose images come from other registries.</w:t>
      </w:r>
    </w:p>
    <w:p>
      <w:pPr>
        <w:pStyle w:val="Compact"/>
        <w:numPr>
          <w:ilvl w:val="0"/>
          <w:numId w:val="1035"/>
        </w:numPr>
      </w:pPr>
      <w:r>
        <w:t xml:space="preserve">Image signatures SHALL be verified at admission time using cosign-compatible verifier (Connaisseur, Kyverno verify-images, AWS ECR signer with Notation, GCP Binary Authorization).</w:t>
      </w:r>
    </w:p>
    <w:p>
      <w:pPr>
        <w:pStyle w:val="Compact"/>
        <w:numPr>
          <w:ilvl w:val="0"/>
          <w:numId w:val="1035"/>
        </w:numPr>
      </w:pPr>
      <w:r>
        <w:t xml:space="preserve">Runtime defense (Falco, Microsoft Defender for Containers runtime, AWS GuardDuty for EKS, GCP Security Command Center container runtime) SHALL be enabled on every production cluster.</w:t>
      </w:r>
    </w:p>
    <w:p>
      <w:pPr>
        <w:pStyle w:val="Compact"/>
        <w:numPr>
          <w:ilvl w:val="0"/>
          <w:numId w:val="1035"/>
        </w:numPr>
      </w:pPr>
      <w:r>
        <w:t xml:space="preserve">Cluster node operating system images SHALL be patched within fourteen (14) days of a critical CVE being published for the OS image family.</w:t>
      </w:r>
    </w:p>
    <w:p>
      <w:pPr>
        <w:pStyle w:val="Compact"/>
        <w:numPr>
          <w:ilvl w:val="0"/>
          <w:numId w:val="1035"/>
        </w:numPr>
      </w:pPr>
      <w:r>
        <w:t xml:space="preserve">Resource requests and limits SHALL be specified on every container; pods without limits SHALL be rejected by the policy engine.</w:t>
      </w:r>
    </w:p>
    <w:bookmarkEnd w:id="65"/>
    <w:bookmarkStart w:id="66" w:name="patterns-recommended-5"/>
    <w:p>
      <w:pPr>
        <w:pStyle w:val="Heading3"/>
      </w:pPr>
      <w:r>
        <w:t xml:space="preserve">Patterns (Recommended)</w:t>
      </w:r>
    </w:p>
    <w:p>
      <w:pPr>
        <w:pStyle w:val="Compact"/>
        <w:numPr>
          <w:ilvl w:val="0"/>
          <w:numId w:val="1036"/>
        </w:numPr>
      </w:pPr>
      <w:r>
        <w:rPr>
          <w:b/>
          <w:bCs/>
        </w:rPr>
        <w:t xml:space="preserve">Per-namespace workload identity.</w:t>
      </w:r>
      <w:r>
        <w:t xml:space="preserve"> </w:t>
      </w:r>
      <w:r>
        <w:t xml:space="preserve">Each application namespace SHOULD have its own ServiceAccount mapped to a single workload-identity principal in the cloud, scoped to that application’s required permissions. Per the AKS workload-identity documentation, this isolation pattern reduces the blast radius of a compromised pod to that pod’s own permissions.</w:t>
      </w:r>
    </w:p>
    <w:p>
      <w:pPr>
        <w:pStyle w:val="Compact"/>
        <w:numPr>
          <w:ilvl w:val="0"/>
          <w:numId w:val="1036"/>
        </w:numPr>
      </w:pPr>
      <w:r>
        <w:rPr>
          <w:b/>
          <w:bCs/>
        </w:rPr>
        <w:t xml:space="preserve">GitOps reconciliation.</w:t>
      </w:r>
      <w:r>
        <w:t xml:space="preserve"> </w:t>
      </w:r>
      <w:r>
        <w:t xml:space="preserve">Cluster state SHOULD be reconciled by a GitOps controller (Argo CD or Flux) from a Git repository that is the single source of truth. Per the CNCF GitOps principles, this pattern provides a continuous audit trail, simple rollback, and detection of drift caused by out-of-band changes.</w:t>
      </w:r>
    </w:p>
    <w:p>
      <w:pPr>
        <w:pStyle w:val="Compact"/>
        <w:numPr>
          <w:ilvl w:val="0"/>
          <w:numId w:val="1036"/>
        </w:numPr>
      </w:pPr>
      <w:r>
        <w:rPr>
          <w:b/>
          <w:bCs/>
        </w:rPr>
        <w:t xml:space="preserve">Service mesh for mTLS and traffic policy.</w:t>
      </w:r>
      <w:r>
        <w:t xml:space="preserve"> </w:t>
      </w:r>
      <w:r>
        <w:t xml:space="preserve">A service mesh (Istio, Linkerd, AWS App Mesh, or GCP Anthos Service Mesh) SHOULD wrap intra-cluster traffic with mTLS, expose uniform metrics, and provide canary / blue-green traffic-splitting primitives. Per the Microsoft Learn AKS Baseline architecture guidance, service meshes provide a uniform substrate for east-west security and observability.</w:t>
      </w:r>
    </w:p>
    <w:p>
      <w:pPr>
        <w:pStyle w:val="Compact"/>
        <w:numPr>
          <w:ilvl w:val="0"/>
          <w:numId w:val="1036"/>
        </w:numPr>
      </w:pPr>
      <w:r>
        <w:rPr>
          <w:b/>
          <w:bCs/>
        </w:rPr>
        <w:t xml:space="preserve">Dedicated system node pool.</w:t>
      </w:r>
      <w:r>
        <w:t xml:space="preserve"> </w:t>
      </w:r>
      <w:r>
        <w:t xml:space="preserve">Cluster-system pods (CoreDNS, CSI drivers, ingress controller, observability agents) SHOULD run on a dedicated system node pool with taints that user workloads do not tolerate. Per the AKS Baseline reference architecture, this prevents a noisy or compromised user pod from impacting system services.</w:t>
      </w:r>
    </w:p>
    <w:p>
      <w:pPr>
        <w:pStyle w:val="Compact"/>
        <w:numPr>
          <w:ilvl w:val="0"/>
          <w:numId w:val="1036"/>
        </w:numPr>
      </w:pPr>
      <w:r>
        <w:rPr>
          <w:b/>
          <w:bCs/>
        </w:rPr>
        <w:t xml:space="preserve">Pod Disruption Budgets for tier-1 services.</w:t>
      </w:r>
      <w:r>
        <w:t xml:space="preserve"> </w:t>
      </w:r>
      <w:r>
        <w:t xml:space="preserve">Tier-1 services SHOULD declare PodDisruptionBudgets so that voluntary disruptions (node upgrades, autoscaling) cannot reduce capacity below the SLO threshold. Per the Kubernetes documentation on PDBs, this is the canonical way to combine availability with frequent rolling upgrades.</w:t>
      </w:r>
    </w:p>
    <w:p>
      <w:pPr>
        <w:pStyle w:val="Compact"/>
        <w:numPr>
          <w:ilvl w:val="0"/>
          <w:numId w:val="1036"/>
        </w:numPr>
      </w:pPr>
      <w:r>
        <w:rPr>
          <w:b/>
          <w:bCs/>
        </w:rPr>
        <w:t xml:space="preserve">Cluster autoscaler with conservative lower bound.</w:t>
      </w:r>
      <w:r>
        <w:t xml:space="preserve"> </w:t>
      </w:r>
      <w:r>
        <w:t xml:space="preserve">Production node pools SHOULD have a conservative minimum (never zero) and an aggressive maximum, so that cold-start storms can be absorbed without falling below the SLO. The lower bound SHALL be sized for the resting tier-1 footprint plus one standard-deviation surge.</w:t>
      </w:r>
    </w:p>
    <w:bookmarkEnd w:id="66"/>
    <w:bookmarkStart w:id="67" w:name="anti-patterns-prohibited-5"/>
    <w:p>
      <w:pPr>
        <w:pStyle w:val="Heading3"/>
      </w:pPr>
      <w:r>
        <w:t xml:space="preserve">Anti-Patterns (Prohibited)</w:t>
      </w:r>
    </w:p>
    <w:p>
      <w:pPr>
        <w:pStyle w:val="Compact"/>
        <w:numPr>
          <w:ilvl w:val="0"/>
          <w:numId w:val="1037"/>
        </w:numPr>
      </w:pPr>
      <w:r>
        <w:rPr>
          <w:b/>
          <w:bCs/>
        </w:rPr>
        <w:t xml:space="preserve">MUST NOT</w:t>
      </w:r>
      <w:r>
        <w:t xml:space="preserve"> </w:t>
      </w:r>
      <w:r>
        <w:t xml:space="preserve">mount the Docker socket or container-runtime socket into a pod. Doing so grants the pod the equivalent of node root and defeats every other isolation control. Build systems that need to build images SHALL use rootless tools (kaniko, BuildKit rootless) rather than docker-in-docker via a mounted socket.</w:t>
      </w:r>
    </w:p>
    <w:p>
      <w:pPr>
        <w:pStyle w:val="Compact"/>
        <w:numPr>
          <w:ilvl w:val="0"/>
          <w:numId w:val="1037"/>
        </w:numPr>
      </w:pPr>
      <w:r>
        <w:rPr>
          <w:b/>
          <w:bCs/>
        </w:rPr>
        <w:t xml:space="preserve">MUST NOT</w:t>
      </w:r>
      <w:r>
        <w:t xml:space="preserve"> </w:t>
      </w:r>
      <w:r>
        <w:t xml:space="preserve">disable Pod Security Standards on production namespaces. The</w:t>
      </w:r>
      <w:r>
        <w:t xml:space="preserve"> </w:t>
      </w:r>
      <w:r>
        <w:rPr>
          <w:rStyle w:val="VerbatimChar"/>
        </w:rPr>
        <w:t xml:space="preserve">privileged</w:t>
      </w:r>
      <w:r>
        <w:t xml:space="preserve"> </w:t>
      </w:r>
      <w:r>
        <w:t xml:space="preserve">profile is permitted only in administratively quarantined namespaces with additional compensating controls.</w:t>
      </w:r>
    </w:p>
    <w:p>
      <w:pPr>
        <w:pStyle w:val="Compact"/>
        <w:numPr>
          <w:ilvl w:val="0"/>
          <w:numId w:val="1037"/>
        </w:numPr>
      </w:pPr>
      <w:r>
        <w:rPr>
          <w:b/>
          <w:bCs/>
        </w:rPr>
        <w:t xml:space="preserve">SHALL NOT</w:t>
      </w:r>
      <w:r>
        <w:t xml:space="preserve"> </w:t>
      </w:r>
      <w:r>
        <w:t xml:space="preserve">grant</w:t>
      </w:r>
      <w:r>
        <w:t xml:space="preserve"> </w:t>
      </w:r>
      <w:r>
        <w:rPr>
          <w:rStyle w:val="VerbatimChar"/>
        </w:rPr>
        <w:t xml:space="preserve">cluster-admin</w:t>
      </w:r>
      <w:r>
        <w:t xml:space="preserve"> </w:t>
      </w:r>
      <w:r>
        <w:t xml:space="preserve">to an application’s ServiceAccount. Application ServiceAccounts SHALL have only the specific permissions the application requires, scoped to the application’s namespace where possible.</w:t>
      </w:r>
    </w:p>
    <w:p>
      <w:pPr>
        <w:pStyle w:val="Compact"/>
        <w:numPr>
          <w:ilvl w:val="0"/>
          <w:numId w:val="1037"/>
        </w:numPr>
      </w:pPr>
      <w:r>
        <w:rPr>
          <w:b/>
          <w:bCs/>
        </w:rPr>
        <w:t xml:space="preserve">MUST NOT</w:t>
      </w:r>
      <w:r>
        <w:t xml:space="preserve"> </w:t>
      </w:r>
      <w:r>
        <w:t xml:space="preserve">store production secrets in plaintext</w:t>
      </w:r>
      <w:r>
        <w:t xml:space="preserve"> </w:t>
      </w:r>
      <w:r>
        <w:rPr>
          <w:rStyle w:val="VerbatimChar"/>
        </w:rPr>
        <w:t xml:space="preserve">ConfigMap</w:t>
      </w:r>
      <w:r>
        <w:t xml:space="preserve"> </w:t>
      </w:r>
      <w:r>
        <w:t xml:space="preserve">resources, nor in</w:t>
      </w:r>
      <w:r>
        <w:t xml:space="preserve"> </w:t>
      </w:r>
      <w:r>
        <w:rPr>
          <w:rStyle w:val="VerbatimChar"/>
        </w:rPr>
        <w:t xml:space="preserve">Secret</w:t>
      </w:r>
      <w:r>
        <w:t xml:space="preserve"> </w:t>
      </w:r>
      <w:r>
        <w:t xml:space="preserve">resources unencrypted at rest. EncryptionConfiguration SHALL be configured on the API server, and the CSI driver pattern SHALL be preferred for vault-sourced secrets.</w:t>
      </w:r>
    </w:p>
    <w:p>
      <w:pPr>
        <w:pStyle w:val="Compact"/>
        <w:numPr>
          <w:ilvl w:val="0"/>
          <w:numId w:val="1037"/>
        </w:numPr>
      </w:pPr>
      <w:r>
        <w:rPr>
          <w:b/>
          <w:bCs/>
        </w:rPr>
        <w:t xml:space="preserve">SHALL NOT</w:t>
      </w:r>
      <w:r>
        <w:t xml:space="preserve"> </w:t>
      </w:r>
      <w:r>
        <w:t xml:space="preserve">rely on namespace isolation alone for tenancy boundaries between mutually distrusting workloads. Namespaces are a soft boundary; for hard isolation, use separate clusters or VM-isolated runtimes (gVisor, Kata Containers).</w:t>
      </w:r>
    </w:p>
    <w:p>
      <w:pPr>
        <w:pStyle w:val="Compact"/>
        <w:numPr>
          <w:ilvl w:val="0"/>
          <w:numId w:val="1037"/>
        </w:numPr>
      </w:pPr>
      <w:r>
        <w:rPr>
          <w:b/>
          <w:bCs/>
        </w:rPr>
        <w:t xml:space="preserve">MUST NOT</w:t>
      </w:r>
      <w:r>
        <w:t xml:space="preserve"> </w:t>
      </w:r>
      <w:r>
        <w:t xml:space="preserve">run</w:t>
      </w:r>
      <w:r>
        <w:t xml:space="preserve"> </w:t>
      </w:r>
      <w:r>
        <w:rPr>
          <w:rStyle w:val="VerbatimChar"/>
        </w:rPr>
        <w:t xml:space="preserve">kubectl</w:t>
      </w:r>
      <w:r>
        <w:t xml:space="preserve"> </w:t>
      </w:r>
      <w:r>
        <w:t xml:space="preserve">against production clusters from developer workstations using long-lived kubeconfig credentials. Cluster access SHALL flow through workload-identity-federated tooling or through a managed bastion (e.g., AWS SSM Session Manager).</w:t>
      </w:r>
    </w:p>
    <w:bookmarkEnd w:id="67"/>
    <w:bookmarkStart w:id="68" w:name="evidence-audit-5"/>
    <w:p>
      <w:pPr>
        <w:pStyle w:val="Heading3"/>
      </w:pPr>
      <w:r>
        <w:t xml:space="preserve">Evidence &amp; Audit</w:t>
      </w:r>
    </w:p>
    <w:p>
      <w:pPr>
        <w:pStyle w:val="Compact"/>
        <w:numPr>
          <w:ilvl w:val="0"/>
          <w:numId w:val="1038"/>
        </w:numPr>
      </w:pPr>
      <w:r>
        <w:t xml:space="preserve">Continuous policy-engine compliance report: number of admission denials per cluster per week, with trending; spikes SHALL be investigated.</w:t>
      </w:r>
    </w:p>
    <w:p>
      <w:pPr>
        <w:pStyle w:val="Compact"/>
        <w:numPr>
          <w:ilvl w:val="0"/>
          <w:numId w:val="1038"/>
        </w:numPr>
      </w:pPr>
      <w:r>
        <w:t xml:space="preserve">Daily check that Pod Security Standard</w:t>
      </w:r>
      <w:r>
        <w:t xml:space="preserve"> </w:t>
      </w:r>
      <w:r>
        <w:rPr>
          <w:rStyle w:val="VerbatimChar"/>
        </w:rPr>
        <w:t xml:space="preserve">restricted</w:t>
      </w:r>
      <w:r>
        <w:t xml:space="preserve"> </w:t>
      </w:r>
      <w:r>
        <w:t xml:space="preserve">is enforced on every production namespace; deviations SHALL alert.</w:t>
      </w:r>
    </w:p>
    <w:p>
      <w:pPr>
        <w:pStyle w:val="Compact"/>
        <w:numPr>
          <w:ilvl w:val="0"/>
          <w:numId w:val="1038"/>
        </w:numPr>
      </w:pPr>
      <w:r>
        <w:t xml:space="preserve">Weekly inventory of cluster RBAC: who has</w:t>
      </w:r>
      <w:r>
        <w:t xml:space="preserve"> </w:t>
      </w:r>
      <w:r>
        <w:rPr>
          <w:rStyle w:val="VerbatimChar"/>
        </w:rPr>
        <w:t xml:space="preserve">cluster-admin</w:t>
      </w:r>
      <w:r>
        <w:t xml:space="preserve">, who has</w:t>
      </w:r>
      <w:r>
        <w:t xml:space="preserve"> </w:t>
      </w:r>
      <w:r>
        <w:rPr>
          <w:rStyle w:val="VerbatimChar"/>
        </w:rPr>
        <w:t xml:space="preserve">edit</w:t>
      </w:r>
      <w:r>
        <w:t xml:space="preserve"> </w:t>
      </w:r>
      <w:r>
        <w:t xml:space="preserve">on sensitive namespaces.</w:t>
      </w:r>
    </w:p>
    <w:p>
      <w:pPr>
        <w:pStyle w:val="Compact"/>
        <w:numPr>
          <w:ilvl w:val="0"/>
          <w:numId w:val="1038"/>
        </w:numPr>
      </w:pPr>
      <w:r>
        <w:t xml:space="preserve">Continuous runtime-defense alerting forwarded to SOC; high-severity findings SHALL page on-call within fifteen (15) minutes.</w:t>
      </w:r>
    </w:p>
    <w:p>
      <w:pPr>
        <w:pStyle w:val="Compact"/>
        <w:numPr>
          <w:ilvl w:val="0"/>
          <w:numId w:val="1038"/>
        </w:numPr>
      </w:pPr>
      <w:r>
        <w:t xml:space="preserve">Quarterly tabletop exercise simulating cluster compromise.</w:t>
      </w:r>
    </w:p>
    <w:p>
      <w:pPr>
        <w:pStyle w:val="Compact"/>
        <w:numPr>
          <w:ilvl w:val="0"/>
          <w:numId w:val="1038"/>
        </w:numPr>
      </w:pPr>
      <w:r>
        <w:t xml:space="preserve">Annual penetration test scoped specifically to Kubernetes attack scenarios (token theft, pod escape, supply-chain injection).</w:t>
      </w:r>
    </w:p>
    <w:p>
      <w:pPr>
        <w:pStyle w:val="Compact"/>
        <w:numPr>
          <w:ilvl w:val="0"/>
          <w:numId w:val="1038"/>
        </w:numPr>
      </w:pPr>
      <w:r>
        <w:t xml:space="preserve">Node-OS-image age report; nodes running images older than the configured upgrade cadence SHALL be flagged.</w:t>
      </w:r>
    </w:p>
    <w:bookmarkEnd w:id="68"/>
    <w:bookmarkStart w:id="69" w:name="exceptions-5"/>
    <w:p>
      <w:pPr>
        <w:pStyle w:val="Heading3"/>
      </w:pPr>
      <w:r>
        <w:t xml:space="preserve">Exceptions</w:t>
      </w:r>
    </w:p>
    <w:p>
      <w:pPr>
        <w:pStyle w:val="FirstParagraph"/>
      </w:pPr>
      <w:r>
        <w:t xml:space="preserve">Workloads that cannot satisfy the</w:t>
      </w:r>
      <w:r>
        <w:t xml:space="preserve"> </w:t>
      </w:r>
      <w:r>
        <w:rPr>
          <w:rStyle w:val="VerbatimChar"/>
        </w:rPr>
        <w:t xml:space="preserve">restricted</w:t>
      </w:r>
      <w:r>
        <w:t xml:space="preserve"> </w:t>
      </w:r>
      <w:r>
        <w:t xml:space="preserve">Pod Security Standard (typically: legacy applications with mandatory privileged operations, or specialized workloads such as eBPF observability agents) SHALL be deployed in dedicated namespaces with the</w:t>
      </w:r>
      <w:r>
        <w:t xml:space="preserve"> </w:t>
      </w:r>
      <w:r>
        <w:rPr>
          <w:rStyle w:val="VerbatimChar"/>
        </w:rPr>
        <w:t xml:space="preserve">baseline</w:t>
      </w:r>
      <w:r>
        <w:t xml:space="preserve"> </w:t>
      </w:r>
      <w:r>
        <w:t xml:space="preserve">profile and SHALL document the gap.</w:t>
      </w:r>
      <w:r>
        <w:t xml:space="preserve"> </w:t>
      </w:r>
      <w:r>
        <w:rPr>
          <w:b/>
          <w:bCs/>
        </w:rPr>
        <w:t xml:space="preserve">Exceptions SHALL be time-boxed to 90 days and require ARB approval.</w:t>
      </w:r>
    </w:p>
    <w:bookmarkEnd w:id="69"/>
    <w:bookmarkStart w:id="70" w:name="references-5"/>
    <w:p>
      <w:pPr>
        <w:pStyle w:val="Heading3"/>
      </w:pPr>
      <w:r>
        <w:t xml:space="preserve">References</w:t>
      </w:r>
    </w:p>
    <w:p>
      <w:pPr>
        <w:pStyle w:val="Compact"/>
        <w:numPr>
          <w:ilvl w:val="0"/>
          <w:numId w:val="1039"/>
        </w:numPr>
      </w:pPr>
      <w:r>
        <w:t xml:space="preserve">Microsoft Learn — AKS Baseline reference architecture: https://learn.microsoft.com/en-us/azure/architecture/reference-architectures/containers/aks/baseline-aks</w:t>
      </w:r>
    </w:p>
    <w:p>
      <w:pPr>
        <w:pStyle w:val="Compact"/>
        <w:numPr>
          <w:ilvl w:val="0"/>
          <w:numId w:val="1039"/>
        </w:numPr>
      </w:pPr>
      <w:r>
        <w:t xml:space="preserve">Microsoft Learn — AKS security best practices: https://learn.microsoft.com/en-us/azure/aks/operator-best-practices-cluster-security</w:t>
      </w:r>
    </w:p>
    <w:p>
      <w:pPr>
        <w:pStyle w:val="Compact"/>
        <w:numPr>
          <w:ilvl w:val="0"/>
          <w:numId w:val="1039"/>
        </w:numPr>
      </w:pPr>
      <w:r>
        <w:t xml:space="preserve">Microsoft Learn — Azure Kubernetes Service workload identity: https://learn.microsoft.com/en-us/azure/aks/workload-identity-overview</w:t>
      </w:r>
    </w:p>
    <w:p>
      <w:pPr>
        <w:pStyle w:val="Compact"/>
        <w:numPr>
          <w:ilvl w:val="0"/>
          <w:numId w:val="1039"/>
        </w:numPr>
      </w:pPr>
      <w:r>
        <w:t xml:space="preserve">AWS — EKS Best Practices Guide: https://docs.aws.amazon.com/eks/latest/best-practices/</w:t>
      </w:r>
    </w:p>
    <w:p>
      <w:pPr>
        <w:pStyle w:val="Compact"/>
        <w:numPr>
          <w:ilvl w:val="0"/>
          <w:numId w:val="1039"/>
        </w:numPr>
      </w:pPr>
      <w:r>
        <w:t xml:space="preserve">AWS — IAM roles for service accounts (IRSA): https://docs.aws.amazon.com/eks/latest/userguide/iam-roles-for-service-accounts.html</w:t>
      </w:r>
    </w:p>
    <w:p>
      <w:pPr>
        <w:pStyle w:val="Compact"/>
        <w:numPr>
          <w:ilvl w:val="0"/>
          <w:numId w:val="1039"/>
        </w:numPr>
      </w:pPr>
      <w:r>
        <w:t xml:space="preserve">Google Cloud — GKE security overview: https://cloud.google.com/kubernetes-engine/docs/concepts/security-overview</w:t>
      </w:r>
    </w:p>
    <w:p>
      <w:pPr>
        <w:pStyle w:val="Compact"/>
        <w:numPr>
          <w:ilvl w:val="0"/>
          <w:numId w:val="1039"/>
        </w:numPr>
      </w:pPr>
      <w:r>
        <w:t xml:space="preserve">Google Cloud — Binary Authorization for GKE: https://cloud.google.com/binary-authorization/docs/overview</w:t>
      </w:r>
    </w:p>
    <w:p>
      <w:pPr>
        <w:pStyle w:val="Compact"/>
        <w:numPr>
          <w:ilvl w:val="0"/>
          <w:numId w:val="1039"/>
        </w:numPr>
      </w:pPr>
      <w:r>
        <w:t xml:space="preserve">Kubernetes — Pod Security Standards: https://kubernetes.io/docs/concepts/security/pod-security-standards/</w:t>
      </w:r>
    </w:p>
    <w:p>
      <w:pPr>
        <w:pStyle w:val="Compact"/>
        <w:numPr>
          <w:ilvl w:val="0"/>
          <w:numId w:val="1039"/>
        </w:numPr>
      </w:pPr>
      <w:r>
        <w:t xml:space="preserve">Kubernetes — NetworkPolicy: https://kubernetes.io/docs/concepts/services-networking/network-policies/</w:t>
      </w:r>
    </w:p>
    <w:p>
      <w:pPr>
        <w:pStyle w:val="Compact"/>
        <w:numPr>
          <w:ilvl w:val="0"/>
          <w:numId w:val="1039"/>
        </w:numPr>
      </w:pPr>
      <w:r>
        <w:t xml:space="preserve">CNCF — Kubernetes hardening guidance.</w:t>
      </w:r>
    </w:p>
    <w:p>
      <w:pPr>
        <w:pStyle w:val="Compact"/>
        <w:numPr>
          <w:ilvl w:val="0"/>
          <w:numId w:val="1039"/>
        </w:numPr>
      </w:pPr>
      <w:r>
        <w:t xml:space="preserve">NSA/CISA Kubernetes Hardening Guide.</w:t>
      </w:r>
    </w:p>
    <w:bookmarkEnd w:id="70"/>
    <w:bookmarkEnd w:id="71"/>
    <w:bookmarkStart w:id="80" w:name="chapter-7-compute-hosting-patterns"/>
    <w:p>
      <w:pPr>
        <w:pStyle w:val="Heading2"/>
      </w:pPr>
      <w:r>
        <w:t xml:space="preserve">Chapter 7 — Compute &amp; Hosting Patterns</w:t>
      </w:r>
    </w:p>
    <w:bookmarkStart w:id="72" w:name="intent-6"/>
    <w:p>
      <w:pPr>
        <w:pStyle w:val="Heading3"/>
      </w:pPr>
      <w:r>
        <w:t xml:space="preserve">Intent</w:t>
      </w:r>
    </w:p>
    <w:p>
      <w:pPr>
        <w:pStyle w:val="FirstParagraph"/>
      </w:pPr>
      <w:r>
        <w:t xml:space="preserve">The corporation’s cloud estate runs across multiple compute paradigms: Platform-as-a-Service web hosts (Azure App Service, AWS Elastic Beanstalk), serverless functions (Azure Functions, AWS Lambda, GCP Cloud Functions and Cloud Run), container hosting platforms (Azure Container Apps, AWS ECS / Fargate, GCP Cloud Run / GKE Autopilot), and managed Kubernetes (Chapter 6). This chapter governs how a workload selects among these paradigms, how it is configured for resilience and cost, and how it integrates with the rest of the corporate platform. The objective is to bias workloads toward managed services that reduce operational burden and toward configurations that meet the SLO with the smallest possible footprint.</w:t>
      </w:r>
    </w:p>
    <w:p>
      <w:pPr>
        <w:pStyle w:val="BodyText"/>
      </w:pPr>
      <w:r>
        <w:t xml:space="preserve">A second objective is consistency: regardless of the paradigm, every compute workload SHALL emit structured logs, expose health probes, propagate trace context, and operate behind the corporate edge layer. The compute paradigm is an implementation choice; the cross-cutting controls are not.</w:t>
      </w:r>
    </w:p>
    <w:bookmarkEnd w:id="72"/>
    <w:bookmarkStart w:id="73" w:name="scope-7"/>
    <w:p>
      <w:pPr>
        <w:pStyle w:val="Heading3"/>
      </w:pPr>
      <w:r>
        <w:t xml:space="preserve">Scope</w:t>
      </w:r>
    </w:p>
    <w:p>
      <w:pPr>
        <w:pStyle w:val="Compact"/>
        <w:numPr>
          <w:ilvl w:val="0"/>
          <w:numId w:val="1040"/>
        </w:numPr>
      </w:pPr>
      <w:r>
        <w:t xml:space="preserve">Every compute resource that hosts corporate application code: PaaS web hosts, serverless function platforms, container hosting platforms, managed Kubernetes, and any legacy virtual machines that have not yet been retired.</w:t>
      </w:r>
    </w:p>
    <w:p>
      <w:pPr>
        <w:pStyle w:val="Compact"/>
        <w:numPr>
          <w:ilvl w:val="0"/>
          <w:numId w:val="1040"/>
        </w:numPr>
      </w:pPr>
      <w:r>
        <w:t xml:space="preserve">The selection criteria for the paradigm.</w:t>
      </w:r>
    </w:p>
    <w:p>
      <w:pPr>
        <w:pStyle w:val="Compact"/>
        <w:numPr>
          <w:ilvl w:val="0"/>
          <w:numId w:val="1040"/>
        </w:numPr>
      </w:pPr>
      <w:r>
        <w:t xml:space="preserve">The configuration of the compute resource: scaling, regional placement, identity, networking.</w:t>
      </w:r>
    </w:p>
    <w:bookmarkEnd w:id="73"/>
    <w:bookmarkStart w:id="74" w:name="mandatory-controls-6"/>
    <w:p>
      <w:pPr>
        <w:pStyle w:val="Heading3"/>
      </w:pPr>
      <w:r>
        <w:t xml:space="preserve">Mandatory Controls</w:t>
      </w:r>
    </w:p>
    <w:p>
      <w:pPr>
        <w:pStyle w:val="Compact"/>
        <w:numPr>
          <w:ilvl w:val="0"/>
          <w:numId w:val="1041"/>
        </w:numPr>
      </w:pPr>
      <w:r>
        <w:t xml:space="preserve">New workloads SHALL be evaluated against the managed-first principle: prefer PaaS / serverless / managed-container hosting before reaching for virtual machines or self-managed Kubernetes. The selection rationale SHALL be recorded in the architecture decision record.</w:t>
      </w:r>
    </w:p>
    <w:p>
      <w:pPr>
        <w:pStyle w:val="Compact"/>
        <w:numPr>
          <w:ilvl w:val="0"/>
          <w:numId w:val="1041"/>
        </w:numPr>
      </w:pPr>
      <w:r>
        <w:t xml:space="preserve">Workloads SHALL be regionally pinned to the closest region permitted by the Data Residency Standard (Chapter 18); for multi-region workloads, the primary and secondary regions SHALL be in the same residency boundary.</w:t>
      </w:r>
    </w:p>
    <w:p>
      <w:pPr>
        <w:pStyle w:val="Compact"/>
        <w:numPr>
          <w:ilvl w:val="0"/>
          <w:numId w:val="1041"/>
        </w:numPr>
      </w:pPr>
      <w:r>
        <w:t xml:space="preserve">Compute resources SHALL be deployed via Infrastructure-as-Code (Chapter 15); console-created compute is prohibited in production.</w:t>
      </w:r>
    </w:p>
    <w:p>
      <w:pPr>
        <w:pStyle w:val="Compact"/>
        <w:numPr>
          <w:ilvl w:val="0"/>
          <w:numId w:val="1041"/>
        </w:numPr>
      </w:pPr>
      <w:r>
        <w:t xml:space="preserve">Compute resources SHALL authenticate to cloud services via workload / managed identity (Chapter 1); static credentials in app settings or function configuration are prohibited.</w:t>
      </w:r>
    </w:p>
    <w:p>
      <w:pPr>
        <w:pStyle w:val="Compact"/>
        <w:numPr>
          <w:ilvl w:val="0"/>
          <w:numId w:val="1041"/>
        </w:numPr>
      </w:pPr>
      <w:r>
        <w:t xml:space="preserve">Every compute resource SHALL be configured to log to the central log sink (Chapter 9) at the platform level, not only via application code.</w:t>
      </w:r>
    </w:p>
    <w:p>
      <w:pPr>
        <w:pStyle w:val="Compact"/>
        <w:numPr>
          <w:ilvl w:val="0"/>
          <w:numId w:val="1041"/>
        </w:numPr>
      </w:pPr>
      <w:r>
        <w:t xml:space="preserve">Auto-scaling SHALL be configured for every production compute resource that supports it. Minimum-instance counts SHALL be set such that a single instance’s failure does not breach the SLO.</w:t>
      </w:r>
    </w:p>
    <w:p>
      <w:pPr>
        <w:pStyle w:val="Compact"/>
        <w:numPr>
          <w:ilvl w:val="0"/>
          <w:numId w:val="1041"/>
        </w:numPr>
      </w:pPr>
      <w:r>
        <w:t xml:space="preserve">Cold-start sensitivity SHALL be evaluated for every serverless workload; tier-1 endpoints with a latency SLO of less than five hundred (500) milliseconds at p99 SHALL use provisioned concurrency, premium plans, or always-on instances.</w:t>
      </w:r>
    </w:p>
    <w:p>
      <w:pPr>
        <w:pStyle w:val="Compact"/>
        <w:numPr>
          <w:ilvl w:val="0"/>
          <w:numId w:val="1041"/>
        </w:numPr>
      </w:pPr>
      <w:r>
        <w:t xml:space="preserve">Compute resources SHALL terminate gracefully: a stop signal SHALL trigger draining of in-flight work within a configured timeout no greater than the platform’s shutdown grace period.</w:t>
      </w:r>
    </w:p>
    <w:p>
      <w:pPr>
        <w:pStyle w:val="Compact"/>
        <w:numPr>
          <w:ilvl w:val="0"/>
          <w:numId w:val="1041"/>
        </w:numPr>
      </w:pPr>
      <w:r>
        <w:t xml:space="preserve">Outbound traffic from compute SHALL traverse the corporate egress path (Chapter 2); compute resources SHALL NOT have direct, unfiltered internet egress.</w:t>
      </w:r>
    </w:p>
    <w:p>
      <w:pPr>
        <w:pStyle w:val="Compact"/>
        <w:numPr>
          <w:ilvl w:val="0"/>
          <w:numId w:val="1041"/>
        </w:numPr>
      </w:pPr>
      <w:r>
        <w:t xml:space="preserve">Public-internet-reachable compute endpoints SHALL be exposed only through the corporate edge layer (Chapter 2), never via the platform’s native public endpoint.</w:t>
      </w:r>
    </w:p>
    <w:p>
      <w:pPr>
        <w:pStyle w:val="Compact"/>
        <w:numPr>
          <w:ilvl w:val="0"/>
          <w:numId w:val="1041"/>
        </w:numPr>
      </w:pPr>
      <w:r>
        <w:t xml:space="preserve">Compute resources SHALL be tagged with the application identifier, the cost center, the owner team, the environment, and the data classification (Chapter 17 and Chapter 18).</w:t>
      </w:r>
    </w:p>
    <w:p>
      <w:pPr>
        <w:pStyle w:val="Compact"/>
        <w:numPr>
          <w:ilvl w:val="0"/>
          <w:numId w:val="1041"/>
        </w:numPr>
      </w:pPr>
      <w:r>
        <w:t xml:space="preserve">Operating-system images for VMs SHALL be hardened images derived from the corporate golden image catalog; raw marketplace images are prohibited for production VMs.</w:t>
      </w:r>
    </w:p>
    <w:p>
      <w:pPr>
        <w:pStyle w:val="Compact"/>
        <w:numPr>
          <w:ilvl w:val="0"/>
          <w:numId w:val="1041"/>
        </w:numPr>
      </w:pPr>
      <w:r>
        <w:t xml:space="preserve">VM workloads SHALL use the platform’s update orchestration (Azure Update Manager, AWS Systems Manager Patch Manager, GCP OS Config) to apply security updates within fourteen (14) days for critical CVEs.</w:t>
      </w:r>
    </w:p>
    <w:p>
      <w:pPr>
        <w:pStyle w:val="Compact"/>
        <w:numPr>
          <w:ilvl w:val="0"/>
          <w:numId w:val="1041"/>
        </w:numPr>
      </w:pPr>
      <w:r>
        <w:t xml:space="preserve">Compute scaling configuration SHALL specify both lower and upper bounds; unbounded auto-scaling is prohibited because it weaponizes a misbehaving caller into a financial denial-of-service.</w:t>
      </w:r>
    </w:p>
    <w:p>
      <w:pPr>
        <w:pStyle w:val="Compact"/>
        <w:numPr>
          <w:ilvl w:val="0"/>
          <w:numId w:val="1041"/>
        </w:numPr>
      </w:pPr>
      <w:r>
        <w:t xml:space="preserve">Sandbox / experimentation compute SHALL be tagged accordingly and SHALL be subject to a default seven-day automatic teardown unless explicitly excluded.</w:t>
      </w:r>
    </w:p>
    <w:bookmarkEnd w:id="74"/>
    <w:bookmarkStart w:id="75" w:name="patterns-recommended-6"/>
    <w:p>
      <w:pPr>
        <w:pStyle w:val="Heading3"/>
      </w:pPr>
      <w:r>
        <w:t xml:space="preserve">Patterns (Recommended)</w:t>
      </w:r>
    </w:p>
    <w:p>
      <w:pPr>
        <w:pStyle w:val="Compact"/>
        <w:numPr>
          <w:ilvl w:val="0"/>
          <w:numId w:val="1042"/>
        </w:numPr>
      </w:pPr>
      <w:r>
        <w:rPr>
          <w:b/>
          <w:bCs/>
        </w:rPr>
        <w:t xml:space="preserve">Container Apps for stateless HTTP and event-driven workloads.</w:t>
      </w:r>
      <w:r>
        <w:t xml:space="preserve"> </w:t>
      </w:r>
      <w:r>
        <w:t xml:space="preserve">Azure Container Apps, AWS App Runner, and GCP Cloud Run SHOULD be the default choice for stateless HTTP services that do not require Kubernetes-level control. Per the Microsoft Learn comparison of Azure container options, Container Apps provides the operational simplicity of serverless with the flexibility of containers, including built-in KEDA-based event scaling.</w:t>
      </w:r>
    </w:p>
    <w:p>
      <w:pPr>
        <w:pStyle w:val="Compact"/>
        <w:numPr>
          <w:ilvl w:val="0"/>
          <w:numId w:val="1042"/>
        </w:numPr>
      </w:pPr>
      <w:r>
        <w:rPr>
          <w:b/>
          <w:bCs/>
        </w:rPr>
        <w:t xml:space="preserve">Lambda / Functions for glue and event handlers.</w:t>
      </w:r>
      <w:r>
        <w:t xml:space="preserve"> </w:t>
      </w:r>
      <w:r>
        <w:t xml:space="preserve">Short-lived event handlers — S3 object created, Event Grid topic message, Pub/Sub message — SHOULD use the cloud’s function platform with a provisioned-concurrency floor for latency-sensitive paths. Per the AWS Well-Architected Serverless Lens, function platforms minimize idle cost for spiky workloads.</w:t>
      </w:r>
    </w:p>
    <w:p>
      <w:pPr>
        <w:pStyle w:val="Compact"/>
        <w:numPr>
          <w:ilvl w:val="0"/>
          <w:numId w:val="1042"/>
        </w:numPr>
      </w:pPr>
      <w:r>
        <w:rPr>
          <w:b/>
          <w:bCs/>
        </w:rPr>
        <w:t xml:space="preserve">App Service Premium with VNet integration for legacy web apps.</w:t>
      </w:r>
      <w:r>
        <w:t xml:space="preserve"> </w:t>
      </w:r>
      <w:r>
        <w:t xml:space="preserve">Web applications migrating from on-premises SHOULD land on App Service Premium V3 with regional VNet integration, allowing the same operational model as the legacy environment while delivering the corporate edge controls.</w:t>
      </w:r>
    </w:p>
    <w:p>
      <w:pPr>
        <w:pStyle w:val="Compact"/>
        <w:numPr>
          <w:ilvl w:val="0"/>
          <w:numId w:val="1042"/>
        </w:numPr>
      </w:pPr>
      <w:r>
        <w:rPr>
          <w:b/>
          <w:bCs/>
        </w:rPr>
        <w:t xml:space="preserve">Autopilot / Fargate for hands-off Kubernetes.</w:t>
      </w:r>
      <w:r>
        <w:t xml:space="preserve"> </w:t>
      </w:r>
      <w:r>
        <w:t xml:space="preserve">Workloads that need Kubernetes semantics but not node control SHOULD choose GKE Autopilot or EKS Fargate. Per Google Cloud’s GKE documentation, Autopilot enforces a stricter pod-security profile out of the box and reduces operational burden materially.</w:t>
      </w:r>
    </w:p>
    <w:p>
      <w:pPr>
        <w:pStyle w:val="Compact"/>
        <w:numPr>
          <w:ilvl w:val="0"/>
          <w:numId w:val="1042"/>
        </w:numPr>
      </w:pPr>
      <w:r>
        <w:rPr>
          <w:b/>
          <w:bCs/>
        </w:rPr>
        <w:t xml:space="preserve">VMs only for licensed COTS and specialized workloads.</w:t>
      </w:r>
      <w:r>
        <w:t xml:space="preserve"> </w:t>
      </w:r>
      <w:r>
        <w:t xml:space="preserve">Virtual machines SHOULD be reserved for commercial-off-the-shelf software that cannot be containerized, for specialized workloads (HPC, graphics rendering, license-bound databases), and for legacy systems undergoing modernization.</w:t>
      </w:r>
    </w:p>
    <w:p>
      <w:pPr>
        <w:pStyle w:val="Compact"/>
        <w:numPr>
          <w:ilvl w:val="0"/>
          <w:numId w:val="1042"/>
        </w:numPr>
      </w:pPr>
      <w:r>
        <w:rPr>
          <w:b/>
          <w:bCs/>
        </w:rPr>
        <w:t xml:space="preserve">Active-active multi-region for tier-1 web.</w:t>
      </w:r>
      <w:r>
        <w:t xml:space="preserve"> </w:t>
      </w:r>
      <w:r>
        <w:t xml:space="preserve">Tier-1 customer-facing web workloads SHOULD be deployed active-active across two regions in the same residency boundary, with global load balancing at the edge and stateful data replicated per Chapter 8.</w:t>
      </w:r>
    </w:p>
    <w:bookmarkEnd w:id="75"/>
    <w:bookmarkStart w:id="76" w:name="anti-patterns-prohibited-6"/>
    <w:p>
      <w:pPr>
        <w:pStyle w:val="Heading3"/>
      </w:pPr>
      <w:r>
        <w:t xml:space="preserve">Anti-Patterns (Prohibited)</w:t>
      </w:r>
    </w:p>
    <w:p>
      <w:pPr>
        <w:pStyle w:val="Compact"/>
        <w:numPr>
          <w:ilvl w:val="0"/>
          <w:numId w:val="1043"/>
        </w:numPr>
      </w:pPr>
      <w:r>
        <w:rPr>
          <w:b/>
          <w:bCs/>
        </w:rPr>
        <w:t xml:space="preserve">MUST NOT</w:t>
      </w:r>
      <w:r>
        <w:t xml:space="preserve"> </w:t>
      </w:r>
      <w:r>
        <w:t xml:space="preserve">deploy workloads to a</w:t>
      </w:r>
      <w:r>
        <w:t xml:space="preserve"> </w:t>
      </w:r>
      <w:r>
        <w:t xml:space="preserve">“Classic”</w:t>
      </w:r>
      <w:r>
        <w:t xml:space="preserve"> </w:t>
      </w:r>
      <w:r>
        <w:t xml:space="preserve">/ V1 platform that is in long-term maintenance (e.g., Azure Cloud Services classic, AWS Elastic Beanstalk Windows legacy platforms). Workloads on deprecated platforms SHALL migrate prior to platform end-of-support.</w:t>
      </w:r>
    </w:p>
    <w:p>
      <w:pPr>
        <w:pStyle w:val="Compact"/>
        <w:numPr>
          <w:ilvl w:val="0"/>
          <w:numId w:val="1043"/>
        </w:numPr>
      </w:pPr>
      <w:r>
        <w:rPr>
          <w:b/>
          <w:bCs/>
        </w:rPr>
        <w:t xml:space="preserve">SHALL NOT</w:t>
      </w:r>
      <w:r>
        <w:t xml:space="preserve"> </w:t>
      </w:r>
      <w:r>
        <w:t xml:space="preserve">disable platform-managed identity or platform-managed networking</w:t>
      </w:r>
      <w:r>
        <w:t xml:space="preserve"> </w:t>
      </w:r>
      <w:r>
        <w:t xml:space="preserve">“to simplify”</w:t>
      </w:r>
      <w:r>
        <w:t xml:space="preserve">. The simplification is illusory — manual configuration of these primitives is more error-prone than the managed equivalent.</w:t>
      </w:r>
    </w:p>
    <w:p>
      <w:pPr>
        <w:pStyle w:val="Compact"/>
        <w:numPr>
          <w:ilvl w:val="0"/>
          <w:numId w:val="1043"/>
        </w:numPr>
      </w:pPr>
      <w:r>
        <w:rPr>
          <w:b/>
          <w:bCs/>
        </w:rPr>
        <w:t xml:space="preserve">MUST NOT</w:t>
      </w:r>
      <w:r>
        <w:t xml:space="preserve"> </w:t>
      </w:r>
      <w:r>
        <w:t xml:space="preserve">configure unbounded auto-scaling on production workloads. A misbehaving caller SHALL NOT be able to scale a workload to unbounded cost.</w:t>
      </w:r>
    </w:p>
    <w:p>
      <w:pPr>
        <w:pStyle w:val="Compact"/>
        <w:numPr>
          <w:ilvl w:val="0"/>
          <w:numId w:val="1043"/>
        </w:numPr>
      </w:pPr>
      <w:r>
        <w:rPr>
          <w:b/>
          <w:bCs/>
        </w:rPr>
        <w:t xml:space="preserve">SHALL NOT</w:t>
      </w:r>
      <w:r>
        <w:t xml:space="preserve"> </w:t>
      </w:r>
      <w:r>
        <w:t xml:space="preserve">ship secrets in App Service application settings, Lambda environment variables, Container App secrets, or Cloud Run environment variables as the durable storage of those secrets; secrets SHALL be sourced from the corporate vault per Chapter 3, even when the platform offers an</w:t>
      </w:r>
      <w:r>
        <w:t xml:space="preserve"> </w:t>
      </w:r>
      <w:r>
        <w:t xml:space="preserve">“encrypted env var”</w:t>
      </w:r>
      <w:r>
        <w:t xml:space="preserve"> </w:t>
      </w:r>
      <w:r>
        <w:t xml:space="preserve">feature.</w:t>
      </w:r>
    </w:p>
    <w:p>
      <w:pPr>
        <w:pStyle w:val="Compact"/>
        <w:numPr>
          <w:ilvl w:val="0"/>
          <w:numId w:val="1043"/>
        </w:numPr>
      </w:pPr>
      <w:r>
        <w:rPr>
          <w:b/>
          <w:bCs/>
        </w:rPr>
        <w:t xml:space="preserve">MUST NOT</w:t>
      </w:r>
      <w:r>
        <w:t xml:space="preserve"> </w:t>
      </w:r>
      <w:r>
        <w:t xml:space="preserve">use a single compute resource to host multiple unrelated applications. Compute boundaries SHALL match application boundaries so that a compromise or failure of one application does not impair another.</w:t>
      </w:r>
    </w:p>
    <w:p>
      <w:pPr>
        <w:pStyle w:val="Compact"/>
        <w:numPr>
          <w:ilvl w:val="0"/>
          <w:numId w:val="1043"/>
        </w:numPr>
      </w:pPr>
      <w:r>
        <w:rPr>
          <w:b/>
          <w:bCs/>
        </w:rPr>
        <w:t xml:space="preserve">SHALL NOT</w:t>
      </w:r>
      <w:r>
        <w:t xml:space="preserve"> </w:t>
      </w:r>
      <w:r>
        <w:t xml:space="preserve">rely on default platform retry behavior to mask downstream instability. Retries are governed by Chapter 13 and SHALL be configured deliberately.</w:t>
      </w:r>
    </w:p>
    <w:bookmarkEnd w:id="76"/>
    <w:bookmarkStart w:id="77" w:name="evidence-audit-6"/>
    <w:p>
      <w:pPr>
        <w:pStyle w:val="Heading3"/>
      </w:pPr>
      <w:r>
        <w:t xml:space="preserve">Evidence &amp; Audit</w:t>
      </w:r>
    </w:p>
    <w:p>
      <w:pPr>
        <w:pStyle w:val="Compact"/>
        <w:numPr>
          <w:ilvl w:val="0"/>
          <w:numId w:val="1044"/>
        </w:numPr>
      </w:pPr>
      <w:r>
        <w:t xml:space="preserve">Quarterly review of compute selections against the managed-first principle; new VM-hosted workloads SHALL require ARB sign-off.</w:t>
      </w:r>
    </w:p>
    <w:p>
      <w:pPr>
        <w:pStyle w:val="Compact"/>
        <w:numPr>
          <w:ilvl w:val="0"/>
          <w:numId w:val="1044"/>
        </w:numPr>
      </w:pPr>
      <w:r>
        <w:t xml:space="preserve">Continuous tagging compliance report; resources missing required tags SHALL be remediated within ten (10) business days.</w:t>
      </w:r>
    </w:p>
    <w:p>
      <w:pPr>
        <w:pStyle w:val="Compact"/>
        <w:numPr>
          <w:ilvl w:val="0"/>
          <w:numId w:val="1044"/>
        </w:numPr>
      </w:pPr>
      <w:r>
        <w:t xml:space="preserve">Continuous monitoring of public-IP attachment to compute (cross-references Chapter 2); detections SHALL alert.</w:t>
      </w:r>
    </w:p>
    <w:p>
      <w:pPr>
        <w:pStyle w:val="Compact"/>
        <w:numPr>
          <w:ilvl w:val="0"/>
          <w:numId w:val="1044"/>
        </w:numPr>
      </w:pPr>
      <w:r>
        <w:t xml:space="preserve">Quarterly cost-vs-utilization report from FinOps (Chapter 17); chronically over-provisioned compute SHALL be right-sized.</w:t>
      </w:r>
    </w:p>
    <w:p>
      <w:pPr>
        <w:pStyle w:val="Compact"/>
        <w:numPr>
          <w:ilvl w:val="0"/>
          <w:numId w:val="1044"/>
        </w:numPr>
      </w:pPr>
      <w:r>
        <w:t xml:space="preserve">Annual review of cold-start performance for tier-1 serverless endpoints; SLO breaches SHALL drive plan upgrades or provisioned-concurrency increases.</w:t>
      </w:r>
    </w:p>
    <w:p>
      <w:pPr>
        <w:pStyle w:val="Compact"/>
        <w:numPr>
          <w:ilvl w:val="0"/>
          <w:numId w:val="1044"/>
        </w:numPr>
      </w:pPr>
      <w:r>
        <w:t xml:space="preserve">Quarterly drill of regional failover for tier-1 workloads.</w:t>
      </w:r>
    </w:p>
    <w:bookmarkEnd w:id="77"/>
    <w:bookmarkStart w:id="78" w:name="exceptions-6"/>
    <w:p>
      <w:pPr>
        <w:pStyle w:val="Heading3"/>
      </w:pPr>
      <w:r>
        <w:t xml:space="preserve">Exceptions</w:t>
      </w:r>
    </w:p>
    <w:p>
      <w:pPr>
        <w:pStyle w:val="FirstParagraph"/>
      </w:pPr>
      <w:r>
        <w:t xml:space="preserve">Where a workload requires a deprecated platform or violates the managed-first principle for sound technical or commercial reasons, the team SHALL document the rationale, the planned migration path, and the compensating controls.</w:t>
      </w:r>
      <w:r>
        <w:t xml:space="preserve"> </w:t>
      </w:r>
      <w:r>
        <w:rPr>
          <w:b/>
          <w:bCs/>
        </w:rPr>
        <w:t xml:space="preserve">Exceptions SHALL be time-boxed to 90 days and require ARB approval.</w:t>
      </w:r>
    </w:p>
    <w:bookmarkEnd w:id="78"/>
    <w:bookmarkStart w:id="79" w:name="references-6"/>
    <w:p>
      <w:pPr>
        <w:pStyle w:val="Heading3"/>
      </w:pPr>
      <w:r>
        <w:t xml:space="preserve">References</w:t>
      </w:r>
    </w:p>
    <w:p>
      <w:pPr>
        <w:pStyle w:val="Compact"/>
        <w:numPr>
          <w:ilvl w:val="0"/>
          <w:numId w:val="1045"/>
        </w:numPr>
      </w:pPr>
      <w:r>
        <w:t xml:space="preserve">Microsoft Learn — Choose an Azure compute service: https://learn.microsoft.com/en-us/azure/architecture/guide/technology-choices/compute-decision-tree</w:t>
      </w:r>
    </w:p>
    <w:p>
      <w:pPr>
        <w:pStyle w:val="Compact"/>
        <w:numPr>
          <w:ilvl w:val="0"/>
          <w:numId w:val="1045"/>
        </w:numPr>
      </w:pPr>
      <w:r>
        <w:t xml:space="preserve">Microsoft Learn — Compare container options in Azure: https://learn.microsoft.com/en-us/azure/container-apps/compare-options</w:t>
      </w:r>
    </w:p>
    <w:p>
      <w:pPr>
        <w:pStyle w:val="Compact"/>
        <w:numPr>
          <w:ilvl w:val="0"/>
          <w:numId w:val="1045"/>
        </w:numPr>
      </w:pPr>
      <w:r>
        <w:t xml:space="preserve">Microsoft Learn — Azure Functions hosting options: https://learn.microsoft.com/en-us/azure/azure-functions/functions-scale</w:t>
      </w:r>
    </w:p>
    <w:p>
      <w:pPr>
        <w:pStyle w:val="Compact"/>
        <w:numPr>
          <w:ilvl w:val="0"/>
          <w:numId w:val="1045"/>
        </w:numPr>
      </w:pPr>
      <w:r>
        <w:t xml:space="preserve">AWS Well-Architected — Serverless Application Lens: https://docs.aws.amazon.com/wellarchitected/latest/serverless-applications-lens/</w:t>
      </w:r>
    </w:p>
    <w:p>
      <w:pPr>
        <w:pStyle w:val="Compact"/>
        <w:numPr>
          <w:ilvl w:val="0"/>
          <w:numId w:val="1045"/>
        </w:numPr>
      </w:pPr>
      <w:r>
        <w:t xml:space="preserve">AWS — Choosing the right compute service: https://aws.amazon.com/getting-started/decision-guides/compute-decision-guide/</w:t>
      </w:r>
    </w:p>
    <w:p>
      <w:pPr>
        <w:pStyle w:val="Compact"/>
        <w:numPr>
          <w:ilvl w:val="0"/>
          <w:numId w:val="1045"/>
        </w:numPr>
      </w:pPr>
      <w:r>
        <w:t xml:space="preserve">AWS Fargate user guide: https://docs.aws.amazon.com/AmazonECS/latest/developerguide/AWS_Fargate.html</w:t>
      </w:r>
    </w:p>
    <w:p>
      <w:pPr>
        <w:pStyle w:val="Compact"/>
        <w:numPr>
          <w:ilvl w:val="0"/>
          <w:numId w:val="1045"/>
        </w:numPr>
      </w:pPr>
      <w:r>
        <w:t xml:space="preserve">Google Cloud — Choose between Cloud Run, GKE, and Compute Engine: https://cloud.google.com/serverless-options</w:t>
      </w:r>
    </w:p>
    <w:p>
      <w:pPr>
        <w:pStyle w:val="Compact"/>
        <w:numPr>
          <w:ilvl w:val="0"/>
          <w:numId w:val="1045"/>
        </w:numPr>
      </w:pPr>
      <w:r>
        <w:t xml:space="preserve">Google Cloud — GKE Autopilot overview: https://cloud.google.com/kubernetes-engine/docs/concepts/autopilot-overview</w:t>
      </w:r>
    </w:p>
    <w:p>
      <w:pPr>
        <w:pStyle w:val="Compact"/>
        <w:numPr>
          <w:ilvl w:val="0"/>
          <w:numId w:val="1045"/>
        </w:numPr>
      </w:pPr>
      <w:r>
        <w:t xml:space="preserve">NIST SP 800-190 — Application Container Security Guide.</w:t>
      </w:r>
    </w:p>
    <w:bookmarkEnd w:id="79"/>
    <w:bookmarkEnd w:id="80"/>
    <w:bookmarkStart w:id="89" w:name="chapter-8-storage-databases"/>
    <w:p>
      <w:pPr>
        <w:pStyle w:val="Heading2"/>
      </w:pPr>
      <w:r>
        <w:t xml:space="preserve">Chapter 8 — Storage &amp; Databases</w:t>
      </w:r>
    </w:p>
    <w:bookmarkStart w:id="81" w:name="intent-7"/>
    <w:p>
      <w:pPr>
        <w:pStyle w:val="Heading3"/>
      </w:pPr>
      <w:r>
        <w:t xml:space="preserve">Intent</w:t>
      </w:r>
    </w:p>
    <w:p>
      <w:pPr>
        <w:pStyle w:val="FirstParagraph"/>
      </w:pPr>
      <w:r>
        <w:t xml:space="preserve">Storage and databases are where the corporation’s data ultimately resides. This chapter governs how relational, NoSQL, document, key-value, object, file, and analytical stores are selected, deployed, secured, backed up, and accessed across Azure, AWS, and GCP. The objective is to bias workloads toward managed database services that meet operational and security requirements out of the box, to ensure that every database is reachable only over private networks, and to ensure that backup and point-in-time recovery are configured to meet the workload’s RTO and RPO.</w:t>
      </w:r>
    </w:p>
    <w:p>
      <w:pPr>
        <w:pStyle w:val="BodyText"/>
      </w:pPr>
      <w:r>
        <w:t xml:space="preserve">The chapter restates the corporate prohibition on public database endpoints. Databases are the single asset class for which an exposed endpoint most consistently translates into a confirmed breach. There are no acceptable rationales for exposing a production database to the public internet.</w:t>
      </w:r>
    </w:p>
    <w:bookmarkEnd w:id="81"/>
    <w:bookmarkStart w:id="82" w:name="scope-8"/>
    <w:p>
      <w:pPr>
        <w:pStyle w:val="Heading3"/>
      </w:pPr>
      <w:r>
        <w:t xml:space="preserve">Scope</w:t>
      </w:r>
    </w:p>
    <w:p>
      <w:pPr>
        <w:pStyle w:val="Compact"/>
        <w:numPr>
          <w:ilvl w:val="0"/>
          <w:numId w:val="1046"/>
        </w:numPr>
      </w:pPr>
      <w:r>
        <w:t xml:space="preserve">All managed database services: Azure SQL, Azure Cosmos DB, Azure Database for PostgreSQL Flexible Server, Azure Database for MySQL Flexible Server, AWS RDS (all engines), Aurora, DynamoDB, AWS Redshift, GCP Cloud SQL, Spanner, Bigtable, Firestore, BigQuery.</w:t>
      </w:r>
    </w:p>
    <w:p>
      <w:pPr>
        <w:pStyle w:val="Compact"/>
        <w:numPr>
          <w:ilvl w:val="0"/>
          <w:numId w:val="1046"/>
        </w:numPr>
      </w:pPr>
      <w:r>
        <w:t xml:space="preserve">All object storage and file storage: Azure Storage (Blob / File / Table / Queue), AWS S3 / EFS / FSx, GCP Cloud Storage / Filestore.</w:t>
      </w:r>
    </w:p>
    <w:p>
      <w:pPr>
        <w:pStyle w:val="Compact"/>
        <w:numPr>
          <w:ilvl w:val="0"/>
          <w:numId w:val="1046"/>
        </w:numPr>
      </w:pPr>
      <w:r>
        <w:t xml:space="preserve">All caches and message stores: Azure Cache for Redis, ElastiCache, Memorystore, Azure Service Bus, Amazon SQS / SNS, Google Pub/Sub.</w:t>
      </w:r>
    </w:p>
    <w:p>
      <w:pPr>
        <w:pStyle w:val="Compact"/>
        <w:numPr>
          <w:ilvl w:val="0"/>
          <w:numId w:val="1046"/>
        </w:numPr>
      </w:pPr>
      <w:r>
        <w:t xml:space="preserve">All self-hosted databases that have not yet migrated to a managed service.</w:t>
      </w:r>
    </w:p>
    <w:bookmarkEnd w:id="82"/>
    <w:bookmarkStart w:id="83" w:name="mandatory-controls-7"/>
    <w:p>
      <w:pPr>
        <w:pStyle w:val="Heading3"/>
      </w:pPr>
      <w:r>
        <w:t xml:space="preserve">Mandatory Controls</w:t>
      </w:r>
    </w:p>
    <w:p>
      <w:pPr>
        <w:pStyle w:val="Compact"/>
        <w:numPr>
          <w:ilvl w:val="0"/>
          <w:numId w:val="1047"/>
        </w:numPr>
      </w:pPr>
      <w:r>
        <w:t xml:space="preserve">The corporation SHALL prefer managed database services over self-hosted equivalents. New self-hosted databases SHALL require ARB approval and SHALL document the technical reason for the choice.</w:t>
      </w:r>
    </w:p>
    <w:p>
      <w:pPr>
        <w:pStyle w:val="Compact"/>
        <w:numPr>
          <w:ilvl w:val="0"/>
          <w:numId w:val="1047"/>
        </w:numPr>
      </w:pPr>
      <w:r>
        <w:t xml:space="preserve">Databases SHALL NOT have public network endpoints. Public access SHALL be disabled at the resource level and enforced at the organization-policy level (Azure Policy, AWS Config / SCP, GCP Org Policy).</w:t>
      </w:r>
    </w:p>
    <w:p>
      <w:pPr>
        <w:pStyle w:val="Compact"/>
        <w:numPr>
          <w:ilvl w:val="0"/>
          <w:numId w:val="1047"/>
        </w:numPr>
      </w:pPr>
      <w:r>
        <w:t xml:space="preserve">Databases SHALL be reachable only via Private Endpoint / VPC interface endpoint / Private Service Connect from the consuming workload’s VNet/VPC.</w:t>
      </w:r>
    </w:p>
    <w:p>
      <w:pPr>
        <w:pStyle w:val="Compact"/>
        <w:numPr>
          <w:ilvl w:val="0"/>
          <w:numId w:val="1047"/>
        </w:numPr>
      </w:pPr>
      <w:r>
        <w:t xml:space="preserve">Database authentication SHALL use workload identity / managed identity where supported (Entra authentication for Azure SQL and Cosmos, IAM database authentication for RDS and Aurora, IAM authentication for Cloud SQL). Where workload identity is not supported, the password SHALL live in the corporate vault and SHALL rotate at the cadence in Chapter 3.</w:t>
      </w:r>
    </w:p>
    <w:p>
      <w:pPr>
        <w:pStyle w:val="Compact"/>
        <w:numPr>
          <w:ilvl w:val="0"/>
          <w:numId w:val="1047"/>
        </w:numPr>
      </w:pPr>
      <w:r>
        <w:t xml:space="preserve">Encryption at rest SHALL use a customer-managed key (CMK) for any database holding Internal, Confidential, or Restricted data (Chapter 4 and Chapter 18).</w:t>
      </w:r>
    </w:p>
    <w:p>
      <w:pPr>
        <w:pStyle w:val="Compact"/>
        <w:numPr>
          <w:ilvl w:val="0"/>
          <w:numId w:val="1047"/>
        </w:numPr>
      </w:pPr>
      <w:r>
        <w:t xml:space="preserve">Encryption in transit SHALL be enforced; non-TLS connections to a database SHALL be rejected at the server level.</w:t>
      </w:r>
    </w:p>
    <w:p>
      <w:pPr>
        <w:pStyle w:val="Compact"/>
        <w:numPr>
          <w:ilvl w:val="0"/>
          <w:numId w:val="1047"/>
        </w:numPr>
      </w:pPr>
      <w:r>
        <w:t xml:space="preserve">Point-in-time recovery SHALL be enabled with a retention window appropriate to the workload’s RPO; the minimum retention is seven (7) days for any production database.</w:t>
      </w:r>
    </w:p>
    <w:p>
      <w:pPr>
        <w:pStyle w:val="Compact"/>
        <w:numPr>
          <w:ilvl w:val="0"/>
          <w:numId w:val="1047"/>
        </w:numPr>
      </w:pPr>
      <w:r>
        <w:t xml:space="preserve">Backups SHALL be replicated to a different region within the same residency boundary; cross-region backup replication SHALL be encrypted with a separate key per Chapter 4.</w:t>
      </w:r>
    </w:p>
    <w:p>
      <w:pPr>
        <w:pStyle w:val="Compact"/>
        <w:numPr>
          <w:ilvl w:val="0"/>
          <w:numId w:val="1047"/>
        </w:numPr>
      </w:pPr>
      <w:r>
        <w:t xml:space="preserve">Restore tests SHALL be performed at least quarterly for tier-1 databases and at least semi-annually for tier-2.</w:t>
      </w:r>
    </w:p>
    <w:p>
      <w:pPr>
        <w:pStyle w:val="Compact"/>
        <w:numPr>
          <w:ilvl w:val="0"/>
          <w:numId w:val="1047"/>
        </w:numPr>
      </w:pPr>
      <w:r>
        <w:t xml:space="preserve">Production databases SHALL have read replicas configured where read scaling is required; replication lag SHALL be monitored and SHALL alert when sustained beyond ten (10) seconds.</w:t>
      </w:r>
    </w:p>
    <w:p>
      <w:pPr>
        <w:pStyle w:val="Compact"/>
        <w:numPr>
          <w:ilvl w:val="0"/>
          <w:numId w:val="1047"/>
        </w:numPr>
      </w:pPr>
      <w:r>
        <w:t xml:space="preserve">Object-storage buckets / blob containers SHALL deny anonymous access at the account and bucket level; public-read configuration is prohibited for Internal-or-higher data.</w:t>
      </w:r>
    </w:p>
    <w:p>
      <w:pPr>
        <w:pStyle w:val="Compact"/>
        <w:numPr>
          <w:ilvl w:val="0"/>
          <w:numId w:val="1047"/>
        </w:numPr>
      </w:pPr>
      <w:r>
        <w:t xml:space="preserve">Object-storage versioning and immutability (object lock, blob immutability policy, GCS retention policy) SHALL be enabled for storage holding regulated records.</w:t>
      </w:r>
    </w:p>
    <w:p>
      <w:pPr>
        <w:pStyle w:val="Compact"/>
        <w:numPr>
          <w:ilvl w:val="0"/>
          <w:numId w:val="1047"/>
        </w:numPr>
      </w:pPr>
      <w:r>
        <w:t xml:space="preserve">Database administrative actions (schema changes, index creation, table truncation, role grants) SHALL be performed via change-managed scripts run by the pipeline, not by interactive sessions in production.</w:t>
      </w:r>
    </w:p>
    <w:p>
      <w:pPr>
        <w:pStyle w:val="Compact"/>
        <w:numPr>
          <w:ilvl w:val="0"/>
          <w:numId w:val="1047"/>
        </w:numPr>
      </w:pPr>
      <w:r>
        <w:t xml:space="preserve">Database connection-string parameters SHALL specify TLS, the canonical FQDN, and a maximum-connections clamp; connection pooling SHALL be used to prevent connection-storm failures.</w:t>
      </w:r>
    </w:p>
    <w:p>
      <w:pPr>
        <w:pStyle w:val="Compact"/>
        <w:numPr>
          <w:ilvl w:val="0"/>
          <w:numId w:val="1047"/>
        </w:numPr>
      </w:pPr>
      <w:r>
        <w:t xml:space="preserve">Database telemetry (slow queries, error rates, replication lag, connection counts) SHALL be exported to the central observability platform (Chapter 10).</w:t>
      </w:r>
    </w:p>
    <w:bookmarkEnd w:id="83"/>
    <w:bookmarkStart w:id="84" w:name="patterns-recommended-7"/>
    <w:p>
      <w:pPr>
        <w:pStyle w:val="Heading3"/>
      </w:pPr>
      <w:r>
        <w:t xml:space="preserve">Patterns (Recommended)</w:t>
      </w:r>
    </w:p>
    <w:p>
      <w:pPr>
        <w:pStyle w:val="Compact"/>
        <w:numPr>
          <w:ilvl w:val="0"/>
          <w:numId w:val="1048"/>
        </w:numPr>
      </w:pPr>
      <w:r>
        <w:rPr>
          <w:b/>
          <w:bCs/>
        </w:rPr>
        <w:t xml:space="preserve">Cosmos DB / DynamoDB / Spanner for globally distributed key-value and document workloads.</w:t>
      </w:r>
      <w:r>
        <w:t xml:space="preserve"> </w:t>
      </w:r>
      <w:r>
        <w:t xml:space="preserve">Workloads requiring multi-region, single-digit-millisecond reads SHOULD choose a globally distributed managed database. Per the Microsoft Learn Cosmos DB partitioning guidance, careful partition-key selection is the dominant predictor of long-term scalability and cost.</w:t>
      </w:r>
    </w:p>
    <w:p>
      <w:pPr>
        <w:pStyle w:val="Compact"/>
        <w:numPr>
          <w:ilvl w:val="0"/>
          <w:numId w:val="1048"/>
        </w:numPr>
      </w:pPr>
      <w:r>
        <w:rPr>
          <w:b/>
          <w:bCs/>
        </w:rPr>
        <w:t xml:space="preserve">PostgreSQL Flexible Server / Aurora PostgreSQL / Cloud SQL for relational OLTP.</w:t>
      </w:r>
      <w:r>
        <w:t xml:space="preserve"> </w:t>
      </w:r>
      <w:r>
        <w:t xml:space="preserve">New relational workloads SHOULD prefer the cloud’s managed PostgreSQL offering, which provides automatic minor-version patching, high-availability with synchronous standby, and CMK encryption.</w:t>
      </w:r>
    </w:p>
    <w:p>
      <w:pPr>
        <w:pStyle w:val="Compact"/>
        <w:numPr>
          <w:ilvl w:val="0"/>
          <w:numId w:val="1048"/>
        </w:numPr>
      </w:pPr>
      <w:r>
        <w:rPr>
          <w:b/>
          <w:bCs/>
        </w:rPr>
        <w:t xml:space="preserve">Read replicas for read-heavy workloads.</w:t>
      </w:r>
      <w:r>
        <w:t xml:space="preserve"> </w:t>
      </w:r>
      <w:r>
        <w:t xml:space="preserve">Reporting and analytics queries SHOULD run against read replicas, not the primary. Per the AWS Well-Architected Performance Efficiency pillar, this preserves write capacity on the primary and isolates analytical load.</w:t>
      </w:r>
    </w:p>
    <w:p>
      <w:pPr>
        <w:pStyle w:val="Compact"/>
        <w:numPr>
          <w:ilvl w:val="0"/>
          <w:numId w:val="1048"/>
        </w:numPr>
      </w:pPr>
      <w:r>
        <w:rPr>
          <w:b/>
          <w:bCs/>
        </w:rPr>
        <w:t xml:space="preserve">Object storage with lifecycle policies.</w:t>
      </w:r>
      <w:r>
        <w:t xml:space="preserve"> </w:t>
      </w:r>
      <w:r>
        <w:t xml:space="preserve">Long-term storage of unstructured data SHOULD use object storage with lifecycle policies that transition to cooler tiers and eventually to archive. Per the AWS S3 lifecycle documentation, cost savings of an order of magnitude are routine; per the corporate FinOps standard (Chapter 17), every bucket SHALL declare a lifecycle policy.</w:t>
      </w:r>
    </w:p>
    <w:p>
      <w:pPr>
        <w:pStyle w:val="Compact"/>
        <w:numPr>
          <w:ilvl w:val="0"/>
          <w:numId w:val="1048"/>
        </w:numPr>
      </w:pPr>
      <w:r>
        <w:rPr>
          <w:b/>
          <w:bCs/>
        </w:rPr>
        <w:t xml:space="preserve">Event-sourced or change-data-capture for downstream materialization.</w:t>
      </w:r>
      <w:r>
        <w:t xml:space="preserve"> </w:t>
      </w:r>
      <w:r>
        <w:t xml:space="preserve">Where multiple consumers need a view of the same data, the primary database SHOULD emit change events (Debezium, Azure SQL change feed, DynamoDB Streams, GCP Datastream) so that downstream stores are materialized asynchronously rather than queried synchronously.</w:t>
      </w:r>
    </w:p>
    <w:p>
      <w:pPr>
        <w:pStyle w:val="Compact"/>
        <w:numPr>
          <w:ilvl w:val="0"/>
          <w:numId w:val="1048"/>
        </w:numPr>
      </w:pPr>
      <w:r>
        <w:rPr>
          <w:b/>
          <w:bCs/>
        </w:rPr>
        <w:t xml:space="preserve">Idempotent writes through unique keys.</w:t>
      </w:r>
      <w:r>
        <w:t xml:space="preserve"> </w:t>
      </w:r>
      <w:r>
        <w:t xml:space="preserve">Producer services SHOULD include an idempotency key on every write so that retries do not duplicate records. Per the AWS Builders’ Library, idempotency is the single most useful property for ensuring correctness in the face of partial failures.</w:t>
      </w:r>
    </w:p>
    <w:bookmarkEnd w:id="84"/>
    <w:bookmarkStart w:id="85" w:name="anti-patterns-prohibited-7"/>
    <w:p>
      <w:pPr>
        <w:pStyle w:val="Heading3"/>
      </w:pPr>
      <w:r>
        <w:t xml:space="preserve">Anti-Patterns (Prohibited)</w:t>
      </w:r>
    </w:p>
    <w:p>
      <w:pPr>
        <w:pStyle w:val="Compact"/>
        <w:numPr>
          <w:ilvl w:val="0"/>
          <w:numId w:val="1049"/>
        </w:numPr>
      </w:pPr>
      <w:r>
        <w:rPr>
          <w:b/>
          <w:bCs/>
        </w:rPr>
        <w:t xml:space="preserve">MUST NOT</w:t>
      </w:r>
      <w:r>
        <w:t xml:space="preserve"> </w:t>
      </w:r>
      <w:r>
        <w:t xml:space="preserve">expose a database with a public endpoint, even briefly for migration. Migration traffic SHALL flow over the corporate private network or over a temporary private-link configuration.</w:t>
      </w:r>
    </w:p>
    <w:p>
      <w:pPr>
        <w:pStyle w:val="Compact"/>
        <w:numPr>
          <w:ilvl w:val="0"/>
          <w:numId w:val="1049"/>
        </w:numPr>
      </w:pPr>
      <w:r>
        <w:rPr>
          <w:b/>
          <w:bCs/>
        </w:rPr>
        <w:t xml:space="preserve">SHALL NOT</w:t>
      </w:r>
      <w:r>
        <w:t xml:space="preserve"> </w:t>
      </w:r>
      <w:r>
        <w:t xml:space="preserve">use a single database account as both the application’s runtime identity and the DBA’s administrative identity. Application identities SHALL have only the privileges they need (CRUD on the application’s schema, no DDL, no role management).</w:t>
      </w:r>
    </w:p>
    <w:p>
      <w:pPr>
        <w:pStyle w:val="Compact"/>
        <w:numPr>
          <w:ilvl w:val="0"/>
          <w:numId w:val="1049"/>
        </w:numPr>
      </w:pPr>
      <w:r>
        <w:rPr>
          <w:b/>
          <w:bCs/>
        </w:rPr>
        <w:t xml:space="preserve">MUST NOT</w:t>
      </w:r>
      <w:r>
        <w:t xml:space="preserve"> </w:t>
      </w:r>
      <w:r>
        <w:t xml:space="preserve">disable point-in-time recovery to save cost. PITR is the single most important safety net for an operator error or a malicious insider deletion.</w:t>
      </w:r>
    </w:p>
    <w:p>
      <w:pPr>
        <w:pStyle w:val="Compact"/>
        <w:numPr>
          <w:ilvl w:val="0"/>
          <w:numId w:val="1049"/>
        </w:numPr>
      </w:pPr>
      <w:r>
        <w:rPr>
          <w:b/>
          <w:bCs/>
        </w:rPr>
        <w:t xml:space="preserve">SHALL NOT</w:t>
      </w:r>
      <w:r>
        <w:t xml:space="preserve"> </w:t>
      </w:r>
      <w:r>
        <w:t xml:space="preserve">issue overly wide GRANTs (</w:t>
      </w:r>
      <w:r>
        <w:rPr>
          <w:rStyle w:val="VerbatimChar"/>
        </w:rPr>
        <w:t xml:space="preserve">GRANT ALL</w:t>
      </w:r>
      <w:r>
        <w:t xml:space="preserve">,</w:t>
      </w:r>
      <w:r>
        <w:t xml:space="preserve"> </w:t>
      </w:r>
      <w:r>
        <w:rPr>
          <w:rStyle w:val="VerbatimChar"/>
        </w:rPr>
        <w:t xml:space="preserve">GRANT SUPERUSER</w:t>
      </w:r>
      <w:r>
        <w:t xml:space="preserve">) to application identities. Grants SHALL be scoped to specific schemas, tables, and verbs.</w:t>
      </w:r>
    </w:p>
    <w:p>
      <w:pPr>
        <w:pStyle w:val="Compact"/>
        <w:numPr>
          <w:ilvl w:val="0"/>
          <w:numId w:val="1049"/>
        </w:numPr>
      </w:pPr>
      <w:r>
        <w:rPr>
          <w:b/>
          <w:bCs/>
        </w:rPr>
        <w:t xml:space="preserve">MUST NOT</w:t>
      </w:r>
      <w:r>
        <w:t xml:space="preserve"> </w:t>
      </w:r>
      <w:r>
        <w:t xml:space="preserve">check production query results into a code review attachment, a chat tool, or a screenshot. Production data SHALL stay in production unless de-identified per Chapter 18.</w:t>
      </w:r>
    </w:p>
    <w:p>
      <w:pPr>
        <w:pStyle w:val="Compact"/>
        <w:numPr>
          <w:ilvl w:val="0"/>
          <w:numId w:val="1049"/>
        </w:numPr>
      </w:pPr>
      <w:r>
        <w:rPr>
          <w:b/>
          <w:bCs/>
        </w:rPr>
        <w:t xml:space="preserve">SHALL NOT</w:t>
      </w:r>
      <w:r>
        <w:t xml:space="preserve"> </w:t>
      </w:r>
      <w:r>
        <w:t xml:space="preserve">rely on database-level row-level-security as the</w:t>
      </w:r>
      <w:r>
        <w:t xml:space="preserve"> </w:t>
      </w:r>
      <w:r>
        <w:rPr>
          <w:i/>
          <w:iCs/>
        </w:rPr>
        <w:t xml:space="preserve">only</w:t>
      </w:r>
      <w:r>
        <w:t xml:space="preserve"> </w:t>
      </w:r>
      <w:r>
        <w:t xml:space="preserve">tenancy boundary between mutually distrusting tenants in a multi-tenant SaaS workload; the corporate guidance for hard isolation between tenants is separate databases or separate schemas with separate credentials.</w:t>
      </w:r>
    </w:p>
    <w:bookmarkEnd w:id="85"/>
    <w:bookmarkStart w:id="86" w:name="evidence-audit-7"/>
    <w:p>
      <w:pPr>
        <w:pStyle w:val="Heading3"/>
      </w:pPr>
      <w:r>
        <w:t xml:space="preserve">Evidence &amp; Audit</w:t>
      </w:r>
    </w:p>
    <w:p>
      <w:pPr>
        <w:pStyle w:val="Compact"/>
        <w:numPr>
          <w:ilvl w:val="0"/>
          <w:numId w:val="1050"/>
        </w:numPr>
      </w:pPr>
      <w:r>
        <w:t xml:space="preserve">Daily compliance report on databases lacking private endpoints, CMK encryption, or TLS enforcement; non-compliant resources SHALL alert.</w:t>
      </w:r>
    </w:p>
    <w:p>
      <w:pPr>
        <w:pStyle w:val="Compact"/>
        <w:numPr>
          <w:ilvl w:val="0"/>
          <w:numId w:val="1050"/>
        </w:numPr>
      </w:pPr>
      <w:r>
        <w:t xml:space="preserve">Continuous monitoring of object-storage ACLs; any transition to public-read SHALL page the security operations center.</w:t>
      </w:r>
    </w:p>
    <w:p>
      <w:pPr>
        <w:pStyle w:val="Compact"/>
        <w:numPr>
          <w:ilvl w:val="0"/>
          <w:numId w:val="1050"/>
        </w:numPr>
      </w:pPr>
      <w:r>
        <w:t xml:space="preserve">Quarterly restore-test report; failed restores SHALL trigger an incident.</w:t>
      </w:r>
    </w:p>
    <w:p>
      <w:pPr>
        <w:pStyle w:val="Compact"/>
        <w:numPr>
          <w:ilvl w:val="0"/>
          <w:numId w:val="1050"/>
        </w:numPr>
      </w:pPr>
      <w:r>
        <w:t xml:space="preserve">Monthly review of high-cost storage assets against retention policy; objects past retention SHALL be purged or formally exempted.</w:t>
      </w:r>
    </w:p>
    <w:p>
      <w:pPr>
        <w:pStyle w:val="Compact"/>
        <w:numPr>
          <w:ilvl w:val="0"/>
          <w:numId w:val="1050"/>
        </w:numPr>
      </w:pPr>
      <w:r>
        <w:t xml:space="preserve">Continuous database query telemetry; queries returning unusually large result sets to unusual destinations SHALL be flagged as possible exfiltration indicators.</w:t>
      </w:r>
    </w:p>
    <w:p>
      <w:pPr>
        <w:pStyle w:val="Compact"/>
        <w:numPr>
          <w:ilvl w:val="0"/>
          <w:numId w:val="1050"/>
        </w:numPr>
      </w:pPr>
      <w:r>
        <w:t xml:space="preserve">Annual data-classification audit reconciling each database / bucket against the corporate data inventory.</w:t>
      </w:r>
    </w:p>
    <w:bookmarkEnd w:id="86"/>
    <w:bookmarkStart w:id="87" w:name="exceptions-7"/>
    <w:p>
      <w:pPr>
        <w:pStyle w:val="Heading3"/>
      </w:pPr>
      <w:r>
        <w:t xml:space="preserve">Exceptions</w:t>
      </w:r>
    </w:p>
    <w:p>
      <w:pPr>
        <w:pStyle w:val="FirstParagraph"/>
      </w:pPr>
      <w:r>
        <w:t xml:space="preserve">Workloads requiring an unmanaged database (for example, a sharded MongoDB cluster used by a research team) SHALL document the technical justification, the patching and backup process, and the security posture.</w:t>
      </w:r>
      <w:r>
        <w:t xml:space="preserve"> </w:t>
      </w:r>
      <w:r>
        <w:rPr>
          <w:b/>
          <w:bCs/>
        </w:rPr>
        <w:t xml:space="preserve">Exceptions SHALL be time-boxed to 90 days and require ARB approval.</w:t>
      </w:r>
    </w:p>
    <w:bookmarkEnd w:id="87"/>
    <w:bookmarkStart w:id="88" w:name="references-7"/>
    <w:p>
      <w:pPr>
        <w:pStyle w:val="Heading3"/>
      </w:pPr>
      <w:r>
        <w:t xml:space="preserve">References</w:t>
      </w:r>
    </w:p>
    <w:p>
      <w:pPr>
        <w:pStyle w:val="Compact"/>
        <w:numPr>
          <w:ilvl w:val="0"/>
          <w:numId w:val="1051"/>
        </w:numPr>
      </w:pPr>
      <w:r>
        <w:t xml:space="preserve">Microsoft Learn — Azure SQL Database security overview: https://learn.microsoft.com/en-us/azure/azure-sql/database/security-overview</w:t>
      </w:r>
    </w:p>
    <w:p>
      <w:pPr>
        <w:pStyle w:val="Compact"/>
        <w:numPr>
          <w:ilvl w:val="0"/>
          <w:numId w:val="1051"/>
        </w:numPr>
      </w:pPr>
      <w:r>
        <w:t xml:space="preserve">Microsoft Learn — Cosmos DB security: https://learn.microsoft.com/en-us/azure/cosmos-db/database-security</w:t>
      </w:r>
    </w:p>
    <w:p>
      <w:pPr>
        <w:pStyle w:val="Compact"/>
        <w:numPr>
          <w:ilvl w:val="0"/>
          <w:numId w:val="1051"/>
        </w:numPr>
      </w:pPr>
      <w:r>
        <w:t xml:space="preserve">Microsoft Learn — Azure Storage security guide: https://learn.microsoft.com/en-us/azure/storage/blobs/security-recommendations</w:t>
      </w:r>
    </w:p>
    <w:p>
      <w:pPr>
        <w:pStyle w:val="Compact"/>
        <w:numPr>
          <w:ilvl w:val="0"/>
          <w:numId w:val="1051"/>
        </w:numPr>
      </w:pPr>
      <w:r>
        <w:t xml:space="preserve">AWS Well-Architected — Reliability pillar (Backup and Recovery): https://docs.aws.amazon.com/wellarchitected/latest/reliability-pillar/welcome.html</w:t>
      </w:r>
    </w:p>
    <w:p>
      <w:pPr>
        <w:pStyle w:val="Compact"/>
        <w:numPr>
          <w:ilvl w:val="0"/>
          <w:numId w:val="1051"/>
        </w:numPr>
      </w:pPr>
      <w:r>
        <w:t xml:space="preserve">AWS RDS — Security in Amazon RDS: https://docs.aws.amazon.com/AmazonRDS/latest/UserGuide/UsingWithRDS.html</w:t>
      </w:r>
    </w:p>
    <w:p>
      <w:pPr>
        <w:pStyle w:val="Compact"/>
        <w:numPr>
          <w:ilvl w:val="0"/>
          <w:numId w:val="1051"/>
        </w:numPr>
      </w:pPr>
      <w:r>
        <w:t xml:space="preserve">AWS S3 — Security best practices: https://docs.aws.amazon.com/AmazonS3/latest/userguide/security-best-practices.html</w:t>
      </w:r>
    </w:p>
    <w:p>
      <w:pPr>
        <w:pStyle w:val="Compact"/>
        <w:numPr>
          <w:ilvl w:val="0"/>
          <w:numId w:val="1051"/>
        </w:numPr>
      </w:pPr>
      <w:r>
        <w:t xml:space="preserve">Google Cloud SQL — Best practices: https://cloud.google.com/sql/docs/postgres/best-practices</w:t>
      </w:r>
    </w:p>
    <w:p>
      <w:pPr>
        <w:pStyle w:val="Compact"/>
        <w:numPr>
          <w:ilvl w:val="0"/>
          <w:numId w:val="1051"/>
        </w:numPr>
      </w:pPr>
      <w:r>
        <w:t xml:space="preserve">Google Cloud Storage — Security overview: https://cloud.google.com/storage/docs/security</w:t>
      </w:r>
    </w:p>
    <w:p>
      <w:pPr>
        <w:pStyle w:val="Compact"/>
        <w:numPr>
          <w:ilvl w:val="0"/>
          <w:numId w:val="1051"/>
        </w:numPr>
      </w:pPr>
      <w:r>
        <w:t xml:space="preserve">AWS Builders’ Library — Making retries safe with idempotent APIs: https://aws.amazon.com/builders-library/making-retries-safe-with-idempotent-APIs/</w:t>
      </w:r>
    </w:p>
    <w:p>
      <w:pPr>
        <w:pStyle w:val="Compact"/>
        <w:numPr>
          <w:ilvl w:val="0"/>
          <w:numId w:val="1051"/>
        </w:numPr>
      </w:pPr>
      <w:r>
        <w:t xml:space="preserve">NIST SP 800-209 — Security Guidelines for Storage Infrastructure.</w:t>
      </w:r>
    </w:p>
    <w:bookmarkEnd w:id="88"/>
    <w:bookmarkEnd w:id="89"/>
    <w:bookmarkStart w:id="98" w:name="chapter-9-logging-audit-trail"/>
    <w:p>
      <w:pPr>
        <w:pStyle w:val="Heading2"/>
      </w:pPr>
      <w:r>
        <w:t xml:space="preserve">Chapter 9 — Logging &amp; Audit Trail</w:t>
      </w:r>
    </w:p>
    <w:bookmarkStart w:id="90" w:name="intent-8"/>
    <w:p>
      <w:pPr>
        <w:pStyle w:val="Heading3"/>
      </w:pPr>
      <w:r>
        <w:t xml:space="preserve">Intent</w:t>
      </w:r>
    </w:p>
    <w:p>
      <w:pPr>
        <w:pStyle w:val="FirstParagraph"/>
      </w:pPr>
      <w:r>
        <w:t xml:space="preserve">A workload’s logs are its only durable record of what happened. This chapter governs how the corporation generates, transports, stores, retains, and protects log data from cloud workloads on Azure, AWS, and GCP. The objective is twofold. First, to ensure that engineers and incident responders have the information they need to reconstruct events with high fidelity. Second, to ensure that the audit trail is immutable, complete, and admissible — that no privileged user can quietly erase evidence of their own actions, and that no application defect can silently drop security-relevant events.</w:t>
      </w:r>
    </w:p>
    <w:p>
      <w:pPr>
        <w:pStyle w:val="BodyText"/>
      </w:pPr>
      <w:r>
        <w:t xml:space="preserve">The chapter distinguishes two kinds of log data with different handling:</w:t>
      </w:r>
      <w:r>
        <w:t xml:space="preserve"> </w:t>
      </w:r>
      <w:r>
        <w:rPr>
          <w:b/>
          <w:bCs/>
        </w:rPr>
        <w:t xml:space="preserve">operational logs</w:t>
      </w:r>
      <w:r>
        <w:t xml:space="preserve">, generated by applications and used primarily by engineering teams, and</w:t>
      </w:r>
      <w:r>
        <w:t xml:space="preserve"> </w:t>
      </w:r>
      <w:r>
        <w:rPr>
          <w:b/>
          <w:bCs/>
        </w:rPr>
        <w:t xml:space="preserve">audit logs</w:t>
      </w:r>
      <w:r>
        <w:t xml:space="preserve">, generated by cloud control planes and identity systems and used primarily by security and compliance teams. Both flow to the central observability and SIEM platform; audit logs additionally land in an immutable archive.</w:t>
      </w:r>
    </w:p>
    <w:bookmarkEnd w:id="90"/>
    <w:bookmarkStart w:id="91" w:name="scope-9"/>
    <w:p>
      <w:pPr>
        <w:pStyle w:val="Heading3"/>
      </w:pPr>
      <w:r>
        <w:t xml:space="preserve">Scope</w:t>
      </w:r>
    </w:p>
    <w:p>
      <w:pPr>
        <w:pStyle w:val="Compact"/>
        <w:numPr>
          <w:ilvl w:val="0"/>
          <w:numId w:val="1052"/>
        </w:numPr>
      </w:pPr>
      <w:r>
        <w:t xml:space="preserve">All application-emitted logs in any environment.</w:t>
      </w:r>
    </w:p>
    <w:p>
      <w:pPr>
        <w:pStyle w:val="Compact"/>
        <w:numPr>
          <w:ilvl w:val="0"/>
          <w:numId w:val="1052"/>
        </w:numPr>
      </w:pPr>
      <w:r>
        <w:t xml:space="preserve">All cloud control-plane logs: Azure Activity Logs, AWS CloudTrail, GCP Cloud Audit Logs.</w:t>
      </w:r>
    </w:p>
    <w:p>
      <w:pPr>
        <w:pStyle w:val="Compact"/>
        <w:numPr>
          <w:ilvl w:val="0"/>
          <w:numId w:val="1052"/>
        </w:numPr>
      </w:pPr>
      <w:r>
        <w:t xml:space="preserve">All identity logs: Entra ID sign-in and audit logs, AWS IAM events, GCP IAM events.</w:t>
      </w:r>
    </w:p>
    <w:p>
      <w:pPr>
        <w:pStyle w:val="Compact"/>
        <w:numPr>
          <w:ilvl w:val="0"/>
          <w:numId w:val="1052"/>
        </w:numPr>
      </w:pPr>
      <w:r>
        <w:t xml:space="preserve">All network flow logs (which intersect with Chapter 2).</w:t>
      </w:r>
    </w:p>
    <w:p>
      <w:pPr>
        <w:pStyle w:val="Compact"/>
        <w:numPr>
          <w:ilvl w:val="0"/>
          <w:numId w:val="1052"/>
        </w:numPr>
      </w:pPr>
      <w:r>
        <w:t xml:space="preserve">All security-tool logs: WAF, firewall, DLP, EDR.</w:t>
      </w:r>
    </w:p>
    <w:bookmarkEnd w:id="91"/>
    <w:bookmarkStart w:id="92" w:name="mandatory-controls-8"/>
    <w:p>
      <w:pPr>
        <w:pStyle w:val="Heading3"/>
      </w:pPr>
      <w:r>
        <w:t xml:space="preserve">Mandatory Controls</w:t>
      </w:r>
    </w:p>
    <w:p>
      <w:pPr>
        <w:pStyle w:val="Compact"/>
        <w:numPr>
          <w:ilvl w:val="0"/>
          <w:numId w:val="1053"/>
        </w:numPr>
      </w:pPr>
      <w:r>
        <w:t xml:space="preserve">Every application SHALL emit structured logs in a single JSON object per line, with a fixed top-level schema (timestamp in UTC ISO-8601, severity, message, application name, correlation/trace id, span id, environment, host).</w:t>
      </w:r>
    </w:p>
    <w:p>
      <w:pPr>
        <w:pStyle w:val="Compact"/>
        <w:numPr>
          <w:ilvl w:val="0"/>
          <w:numId w:val="1053"/>
        </w:numPr>
      </w:pPr>
      <w:r>
        <w:t xml:space="preserve">Application logs SHALL NOT contain personal data, authentication credentials, full payment-card numbers, government identifiers, or any data classified Confidential or Restricted (Chapter 18). Where a field of that class is essential for diagnosis, the application SHALL log a hashed or tokenized representation.</w:t>
      </w:r>
    </w:p>
    <w:p>
      <w:pPr>
        <w:pStyle w:val="Compact"/>
        <w:numPr>
          <w:ilvl w:val="0"/>
          <w:numId w:val="1053"/>
        </w:numPr>
      </w:pPr>
      <w:r>
        <w:t xml:space="preserve">Logs SHALL include a correlation identifier propagated end-to-end through the request path; the corporate convention is the W3C</w:t>
      </w:r>
      <w:r>
        <w:t xml:space="preserve"> </w:t>
      </w:r>
      <w:r>
        <w:rPr>
          <w:rStyle w:val="VerbatimChar"/>
        </w:rPr>
        <w:t xml:space="preserve">traceparent</w:t>
      </w:r>
      <w:r>
        <w:t xml:space="preserve"> </w:t>
      </w:r>
      <w:r>
        <w:t xml:space="preserve">value (Chapter 11).</w:t>
      </w:r>
    </w:p>
    <w:p>
      <w:pPr>
        <w:pStyle w:val="Compact"/>
        <w:numPr>
          <w:ilvl w:val="0"/>
          <w:numId w:val="1053"/>
        </w:numPr>
      </w:pPr>
      <w:r>
        <w:t xml:space="preserve">Logs SHALL be transported to the central log sink (Azure Monitor / Log Analytics with Microsoft Sentinel for security, AWS CloudWatch Logs with forwarders to the central SIEM, GCP Cloud Logging with sinks to BigQuery and Chronicle/equivalent) within five (5) minutes of generation under normal conditions.</w:t>
      </w:r>
    </w:p>
    <w:p>
      <w:pPr>
        <w:pStyle w:val="Compact"/>
        <w:numPr>
          <w:ilvl w:val="0"/>
          <w:numId w:val="1053"/>
        </w:numPr>
      </w:pPr>
      <w:r>
        <w:t xml:space="preserve">Cloud control-plane logs (Activity Logs, CloudTrail, Cloud Audit Logs) SHALL be enabled on every subscription, account, and project with no exceptions. Multi-region trails SHALL be configured where the provider supports them.</w:t>
      </w:r>
    </w:p>
    <w:p>
      <w:pPr>
        <w:pStyle w:val="Compact"/>
        <w:numPr>
          <w:ilvl w:val="0"/>
          <w:numId w:val="1053"/>
        </w:numPr>
      </w:pPr>
      <w:r>
        <w:t xml:space="preserve">Control-plane logs SHALL be exported to a tamper-evident archive (Azure Storage with immutability policy + soft-delete + legal hold, AWS S3 with Object Lock in compliance mode and MFA-delete, GCP Cloud Storage with bucket lock) retained for a minimum of seven (7) years.</w:t>
      </w:r>
    </w:p>
    <w:p>
      <w:pPr>
        <w:pStyle w:val="Compact"/>
        <w:numPr>
          <w:ilvl w:val="0"/>
          <w:numId w:val="1053"/>
        </w:numPr>
      </w:pPr>
      <w:r>
        <w:t xml:space="preserve">The principals with permission to disable or modify logging configuration SHALL be limited to a tightly scoped administrative role; any change to logging configuration SHALL produce a SIEM alert.</w:t>
      </w:r>
    </w:p>
    <w:p>
      <w:pPr>
        <w:pStyle w:val="Compact"/>
        <w:numPr>
          <w:ilvl w:val="0"/>
          <w:numId w:val="1053"/>
        </w:numPr>
      </w:pPr>
      <w:r>
        <w:t xml:space="preserve">Log retention tiers SHALL be: hot (queryable, ninety days), warm (queryable on demand, twelve months), cold/archive (retrieval within twenty-four hours, seven years). Tier-1 audit logs SHALL be retained according to the cold tier at minimum.</w:t>
      </w:r>
    </w:p>
    <w:p>
      <w:pPr>
        <w:pStyle w:val="Compact"/>
        <w:numPr>
          <w:ilvl w:val="0"/>
          <w:numId w:val="1053"/>
        </w:numPr>
      </w:pPr>
      <w:r>
        <w:t xml:space="preserve">Logs SHALL be timestamped at the point of generation in UTC; clock drift in excess of one (1) second between log sources SHALL be remediated through corrected NTP / chrony configuration.</w:t>
      </w:r>
    </w:p>
    <w:p>
      <w:pPr>
        <w:pStyle w:val="Compact"/>
        <w:numPr>
          <w:ilvl w:val="0"/>
          <w:numId w:val="1053"/>
        </w:numPr>
      </w:pPr>
      <w:r>
        <w:t xml:space="preserve">The integrity of the audit-log archive SHALL be verified continuously through hash-chained sequence numbers or the provider’s native immutability features.</w:t>
      </w:r>
    </w:p>
    <w:p>
      <w:pPr>
        <w:pStyle w:val="Compact"/>
        <w:numPr>
          <w:ilvl w:val="0"/>
          <w:numId w:val="1053"/>
        </w:numPr>
      </w:pPr>
      <w:r>
        <w:t xml:space="preserve">Logs SHALL be accessible to authorized personnel only; privileged log access (e.g., reading another team’s logs) SHALL itself be audit-logged.</w:t>
      </w:r>
    </w:p>
    <w:p>
      <w:pPr>
        <w:pStyle w:val="Compact"/>
        <w:numPr>
          <w:ilvl w:val="0"/>
          <w:numId w:val="1053"/>
        </w:numPr>
      </w:pPr>
      <w:r>
        <w:t xml:space="preserve">Logging libraries SHALL NOT introduce material latency or unbounded queue growth in the calling application; logging configuration SHALL specify a non-blocking appender with a bounded buffer and a drop policy in the worst case.</w:t>
      </w:r>
    </w:p>
    <w:p>
      <w:pPr>
        <w:pStyle w:val="Compact"/>
        <w:numPr>
          <w:ilvl w:val="0"/>
          <w:numId w:val="1053"/>
        </w:numPr>
      </w:pPr>
      <w:r>
        <w:t xml:space="preserve">Logging SHALL fail safe: when the log sink is unreachable, the application SHALL continue to serve traffic and SHALL buffer logs locally for a configured period;</w:t>
      </w:r>
      <w:r>
        <w:t xml:space="preserve"> </w:t>
      </w:r>
      <w:r>
        <w:rPr>
          <w:i/>
          <w:iCs/>
        </w:rPr>
        <w:t xml:space="preserve">silent</w:t>
      </w:r>
      <w:r>
        <w:t xml:space="preserve"> </w:t>
      </w:r>
      <w:r>
        <w:t xml:space="preserve">loss of logs is prohibited and SHALL itself be logged as a high-severity event when detected.</w:t>
      </w:r>
    </w:p>
    <w:p>
      <w:pPr>
        <w:pStyle w:val="Compact"/>
        <w:numPr>
          <w:ilvl w:val="0"/>
          <w:numId w:val="1053"/>
        </w:numPr>
      </w:pPr>
      <w:r>
        <w:t xml:space="preserve">Privacy-relevant log events (consent changes, data subject rights requests, data exports) SHALL be classified and routed to the privacy data store per Chapter 18, separately from operational logs.</w:t>
      </w:r>
    </w:p>
    <w:p>
      <w:pPr>
        <w:pStyle w:val="Compact"/>
        <w:numPr>
          <w:ilvl w:val="0"/>
          <w:numId w:val="1053"/>
        </w:numPr>
      </w:pPr>
      <w:r>
        <w:t xml:space="preserve">Every log entry that reflects a</w:t>
      </w:r>
      <w:r>
        <w:t xml:space="preserve"> </w:t>
      </w:r>
      <w:r>
        <w:rPr>
          <w:i/>
          <w:iCs/>
        </w:rPr>
        <w:t xml:space="preserve">security-relevant</w:t>
      </w:r>
      <w:r>
        <w:t xml:space="preserve"> </w:t>
      </w:r>
      <w:r>
        <w:t xml:space="preserve">event (auth failure, authorization denial, suspicious request) SHALL include enough context to perform post-incident analysis without requiring round-trips to other systems.</w:t>
      </w:r>
    </w:p>
    <w:bookmarkEnd w:id="92"/>
    <w:bookmarkStart w:id="93" w:name="patterns-recommended-8"/>
    <w:p>
      <w:pPr>
        <w:pStyle w:val="Heading3"/>
      </w:pPr>
      <w:r>
        <w:t xml:space="preserve">Patterns (Recommended)</w:t>
      </w:r>
    </w:p>
    <w:p>
      <w:pPr>
        <w:pStyle w:val="Compact"/>
        <w:numPr>
          <w:ilvl w:val="0"/>
          <w:numId w:val="1054"/>
        </w:numPr>
      </w:pPr>
      <w:r>
        <w:rPr>
          <w:b/>
          <w:bCs/>
        </w:rPr>
        <w:t xml:space="preserve">Structured logging with semantic conventions.</w:t>
      </w:r>
      <w:r>
        <w:t xml:space="preserve"> </w:t>
      </w:r>
      <w:r>
        <w:t xml:space="preserve">Applications SHOULD adopt the OpenTelemetry log semantic conventions and emit attribute names that match those conventions (</w:t>
      </w:r>
      <w:r>
        <w:rPr>
          <w:rStyle w:val="VerbatimChar"/>
        </w:rPr>
        <w:t xml:space="preserve">service.name</w:t>
      </w:r>
      <w:r>
        <w:t xml:space="preserve">,</w:t>
      </w:r>
      <w:r>
        <w:t xml:space="preserve"> </w:t>
      </w:r>
      <w:r>
        <w:rPr>
          <w:rStyle w:val="VerbatimChar"/>
        </w:rPr>
        <w:t xml:space="preserve">service.version</w:t>
      </w:r>
      <w:r>
        <w:t xml:space="preserve">,</w:t>
      </w:r>
      <w:r>
        <w:t xml:space="preserve"> </w:t>
      </w:r>
      <w:r>
        <w:rPr>
          <w:rStyle w:val="VerbatimChar"/>
        </w:rPr>
        <w:t xml:space="preserve">cloud.region</w:t>
      </w:r>
      <w:r>
        <w:t xml:space="preserve">). Per the OpenTelemetry documentation, this enables cross-service correlation and reduces the cost of building dashboards across heterogeneous services.</w:t>
      </w:r>
    </w:p>
    <w:p>
      <w:pPr>
        <w:pStyle w:val="Compact"/>
        <w:numPr>
          <w:ilvl w:val="0"/>
          <w:numId w:val="1054"/>
        </w:numPr>
      </w:pPr>
      <w:r>
        <w:rPr>
          <w:b/>
          <w:bCs/>
        </w:rPr>
        <w:t xml:space="preserve">Sentinel / Defender / Chronicle as the security analytics layer.</w:t>
      </w:r>
      <w:r>
        <w:t xml:space="preserve"> </w:t>
      </w:r>
      <w:r>
        <w:t xml:space="preserve">Cloud-native SIEM offerings SHOULD be the first port of call for security analytics over cloud logs, with content packs (e.g., Sentinel solutions for AWS, for GCP, for Microsoft 365) installed and tuned. Per the Microsoft Learn Sentinel deployment guide, content packs accelerate baseline coverage of common attacker techniques.</w:t>
      </w:r>
    </w:p>
    <w:p>
      <w:pPr>
        <w:pStyle w:val="Compact"/>
        <w:numPr>
          <w:ilvl w:val="0"/>
          <w:numId w:val="1054"/>
        </w:numPr>
      </w:pPr>
      <w:r>
        <w:rPr>
          <w:b/>
          <w:bCs/>
        </w:rPr>
        <w:t xml:space="preserve">Log enrichment at ingest.</w:t>
      </w:r>
      <w:r>
        <w:t xml:space="preserve"> </w:t>
      </w:r>
      <w:r>
        <w:t xml:space="preserve">Logs SHOULD be enriched at ingest with workload identity, application tags, and threat-intel context, so that downstream queries do not need to join against many lookup tables. Per the AWS guidance on operational excellence, enrichment at ingest is the difference between actionable detections and analyst toil.</w:t>
      </w:r>
    </w:p>
    <w:p>
      <w:pPr>
        <w:pStyle w:val="Compact"/>
        <w:numPr>
          <w:ilvl w:val="0"/>
          <w:numId w:val="1054"/>
        </w:numPr>
      </w:pPr>
      <w:r>
        <w:rPr>
          <w:b/>
          <w:bCs/>
        </w:rPr>
        <w:t xml:space="preserve">Per-correlation-id pivoting.</w:t>
      </w:r>
      <w:r>
        <w:t xml:space="preserve"> </w:t>
      </w:r>
      <w:r>
        <w:t xml:space="preserve">Operational dashboards and security investigations SHOULD pivot on the W3C trace-id rather than on hostname or container name, because the trace-id is stable across retries, autoscaling events, and language boundaries.</w:t>
      </w:r>
    </w:p>
    <w:p>
      <w:pPr>
        <w:pStyle w:val="Compact"/>
        <w:numPr>
          <w:ilvl w:val="0"/>
          <w:numId w:val="1054"/>
        </w:numPr>
      </w:pPr>
      <w:r>
        <w:rPr>
          <w:b/>
          <w:bCs/>
        </w:rPr>
        <w:t xml:space="preserve">Tiered retention with cost transparency.</w:t>
      </w:r>
      <w:r>
        <w:t xml:space="preserve"> </w:t>
      </w:r>
      <w:r>
        <w:t xml:space="preserve">Hot retention SHOULD be sized to the longest period of</w:t>
      </w:r>
      <w:r>
        <w:t xml:space="preserve"> </w:t>
      </w:r>
      <w:r>
        <w:t xml:space="preserve">“interactive”</w:t>
      </w:r>
      <w:r>
        <w:t xml:space="preserve"> </w:t>
      </w:r>
      <w:r>
        <w:t xml:space="preserve">investigation (typically ninety days); beyond that, warm and cold tiers reduce cost by an order of magnitude. Per the GCP Cloud Logging cost-management documentation, tiered retention with log sinks to BigQuery and to Cloud Storage achieves the cost / accessibility trade-off cleanly.</w:t>
      </w:r>
    </w:p>
    <w:bookmarkEnd w:id="93"/>
    <w:bookmarkStart w:id="94" w:name="anti-patterns-prohibited-8"/>
    <w:p>
      <w:pPr>
        <w:pStyle w:val="Heading3"/>
      </w:pPr>
      <w:r>
        <w:t xml:space="preserve">Anti-Patterns (Prohibited)</w:t>
      </w:r>
    </w:p>
    <w:p>
      <w:pPr>
        <w:pStyle w:val="Compact"/>
        <w:numPr>
          <w:ilvl w:val="0"/>
          <w:numId w:val="1055"/>
        </w:numPr>
      </w:pPr>
      <w:r>
        <w:rPr>
          <w:b/>
          <w:bCs/>
        </w:rPr>
        <w:t xml:space="preserve">MUST NOT</w:t>
      </w:r>
      <w:r>
        <w:t xml:space="preserve"> </w:t>
      </w:r>
      <w:r>
        <w:t xml:space="preserve">log secrets, tokens, passwords, session IDs, or full credit-card numbers, even at debug level, even temporarily. Logging frameworks SHALL be configured with explicit scrubbing rules for known sensitive fields.</w:t>
      </w:r>
    </w:p>
    <w:p>
      <w:pPr>
        <w:pStyle w:val="Compact"/>
        <w:numPr>
          <w:ilvl w:val="0"/>
          <w:numId w:val="1055"/>
        </w:numPr>
      </w:pPr>
      <w:r>
        <w:rPr>
          <w:b/>
          <w:bCs/>
        </w:rPr>
        <w:t xml:space="preserve">SHALL NOT</w:t>
      </w:r>
      <w:r>
        <w:t xml:space="preserve"> </w:t>
      </w:r>
      <w:r>
        <w:t xml:space="preserve">disable CloudTrail / Activity Logs / Cloud Audit Logs in any environment for any reason. The Service Control Policy / Azure Policy / Org Policy enforcement is non-negotiable.</w:t>
      </w:r>
    </w:p>
    <w:p>
      <w:pPr>
        <w:pStyle w:val="Compact"/>
        <w:numPr>
          <w:ilvl w:val="0"/>
          <w:numId w:val="1055"/>
        </w:numPr>
      </w:pPr>
      <w:r>
        <w:rPr>
          <w:b/>
          <w:bCs/>
        </w:rPr>
        <w:t xml:space="preserve">MUST NOT</w:t>
      </w:r>
      <w:r>
        <w:t xml:space="preserve"> </w:t>
      </w:r>
      <w:r>
        <w:t xml:space="preserve">rely on unstructured text logs for production systems. Free-form text precludes the basic queries required for incident response and is incompatible with the corporate observability stack.</w:t>
      </w:r>
    </w:p>
    <w:p>
      <w:pPr>
        <w:pStyle w:val="Compact"/>
        <w:numPr>
          <w:ilvl w:val="0"/>
          <w:numId w:val="1055"/>
        </w:numPr>
      </w:pPr>
      <w:r>
        <w:rPr>
          <w:b/>
          <w:bCs/>
        </w:rPr>
        <w:t xml:space="preserve">SHALL NOT</w:t>
      </w:r>
      <w:r>
        <w:t xml:space="preserve"> </w:t>
      </w:r>
      <w:r>
        <w:t xml:space="preserve">stream logs to a single account or single project; the audit-log archive SHALL be in a separate</w:t>
      </w:r>
      <w:r>
        <w:t xml:space="preserve"> </w:t>
      </w:r>
      <w:r>
        <w:t xml:space="preserve">“log archive”</w:t>
      </w:r>
      <w:r>
        <w:t xml:space="preserve"> </w:t>
      </w:r>
      <w:r>
        <w:t xml:space="preserve">account / subscription / project owned by the security organization, with one-way replication from the source accounts.</w:t>
      </w:r>
    </w:p>
    <w:p>
      <w:pPr>
        <w:pStyle w:val="Compact"/>
        <w:numPr>
          <w:ilvl w:val="0"/>
          <w:numId w:val="1055"/>
        </w:numPr>
      </w:pPr>
      <w:r>
        <w:rPr>
          <w:b/>
          <w:bCs/>
        </w:rPr>
        <w:t xml:space="preserve">MUST NOT</w:t>
      </w:r>
      <w:r>
        <w:t xml:space="preserve"> </w:t>
      </w:r>
      <w:r>
        <w:t xml:space="preserve">allow application code to determine its own log level in production from an environment variable that can be set by a self-service tool. Log-level changes in production SHALL flow through change management.</w:t>
      </w:r>
    </w:p>
    <w:p>
      <w:pPr>
        <w:pStyle w:val="Compact"/>
        <w:numPr>
          <w:ilvl w:val="0"/>
          <w:numId w:val="1055"/>
        </w:numPr>
      </w:pPr>
      <w:r>
        <w:rPr>
          <w:b/>
          <w:bCs/>
        </w:rPr>
        <w:t xml:space="preserve">SHALL NOT</w:t>
      </w:r>
      <w:r>
        <w:t xml:space="preserve"> </w:t>
      </w:r>
      <w:r>
        <w:t xml:space="preserve">include user-controlled input in log messages without sanitization, because log forging (CRLF injection into a log file) can produce fabricated log entries that mislead investigations.</w:t>
      </w:r>
    </w:p>
    <w:bookmarkEnd w:id="94"/>
    <w:bookmarkStart w:id="95" w:name="evidence-audit-8"/>
    <w:p>
      <w:pPr>
        <w:pStyle w:val="Heading3"/>
      </w:pPr>
      <w:r>
        <w:t xml:space="preserve">Evidence &amp; Audit</w:t>
      </w:r>
    </w:p>
    <w:p>
      <w:pPr>
        <w:pStyle w:val="Compact"/>
        <w:numPr>
          <w:ilvl w:val="0"/>
          <w:numId w:val="1056"/>
        </w:numPr>
      </w:pPr>
      <w:r>
        <w:t xml:space="preserve">Continuous monitoring that CloudTrail / Activity Logs / Cloud Audit Logs are enabled and forwarding successfully; any disable event SHALL page the security operations center.</w:t>
      </w:r>
    </w:p>
    <w:p>
      <w:pPr>
        <w:pStyle w:val="Compact"/>
        <w:numPr>
          <w:ilvl w:val="0"/>
          <w:numId w:val="1056"/>
        </w:numPr>
      </w:pPr>
      <w:r>
        <w:t xml:space="preserve">Weekly integrity check of audit-log archive: hash verification, count reconciliation against the source.</w:t>
      </w:r>
    </w:p>
    <w:p>
      <w:pPr>
        <w:pStyle w:val="Compact"/>
        <w:numPr>
          <w:ilvl w:val="0"/>
          <w:numId w:val="1056"/>
        </w:numPr>
      </w:pPr>
      <w:r>
        <w:t xml:space="preserve">Quarterly tabletop drill: from a synthetic event, reconstruct the full event timeline using only the log archive.</w:t>
      </w:r>
    </w:p>
    <w:p>
      <w:pPr>
        <w:pStyle w:val="Compact"/>
        <w:numPr>
          <w:ilvl w:val="0"/>
          <w:numId w:val="1056"/>
        </w:numPr>
      </w:pPr>
      <w:r>
        <w:t xml:space="preserve">Annual log-retention audit against the corporate retention schedule.</w:t>
      </w:r>
    </w:p>
    <w:p>
      <w:pPr>
        <w:pStyle w:val="Compact"/>
        <w:numPr>
          <w:ilvl w:val="0"/>
          <w:numId w:val="1056"/>
        </w:numPr>
      </w:pPr>
      <w:r>
        <w:t xml:space="preserve">Continuous PII-leakage scan over a sample of application logs; matches SHALL trigger a defect ticket against the emitting team.</w:t>
      </w:r>
    </w:p>
    <w:p>
      <w:pPr>
        <w:pStyle w:val="Compact"/>
        <w:numPr>
          <w:ilvl w:val="0"/>
          <w:numId w:val="1056"/>
        </w:numPr>
      </w:pPr>
      <w:r>
        <w:t xml:space="preserve">SIEM coverage report per workload: count of services emitting structured logs, count of services emitting trace-correlated logs.</w:t>
      </w:r>
    </w:p>
    <w:bookmarkEnd w:id="95"/>
    <w:bookmarkStart w:id="96" w:name="exceptions-8"/>
    <w:p>
      <w:pPr>
        <w:pStyle w:val="Heading3"/>
      </w:pPr>
      <w:r>
        <w:t xml:space="preserve">Exceptions</w:t>
      </w:r>
    </w:p>
    <w:p>
      <w:pPr>
        <w:pStyle w:val="FirstParagraph"/>
      </w:pPr>
      <w:r>
        <w:t xml:space="preserve">Where a vendor-supplied appliance cannot emit structured logs and cannot integrate with the corporate sink, the workload SHALL deploy a log-translator (a Fluent Bit / Logstash / Fluentd sidecar) that converts and forwards.</w:t>
      </w:r>
      <w:r>
        <w:t xml:space="preserve"> </w:t>
      </w:r>
      <w:r>
        <w:rPr>
          <w:b/>
          <w:bCs/>
        </w:rPr>
        <w:t xml:space="preserve">Exceptions SHALL be time-boxed to 90 days and require ARB approval.</w:t>
      </w:r>
    </w:p>
    <w:bookmarkEnd w:id="96"/>
    <w:bookmarkStart w:id="97" w:name="references-8"/>
    <w:p>
      <w:pPr>
        <w:pStyle w:val="Heading3"/>
      </w:pPr>
      <w:r>
        <w:t xml:space="preserve">References</w:t>
      </w:r>
    </w:p>
    <w:p>
      <w:pPr>
        <w:pStyle w:val="Compact"/>
        <w:numPr>
          <w:ilvl w:val="0"/>
          <w:numId w:val="1057"/>
        </w:numPr>
      </w:pPr>
      <w:r>
        <w:t xml:space="preserve">Microsoft Learn — Azure Monitor Logs overview: https://learn.microsoft.com/en-us/azure/azure-monitor/logs/data-platform-logs</w:t>
      </w:r>
    </w:p>
    <w:p>
      <w:pPr>
        <w:pStyle w:val="Compact"/>
        <w:numPr>
          <w:ilvl w:val="0"/>
          <w:numId w:val="1057"/>
        </w:numPr>
      </w:pPr>
      <w:r>
        <w:t xml:space="preserve">Microsoft Learn — Microsoft Sentinel overview: https://learn.microsoft.com/en-us/azure/sentinel/overview</w:t>
      </w:r>
    </w:p>
    <w:p>
      <w:pPr>
        <w:pStyle w:val="Compact"/>
        <w:numPr>
          <w:ilvl w:val="0"/>
          <w:numId w:val="1057"/>
        </w:numPr>
      </w:pPr>
      <w:r>
        <w:t xml:space="preserve">Microsoft Learn — Azure Activity Log: https://learn.microsoft.com/en-us/azure/azure-monitor/essentials/activity-log</w:t>
      </w:r>
    </w:p>
    <w:p>
      <w:pPr>
        <w:pStyle w:val="Compact"/>
        <w:numPr>
          <w:ilvl w:val="0"/>
          <w:numId w:val="1057"/>
        </w:numPr>
      </w:pPr>
      <w:r>
        <w:t xml:space="preserve">AWS CloudTrail user guide: https://docs.aws.amazon.com/awscloudtrail/latest/userguide/cloudtrail-user-guide.html</w:t>
      </w:r>
    </w:p>
    <w:p>
      <w:pPr>
        <w:pStyle w:val="Compact"/>
        <w:numPr>
          <w:ilvl w:val="0"/>
          <w:numId w:val="1057"/>
        </w:numPr>
      </w:pPr>
      <w:r>
        <w:t xml:space="preserve">AWS CloudWatch Logs: https://docs.aws.amazon.com/AmazonCloudWatch/latest/logs/WhatIsCloudWatchLogs.html</w:t>
      </w:r>
    </w:p>
    <w:p>
      <w:pPr>
        <w:pStyle w:val="Compact"/>
        <w:numPr>
          <w:ilvl w:val="0"/>
          <w:numId w:val="1057"/>
        </w:numPr>
      </w:pPr>
      <w:r>
        <w:t xml:space="preserve">AWS S3 Object Lock: https://docs.aws.amazon.com/AmazonS3/latest/userguide/object-lock.html</w:t>
      </w:r>
    </w:p>
    <w:p>
      <w:pPr>
        <w:pStyle w:val="Compact"/>
        <w:numPr>
          <w:ilvl w:val="0"/>
          <w:numId w:val="1057"/>
        </w:numPr>
      </w:pPr>
      <w:r>
        <w:t xml:space="preserve">Google Cloud Logging overview: https://cloud.google.com/logging/docs/overview</w:t>
      </w:r>
    </w:p>
    <w:p>
      <w:pPr>
        <w:pStyle w:val="Compact"/>
        <w:numPr>
          <w:ilvl w:val="0"/>
          <w:numId w:val="1057"/>
        </w:numPr>
      </w:pPr>
      <w:r>
        <w:t xml:space="preserve">Google Cloud Audit Logs: https://cloud.google.com/logging/docs/audit</w:t>
      </w:r>
    </w:p>
    <w:p>
      <w:pPr>
        <w:pStyle w:val="Compact"/>
        <w:numPr>
          <w:ilvl w:val="0"/>
          <w:numId w:val="1057"/>
        </w:numPr>
      </w:pPr>
      <w:r>
        <w:t xml:space="preserve">OpenTelemetry semantic conventions for logs: https://opentelemetry.io/docs/specs/semconv/general/logs/</w:t>
      </w:r>
    </w:p>
    <w:p>
      <w:pPr>
        <w:pStyle w:val="Compact"/>
        <w:numPr>
          <w:ilvl w:val="0"/>
          <w:numId w:val="1057"/>
        </w:numPr>
      </w:pPr>
      <w:r>
        <w:t xml:space="preserve">NIST SP 800-92 — Guide to Computer Security Log Management.</w:t>
      </w:r>
    </w:p>
    <w:p>
      <w:pPr>
        <w:pStyle w:val="Compact"/>
        <w:numPr>
          <w:ilvl w:val="0"/>
          <w:numId w:val="1057"/>
        </w:numPr>
      </w:pPr>
      <w:r>
        <w:t xml:space="preserve">NIST SP 800-53 (AU family) — Audit and Accountability controls.</w:t>
      </w:r>
    </w:p>
    <w:bookmarkEnd w:id="97"/>
    <w:bookmarkEnd w:id="98"/>
    <w:bookmarkStart w:id="107" w:name="chapter-10-monitoring-metrics-slos"/>
    <w:p>
      <w:pPr>
        <w:pStyle w:val="Heading2"/>
      </w:pPr>
      <w:r>
        <w:t xml:space="preserve">Chapter 10 — Monitoring, Metrics &amp; SLOs</w:t>
      </w:r>
    </w:p>
    <w:bookmarkStart w:id="99" w:name="intent-9"/>
    <w:p>
      <w:pPr>
        <w:pStyle w:val="Heading3"/>
      </w:pPr>
      <w:r>
        <w:t xml:space="preserve">Intent</w:t>
      </w:r>
    </w:p>
    <w:p>
      <w:pPr>
        <w:pStyle w:val="FirstParagraph"/>
      </w:pPr>
      <w:r>
        <w:t xml:space="preserve">Logs (Chapter 9) describe what happened; metrics describe whether the system is healthy and traces (Chapter 11) describe how requests flowed. This chapter governs the corporation’s approach to metrics, dashboards, alerting, and Service Level Objectives across Azure, AWS, and GCP. The objective is to ensure that every workload has a small, well-curated set of golden signals exposed continuously, that alerts page humans only when a meaningful SLO is in jeopardy, and that error budgets give product and engineering teams a shared, quantified vocabulary for trade-offs between reliability and velocity.</w:t>
      </w:r>
    </w:p>
    <w:p>
      <w:pPr>
        <w:pStyle w:val="BodyText"/>
      </w:pPr>
      <w:r>
        <w:t xml:space="preserve">This chapter follows the SRE tradition: SLIs measure user-experienced quality; SLOs express the target; SLAs are external contracts derived from SLOs with a safety margin. Alerts page when the error budget is being consumed faster than the budget will be replenished — not on raw counters that may have no correlation with user experience.</w:t>
      </w:r>
    </w:p>
    <w:bookmarkEnd w:id="99"/>
    <w:bookmarkStart w:id="100" w:name="scope-10"/>
    <w:p>
      <w:pPr>
        <w:pStyle w:val="Heading3"/>
      </w:pPr>
      <w:r>
        <w:t xml:space="preserve">Scope</w:t>
      </w:r>
    </w:p>
    <w:p>
      <w:pPr>
        <w:pStyle w:val="Compact"/>
        <w:numPr>
          <w:ilvl w:val="0"/>
          <w:numId w:val="1058"/>
        </w:numPr>
      </w:pPr>
      <w:r>
        <w:t xml:space="preserve">Every production workload across all three clouds.</w:t>
      </w:r>
    </w:p>
    <w:p>
      <w:pPr>
        <w:pStyle w:val="Compact"/>
        <w:numPr>
          <w:ilvl w:val="0"/>
          <w:numId w:val="1058"/>
        </w:numPr>
      </w:pPr>
      <w:r>
        <w:t xml:space="preserve">Every shared platform service (identity proxy, edge layer, observability stack itself).</w:t>
      </w:r>
    </w:p>
    <w:p>
      <w:pPr>
        <w:pStyle w:val="Compact"/>
        <w:numPr>
          <w:ilvl w:val="0"/>
          <w:numId w:val="1058"/>
        </w:numPr>
      </w:pPr>
      <w:r>
        <w:t xml:space="preserve">Every non-production environment that participates in pre-production verification (load tests, canary tests).</w:t>
      </w:r>
    </w:p>
    <w:p>
      <w:pPr>
        <w:pStyle w:val="Compact"/>
        <w:numPr>
          <w:ilvl w:val="0"/>
          <w:numId w:val="1058"/>
        </w:numPr>
      </w:pPr>
      <w:r>
        <w:t xml:space="preserve">All synthetic monitoring of external dependencies.</w:t>
      </w:r>
    </w:p>
    <w:bookmarkEnd w:id="100"/>
    <w:bookmarkStart w:id="101" w:name="mandatory-controls-9"/>
    <w:p>
      <w:pPr>
        <w:pStyle w:val="Heading3"/>
      </w:pPr>
      <w:r>
        <w:t xml:space="preserve">Mandatory Controls</w:t>
      </w:r>
    </w:p>
    <w:p>
      <w:pPr>
        <w:pStyle w:val="Compact"/>
        <w:numPr>
          <w:ilvl w:val="0"/>
          <w:numId w:val="1059"/>
        </w:numPr>
      </w:pPr>
      <w:r>
        <w:t xml:space="preserve">Every production workload SHALL declare one or more SLIs covering the dimensions of user experience that matter for that workload — typically latency, error rate, and (for asynchronous workloads) freshness or completeness. SLIs SHALL be defined in measurable terms with a query expression in the corporate observability platform.</w:t>
      </w:r>
    </w:p>
    <w:p>
      <w:pPr>
        <w:pStyle w:val="Compact"/>
        <w:numPr>
          <w:ilvl w:val="0"/>
          <w:numId w:val="1059"/>
        </w:numPr>
      </w:pPr>
      <w:r>
        <w:t xml:space="preserve">Every production workload SHALL declare SLOs targeting the SLIs, expressed as a percentage over a rolling window (for example,</w:t>
      </w:r>
      <w:r>
        <w:t xml:space="preserve"> </w:t>
      </w:r>
      <w:r>
        <w:t xml:space="preserve">“99.9 % of HTTP 200 responses on /api/checkout returned within 800 ms over a rolling 30-day window”</w:t>
      </w:r>
      <w:r>
        <w:t xml:space="preserve">).</w:t>
      </w:r>
    </w:p>
    <w:p>
      <w:pPr>
        <w:pStyle w:val="Compact"/>
        <w:numPr>
          <w:ilvl w:val="0"/>
          <w:numId w:val="1059"/>
        </w:numPr>
      </w:pPr>
      <w:r>
        <w:t xml:space="preserve">SLOs SHALL be approved by the product owner and the engineering owner jointly and SHALL be reviewed at least annually.</w:t>
      </w:r>
    </w:p>
    <w:p>
      <w:pPr>
        <w:pStyle w:val="Compact"/>
        <w:numPr>
          <w:ilvl w:val="0"/>
          <w:numId w:val="1059"/>
        </w:numPr>
      </w:pPr>
      <w:r>
        <w:t xml:space="preserve">Alerts SHALL be designed against the SLO error budget, using burn-rate alerting (fast-burn pages, slow-burn tickets), rather than against raw metric thresholds. Threshold-only alerts SHALL be permitted only for infrastructure signals (disk full, certificate expiring, replication broken) where the threshold is itself the SLI.</w:t>
      </w:r>
    </w:p>
    <w:p>
      <w:pPr>
        <w:pStyle w:val="Compact"/>
        <w:numPr>
          <w:ilvl w:val="0"/>
          <w:numId w:val="1059"/>
        </w:numPr>
      </w:pPr>
      <w:r>
        <w:t xml:space="preserve">Every alert SHALL include in its payload: the impacted SLI, the team that owns response, a link to the runbook, a link to the relevant dashboard, and the severity level.</w:t>
      </w:r>
    </w:p>
    <w:p>
      <w:pPr>
        <w:pStyle w:val="Compact"/>
        <w:numPr>
          <w:ilvl w:val="0"/>
          <w:numId w:val="1059"/>
        </w:numPr>
      </w:pPr>
      <w:r>
        <w:t xml:space="preserve">Alerts SHALL be classified as Page (wake the on-call), Ticket (next business day), or FYI (informational); each workload SHALL be tuned so that paging alerts represent meaningful, actionable degradation, with target false-positive page rate below ten (10) percent.</w:t>
      </w:r>
    </w:p>
    <w:p>
      <w:pPr>
        <w:pStyle w:val="Compact"/>
        <w:numPr>
          <w:ilvl w:val="0"/>
          <w:numId w:val="1059"/>
        </w:numPr>
      </w:pPr>
      <w:r>
        <w:t xml:space="preserve">Every workload SHALL expose the RED metrics (Rate, Errors, Duration) for request-driven workloads and the USE metrics (Utilization, Saturation, Errors) for resource-bound workloads.</w:t>
      </w:r>
    </w:p>
    <w:p>
      <w:pPr>
        <w:pStyle w:val="Compact"/>
        <w:numPr>
          <w:ilvl w:val="0"/>
          <w:numId w:val="1059"/>
        </w:numPr>
      </w:pPr>
      <w:r>
        <w:t xml:space="preserve">Metrics SHALL be exported from applications using OpenTelemetry, Prometheus exposition format, or a cloud-native equivalent (Azure Monitor SDK, CloudWatch embedded metric format, GCP Cloud Monitoring API), into a central time-series store.</w:t>
      </w:r>
    </w:p>
    <w:p>
      <w:pPr>
        <w:pStyle w:val="Compact"/>
        <w:numPr>
          <w:ilvl w:val="0"/>
          <w:numId w:val="1059"/>
        </w:numPr>
      </w:pPr>
      <w:r>
        <w:t xml:space="preserve">Dashboards SHALL follow a corporate template: a single</w:t>
      </w:r>
      <w:r>
        <w:t xml:space="preserve"> </w:t>
      </w:r>
      <w:r>
        <w:t xml:space="preserve">“service overview”</w:t>
      </w:r>
      <w:r>
        <w:t xml:space="preserve"> </w:t>
      </w:r>
      <w:r>
        <w:t xml:space="preserve">dashboard per workload with golden signals at the top and dependency-level signals below.</w:t>
      </w:r>
    </w:p>
    <w:p>
      <w:pPr>
        <w:pStyle w:val="Compact"/>
        <w:numPr>
          <w:ilvl w:val="0"/>
          <w:numId w:val="1059"/>
        </w:numPr>
      </w:pPr>
      <w:r>
        <w:t xml:space="preserve">Synthetic monitoring SHALL be configured for tier-1 user-facing endpoints, executed from at least two external regions, with results feeding the same SLO calculation as production traffic.</w:t>
      </w:r>
    </w:p>
    <w:p>
      <w:pPr>
        <w:pStyle w:val="Compact"/>
        <w:numPr>
          <w:ilvl w:val="0"/>
          <w:numId w:val="1059"/>
        </w:numPr>
      </w:pPr>
      <w:r>
        <w:t xml:space="preserve">Metric cardinality SHALL be controlled; metric labels SHALL NOT include unbounded values (user IDs, request IDs, full URLs with path parameters). Cardinality explosions degrade the monitoring platform for every other workload.</w:t>
      </w:r>
    </w:p>
    <w:p>
      <w:pPr>
        <w:pStyle w:val="Compact"/>
        <w:numPr>
          <w:ilvl w:val="0"/>
          <w:numId w:val="1059"/>
        </w:numPr>
      </w:pPr>
      <w:r>
        <w:t xml:space="preserve">Error budgets SHALL be tracked continuously; when error budget is exhausted, the workload SHALL freeze risky changes per the corporate error-budget policy (Chapter 19) until the budget recovers.</w:t>
      </w:r>
    </w:p>
    <w:p>
      <w:pPr>
        <w:pStyle w:val="Compact"/>
        <w:numPr>
          <w:ilvl w:val="0"/>
          <w:numId w:val="1059"/>
        </w:numPr>
      </w:pPr>
      <w:r>
        <w:t xml:space="preserve">Time-series retention SHALL be a minimum of thirteen (13) months at one-minute resolution for SLO calculation, with longer retention at lower resolution for capacity planning.</w:t>
      </w:r>
    </w:p>
    <w:p>
      <w:pPr>
        <w:pStyle w:val="Compact"/>
        <w:numPr>
          <w:ilvl w:val="0"/>
          <w:numId w:val="1059"/>
        </w:numPr>
      </w:pPr>
      <w:r>
        <w:t xml:space="preserve">The observability platform itself SHALL be monitored by a separate, independent monitoring channel so that failure of the primary platform is detectable.</w:t>
      </w:r>
    </w:p>
    <w:bookmarkEnd w:id="101"/>
    <w:bookmarkStart w:id="102" w:name="patterns-recommended-9"/>
    <w:p>
      <w:pPr>
        <w:pStyle w:val="Heading3"/>
      </w:pPr>
      <w:r>
        <w:t xml:space="preserve">Patterns (Recommended)</w:t>
      </w:r>
    </w:p>
    <w:p>
      <w:pPr>
        <w:pStyle w:val="Compact"/>
        <w:numPr>
          <w:ilvl w:val="0"/>
          <w:numId w:val="1060"/>
        </w:numPr>
      </w:pPr>
      <w:r>
        <w:rPr>
          <w:b/>
          <w:bCs/>
        </w:rPr>
        <w:t xml:space="preserve">Golden signals as the dashboard top row.</w:t>
      </w:r>
      <w:r>
        <w:t xml:space="preserve"> </w:t>
      </w:r>
      <w:r>
        <w:t xml:space="preserve">Per the Google SRE Book, every service dashboard SHOULD lead with the four golden signals: latency, traffic, errors, saturation. This gives any responder — including one not familiar with the service — an immediate, calibrated picture of health.</w:t>
      </w:r>
    </w:p>
    <w:p>
      <w:pPr>
        <w:pStyle w:val="Compact"/>
        <w:numPr>
          <w:ilvl w:val="0"/>
          <w:numId w:val="1060"/>
        </w:numPr>
      </w:pPr>
      <w:r>
        <w:rPr>
          <w:b/>
          <w:bCs/>
        </w:rPr>
        <w:t xml:space="preserve">Multi-window, multi-burn-rate SLO alerting.</w:t>
      </w:r>
      <w:r>
        <w:t xml:space="preserve"> </w:t>
      </w:r>
      <w:r>
        <w:t xml:space="preserve">Per the Google SRE Workbook, alerts on error-budget burn rate SHOULD use a short window (for paging on fast burns) and a long window (for ticketing on slow burns), reducing both false pages and missed alerts.</w:t>
      </w:r>
    </w:p>
    <w:p>
      <w:pPr>
        <w:pStyle w:val="Compact"/>
        <w:numPr>
          <w:ilvl w:val="0"/>
          <w:numId w:val="1060"/>
        </w:numPr>
      </w:pPr>
      <w:r>
        <w:rPr>
          <w:b/>
          <w:bCs/>
        </w:rPr>
        <w:t xml:space="preserve">Runbook link on every alert.</w:t>
      </w:r>
      <w:r>
        <w:t xml:space="preserve"> </w:t>
      </w:r>
      <w:r>
        <w:t xml:space="preserve">Every alert payload SHOULD include a URL to a runbook section that describes the most-likely-cause troubleshooting steps. Per the AWS Well-Architected Operational Excellence pillar, runbooks reduce mean-time-to-mitigate (MTTM) and prevent novel ad-hoc diagnostics from becoming the default response.</w:t>
      </w:r>
    </w:p>
    <w:p>
      <w:pPr>
        <w:pStyle w:val="Compact"/>
        <w:numPr>
          <w:ilvl w:val="0"/>
          <w:numId w:val="1060"/>
        </w:numPr>
      </w:pPr>
      <w:r>
        <w:rPr>
          <w:b/>
          <w:bCs/>
        </w:rPr>
        <w:t xml:space="preserve">Synthetic probes from multiple geos.</w:t>
      </w:r>
      <w:r>
        <w:t xml:space="preserve"> </w:t>
      </w:r>
      <w:r>
        <w:t xml:space="preserve">Synthetic probes (Azure Monitor availability tests, AWS CloudWatch Synthetics, GCP Uptime Checks) SHOULD run from at least three geographies to distinguish a regional CDN issue from a global outage. Per the Microsoft Learn observability guidance, synthetic monitoring is the only way to detect a</w:t>
      </w:r>
      <w:r>
        <w:t xml:space="preserve"> </w:t>
      </w:r>
      <w:r>
        <w:t xml:space="preserve">“silent”</w:t>
      </w:r>
      <w:r>
        <w:t xml:space="preserve"> </w:t>
      </w:r>
      <w:r>
        <w:t xml:space="preserve">100 % failure where no real traffic is reaching the service.</w:t>
      </w:r>
    </w:p>
    <w:p>
      <w:pPr>
        <w:pStyle w:val="Compact"/>
        <w:numPr>
          <w:ilvl w:val="0"/>
          <w:numId w:val="1060"/>
        </w:numPr>
      </w:pPr>
      <w:r>
        <w:rPr>
          <w:b/>
          <w:bCs/>
        </w:rPr>
        <w:t xml:space="preserve">SLO-driven release gates.</w:t>
      </w:r>
      <w:r>
        <w:t xml:space="preserve"> </w:t>
      </w:r>
      <w:r>
        <w:t xml:space="preserve">Continuous deployment SHALL respect the error budget — when a release is in canary and the SLI for the canary group degrades, the release pipeline SHOULD automatically roll back. Per the principles in the GCP Architecture Framework reliability pillar, automated rollback is a cheap and effective insurance policy against bad releases.</w:t>
      </w:r>
    </w:p>
    <w:bookmarkEnd w:id="102"/>
    <w:bookmarkStart w:id="103" w:name="anti-patterns-prohibited-9"/>
    <w:p>
      <w:pPr>
        <w:pStyle w:val="Heading3"/>
      </w:pPr>
      <w:r>
        <w:t xml:space="preserve">Anti-Patterns (Prohibited)</w:t>
      </w:r>
    </w:p>
    <w:p>
      <w:pPr>
        <w:pStyle w:val="Compact"/>
        <w:numPr>
          <w:ilvl w:val="0"/>
          <w:numId w:val="1061"/>
        </w:numPr>
      </w:pPr>
      <w:r>
        <w:rPr>
          <w:b/>
          <w:bCs/>
        </w:rPr>
        <w:t xml:space="preserve">MUST NOT</w:t>
      </w:r>
      <w:r>
        <w:t xml:space="preserve"> </w:t>
      </w:r>
      <w:r>
        <w:t xml:space="preserve">page humans on metric thresholds that do not correlate with user experience. Paging on</w:t>
      </w:r>
      <w:r>
        <w:t xml:space="preserve"> </w:t>
      </w:r>
      <w:r>
        <w:t xml:space="preserve">“CPU above 80 %”</w:t>
      </w:r>
      <w:r>
        <w:t xml:space="preserve"> </w:t>
      </w:r>
      <w:r>
        <w:t xml:space="preserve">is the classic anti-pattern — many services run healthily at 95 % CPU, and paging on a CPU threshold trains responders to ignore the pager.</w:t>
      </w:r>
    </w:p>
    <w:p>
      <w:pPr>
        <w:pStyle w:val="Compact"/>
        <w:numPr>
          <w:ilvl w:val="0"/>
          <w:numId w:val="1061"/>
        </w:numPr>
      </w:pPr>
      <w:r>
        <w:rPr>
          <w:b/>
          <w:bCs/>
        </w:rPr>
        <w:t xml:space="preserve">SHALL NOT</w:t>
      </w:r>
      <w:r>
        <w:t xml:space="preserve"> </w:t>
      </w:r>
      <w:r>
        <w:t xml:space="preserve">define SLOs that the service has never actually met. Aspirational SLOs without supporting evidence cause silent SLA risk and routine over-investment in marginal improvements.</w:t>
      </w:r>
    </w:p>
    <w:p>
      <w:pPr>
        <w:pStyle w:val="Compact"/>
        <w:numPr>
          <w:ilvl w:val="0"/>
          <w:numId w:val="1061"/>
        </w:numPr>
      </w:pPr>
      <w:r>
        <w:rPr>
          <w:b/>
          <w:bCs/>
        </w:rPr>
        <w:t xml:space="preserve">MUST NOT</w:t>
      </w:r>
      <w:r>
        <w:t xml:space="preserve"> </w:t>
      </w:r>
      <w:r>
        <w:t xml:space="preserve">use unbounded label values in metrics; per-user, per-tenant, or per-request cardinality SHALL be expressed through aggregations or sampled traces, not metric labels.</w:t>
      </w:r>
    </w:p>
    <w:p>
      <w:pPr>
        <w:pStyle w:val="Compact"/>
        <w:numPr>
          <w:ilvl w:val="0"/>
          <w:numId w:val="1061"/>
        </w:numPr>
      </w:pPr>
      <w:r>
        <w:rPr>
          <w:b/>
          <w:bCs/>
        </w:rPr>
        <w:t xml:space="preserve">SHALL NOT</w:t>
      </w:r>
      <w:r>
        <w:t xml:space="preserve"> </w:t>
      </w:r>
      <w:r>
        <w:t xml:space="preserve">store metrics in a single self-managed Prometheus instance for a tier-1 production workload without an HA pair and an external durable store; in-memory Prometheus alone is acceptable only for short-lived workloads.</w:t>
      </w:r>
    </w:p>
    <w:p>
      <w:pPr>
        <w:pStyle w:val="Compact"/>
        <w:numPr>
          <w:ilvl w:val="0"/>
          <w:numId w:val="1061"/>
        </w:numPr>
      </w:pPr>
      <w:r>
        <w:rPr>
          <w:b/>
          <w:bCs/>
        </w:rPr>
        <w:t xml:space="preserve">MUST NOT</w:t>
      </w:r>
      <w:r>
        <w:t xml:space="preserve"> </w:t>
      </w:r>
      <w:r>
        <w:t xml:space="preserve">silence an alert</w:t>
      </w:r>
      <w:r>
        <w:t xml:space="preserve"> </w:t>
      </w:r>
      <w:r>
        <w:t xml:space="preserve">“for the rest of the week”</w:t>
      </w:r>
      <w:r>
        <w:t xml:space="preserve"> </w:t>
      </w:r>
      <w:r>
        <w:t xml:space="preserve">to make the pager quiet. Silenced alerts SHALL have a stated reason and a stated expiry; chronic alert silence indicates that the alert is mis-designed and SHALL be fixed.</w:t>
      </w:r>
    </w:p>
    <w:p>
      <w:pPr>
        <w:pStyle w:val="Compact"/>
        <w:numPr>
          <w:ilvl w:val="0"/>
          <w:numId w:val="1061"/>
        </w:numPr>
      </w:pPr>
      <w:r>
        <w:rPr>
          <w:b/>
          <w:bCs/>
        </w:rPr>
        <w:t xml:space="preserve">SHALL NOT</w:t>
      </w:r>
      <w:r>
        <w:t xml:space="preserve"> </w:t>
      </w:r>
      <w:r>
        <w:t xml:space="preserve">mix unrelated services on a single dashboard such that responders cannot tell which signals belong to which workload. Dashboards SHALL be scoped to a single workload or to a single product.</w:t>
      </w:r>
    </w:p>
    <w:bookmarkEnd w:id="103"/>
    <w:bookmarkStart w:id="104" w:name="evidence-audit-9"/>
    <w:p>
      <w:pPr>
        <w:pStyle w:val="Heading3"/>
      </w:pPr>
      <w:r>
        <w:t xml:space="preserve">Evidence &amp; Audit</w:t>
      </w:r>
    </w:p>
    <w:p>
      <w:pPr>
        <w:pStyle w:val="Compact"/>
        <w:numPr>
          <w:ilvl w:val="0"/>
          <w:numId w:val="1062"/>
        </w:numPr>
      </w:pPr>
      <w:r>
        <w:t xml:space="preserve">Quarterly SLO review per tier-1 workload: declared SLO, measured SLI, error-budget consumption, change-freeze events.</w:t>
      </w:r>
    </w:p>
    <w:p>
      <w:pPr>
        <w:pStyle w:val="Compact"/>
        <w:numPr>
          <w:ilvl w:val="0"/>
          <w:numId w:val="1062"/>
        </w:numPr>
      </w:pPr>
      <w:r>
        <w:t xml:space="preserve">Quarterly alert-noise audit per team: pages received, pages classified false-positive, time-to-acknowledge.</w:t>
      </w:r>
    </w:p>
    <w:p>
      <w:pPr>
        <w:pStyle w:val="Compact"/>
        <w:numPr>
          <w:ilvl w:val="0"/>
          <w:numId w:val="1062"/>
        </w:numPr>
      </w:pPr>
      <w:r>
        <w:t xml:space="preserve">Annual review of dashboards against the corporate template; non-conforming dashboards SHALL be migrated.</w:t>
      </w:r>
    </w:p>
    <w:p>
      <w:pPr>
        <w:pStyle w:val="Compact"/>
        <w:numPr>
          <w:ilvl w:val="0"/>
          <w:numId w:val="1062"/>
        </w:numPr>
      </w:pPr>
      <w:r>
        <w:t xml:space="preserve">Continuous monitoring of metric cardinality; growth above the platform’s per-workload budget SHALL drive a cleanup task.</w:t>
      </w:r>
    </w:p>
    <w:p>
      <w:pPr>
        <w:pStyle w:val="Compact"/>
        <w:numPr>
          <w:ilvl w:val="0"/>
          <w:numId w:val="1062"/>
        </w:numPr>
      </w:pPr>
      <w:r>
        <w:t xml:space="preserve">Incident reviews (Chapter 19) SHALL include a section on whether the SLO degradation was detected and paged appropriately.</w:t>
      </w:r>
    </w:p>
    <w:p>
      <w:pPr>
        <w:pStyle w:val="Compact"/>
        <w:numPr>
          <w:ilvl w:val="0"/>
          <w:numId w:val="1062"/>
        </w:numPr>
      </w:pPr>
      <w:r>
        <w:t xml:space="preserve">Synthetic-probe success rate SHALL itself be an SLO.</w:t>
      </w:r>
    </w:p>
    <w:bookmarkEnd w:id="104"/>
    <w:bookmarkStart w:id="105" w:name="exceptions-9"/>
    <w:p>
      <w:pPr>
        <w:pStyle w:val="Heading3"/>
      </w:pPr>
      <w:r>
        <w:t xml:space="preserve">Exceptions</w:t>
      </w:r>
    </w:p>
    <w:p>
      <w:pPr>
        <w:pStyle w:val="FirstParagraph"/>
      </w:pPr>
      <w:r>
        <w:t xml:space="preserve">Workloads in the discovery / experimentation phase MAY operate without formal SLOs for up to ninety (90) days, but SHALL declare working SLIs and SHALL alert on basic health.</w:t>
      </w:r>
      <w:r>
        <w:t xml:space="preserve"> </w:t>
      </w:r>
      <w:r>
        <w:rPr>
          <w:b/>
          <w:bCs/>
        </w:rPr>
        <w:t xml:space="preserve">Exceptions SHALL be time-boxed to 90 days and require ARB approval.</w:t>
      </w:r>
    </w:p>
    <w:bookmarkEnd w:id="105"/>
    <w:bookmarkStart w:id="106" w:name="references-9"/>
    <w:p>
      <w:pPr>
        <w:pStyle w:val="Heading3"/>
      </w:pPr>
      <w:r>
        <w:t xml:space="preserve">References</w:t>
      </w:r>
    </w:p>
    <w:p>
      <w:pPr>
        <w:pStyle w:val="Compact"/>
        <w:numPr>
          <w:ilvl w:val="0"/>
          <w:numId w:val="1063"/>
        </w:numPr>
      </w:pPr>
      <w:r>
        <w:t xml:space="preserve">Microsoft Learn — Azure Monitor overview: https://learn.microsoft.com/en-us/azure/azure-monitor/overview</w:t>
      </w:r>
    </w:p>
    <w:p>
      <w:pPr>
        <w:pStyle w:val="Compact"/>
        <w:numPr>
          <w:ilvl w:val="0"/>
          <w:numId w:val="1063"/>
        </w:numPr>
      </w:pPr>
      <w:r>
        <w:t xml:space="preserve">Microsoft Learn — Define SLOs and SLIs: https://learn.microsoft.com/en-us/azure/well-architected/reliability/metrics</w:t>
      </w:r>
    </w:p>
    <w:p>
      <w:pPr>
        <w:pStyle w:val="Compact"/>
        <w:numPr>
          <w:ilvl w:val="0"/>
          <w:numId w:val="1063"/>
        </w:numPr>
      </w:pPr>
      <w:r>
        <w:t xml:space="preserve">AWS Well-Architected — Operational Excellence pillar: https://docs.aws.amazon.com/wellarchitected/latest/operational-excellence-pillar/welcome.html</w:t>
      </w:r>
    </w:p>
    <w:p>
      <w:pPr>
        <w:pStyle w:val="Compact"/>
        <w:numPr>
          <w:ilvl w:val="0"/>
          <w:numId w:val="1063"/>
        </w:numPr>
      </w:pPr>
      <w:r>
        <w:t xml:space="preserve">AWS CloudWatch user guide: https://docs.aws.amazon.com/AmazonCloudWatch/latest/monitoring/WhatIsCloudWatch.html</w:t>
      </w:r>
    </w:p>
    <w:p>
      <w:pPr>
        <w:pStyle w:val="Compact"/>
        <w:numPr>
          <w:ilvl w:val="0"/>
          <w:numId w:val="1063"/>
        </w:numPr>
      </w:pPr>
      <w:r>
        <w:t xml:space="preserve">Google Cloud — Monitoring overview: https://cloud.google.com/monitoring/docs/monitoring-overview</w:t>
      </w:r>
    </w:p>
    <w:p>
      <w:pPr>
        <w:pStyle w:val="Compact"/>
        <w:numPr>
          <w:ilvl w:val="0"/>
          <w:numId w:val="1063"/>
        </w:numPr>
      </w:pPr>
      <w:r>
        <w:t xml:space="preserve">Google Cloud Architecture Framework — Reliability: https://cloud.google.com/architecture/framework/reliability</w:t>
      </w:r>
    </w:p>
    <w:p>
      <w:pPr>
        <w:pStyle w:val="Compact"/>
        <w:numPr>
          <w:ilvl w:val="0"/>
          <w:numId w:val="1063"/>
        </w:numPr>
      </w:pPr>
      <w:r>
        <w:t xml:space="preserve">Google SRE Book — Service Level Objectives chapter: https://sre.google/sre-book/service-level-objectives/</w:t>
      </w:r>
    </w:p>
    <w:p>
      <w:pPr>
        <w:pStyle w:val="Compact"/>
        <w:numPr>
          <w:ilvl w:val="0"/>
          <w:numId w:val="1063"/>
        </w:numPr>
      </w:pPr>
      <w:r>
        <w:t xml:space="preserve">Google SRE Workbook — Implementing SLOs: https://sre.google/workbook/implementing-slos/</w:t>
      </w:r>
    </w:p>
    <w:p>
      <w:pPr>
        <w:pStyle w:val="Compact"/>
        <w:numPr>
          <w:ilvl w:val="0"/>
          <w:numId w:val="1063"/>
        </w:numPr>
      </w:pPr>
      <w:r>
        <w:t xml:space="preserve">Prometheus best practices — Histograms and summaries: https://prometheus.io/docs/practices/histograms/</w:t>
      </w:r>
    </w:p>
    <w:p>
      <w:pPr>
        <w:pStyle w:val="Compact"/>
        <w:numPr>
          <w:ilvl w:val="0"/>
          <w:numId w:val="1063"/>
        </w:numPr>
      </w:pPr>
      <w:r>
        <w:t xml:space="preserve">USE method (Brendan Gregg): https://www.brendangregg.com/usemethod.html</w:t>
      </w:r>
    </w:p>
    <w:bookmarkEnd w:id="106"/>
    <w:bookmarkEnd w:id="107"/>
    <w:bookmarkStart w:id="116" w:name="Xcd0b1246e8b49a287df1e70a2039d86ec348523"/>
    <w:p>
      <w:pPr>
        <w:pStyle w:val="Heading2"/>
      </w:pPr>
      <w:r>
        <w:t xml:space="preserve">Chapter 11 — Distributed Tracing &amp; Observability</w:t>
      </w:r>
    </w:p>
    <w:bookmarkStart w:id="108" w:name="intent-10"/>
    <w:p>
      <w:pPr>
        <w:pStyle w:val="Heading3"/>
      </w:pPr>
      <w:r>
        <w:t xml:space="preserve">Intent</w:t>
      </w:r>
    </w:p>
    <w:p>
      <w:pPr>
        <w:pStyle w:val="FirstParagraph"/>
      </w:pPr>
      <w:r>
        <w:t xml:space="preserve">Modern corporate workloads cross many process boundaries to serve a single user request. A checkout request may traverse the edge, the API gateway, a half-dozen application services, several managed databases, and at least one outbound third-party call. Logs and metrics alone are insufficient to reason about such a request; what is required is a</w:t>
      </w:r>
      <w:r>
        <w:t xml:space="preserve"> </w:t>
      </w:r>
      <w:r>
        <w:rPr>
          <w:i/>
          <w:iCs/>
        </w:rPr>
        <w:t xml:space="preserve">trace</w:t>
      </w:r>
      <w:r>
        <w:t xml:space="preserve"> </w:t>
      </w:r>
      <w:r>
        <w:t xml:space="preserve">that follows the request across every boundary, attributes time to each span of work, and exposes the structural relationships among components. This chapter governs how the corporation instruments, transports, samples, stores, and consumes distributed traces across Azure, AWS, and GCP.</w:t>
      </w:r>
    </w:p>
    <w:p>
      <w:pPr>
        <w:pStyle w:val="BodyText"/>
      </w:pPr>
      <w:r>
        <w:t xml:space="preserve">The single mandate of this chapter is that</w:t>
      </w:r>
      <w:r>
        <w:t xml:space="preserve"> </w:t>
      </w:r>
      <w:r>
        <w:rPr>
          <w:b/>
          <w:bCs/>
        </w:rPr>
        <w:t xml:space="preserve">every corporate workload emits OpenTelemetry traces with W3C trace-context propagation</w:t>
      </w:r>
      <w:r>
        <w:t xml:space="preserve">. Vendor-specific tracing SDKs (Azure Monitor Application Insights classic, AWS X-Ray SDK in pre-OTel form, GCP Stackdriver Trace SDK) are not acceptable as primary instrumentation; OpenTelemetry is the corporate standard, with cloud-provider exporters used to land traces in the appropriate backend.</w:t>
      </w:r>
    </w:p>
    <w:bookmarkEnd w:id="108"/>
    <w:bookmarkStart w:id="109" w:name="scope-11"/>
    <w:p>
      <w:pPr>
        <w:pStyle w:val="Heading3"/>
      </w:pPr>
      <w:r>
        <w:t xml:space="preserve">Scope</w:t>
      </w:r>
    </w:p>
    <w:p>
      <w:pPr>
        <w:pStyle w:val="Compact"/>
        <w:numPr>
          <w:ilvl w:val="0"/>
          <w:numId w:val="1064"/>
        </w:numPr>
      </w:pPr>
      <w:r>
        <w:t xml:space="preserve">Every production application emitting tracing data.</w:t>
      </w:r>
    </w:p>
    <w:p>
      <w:pPr>
        <w:pStyle w:val="Compact"/>
        <w:numPr>
          <w:ilvl w:val="0"/>
          <w:numId w:val="1064"/>
        </w:numPr>
      </w:pPr>
      <w:r>
        <w:t xml:space="preserve">Every shared infrastructure component (edge, gateway, service mesh, queue) involved in request flow.</w:t>
      </w:r>
    </w:p>
    <w:p>
      <w:pPr>
        <w:pStyle w:val="Compact"/>
        <w:numPr>
          <w:ilvl w:val="0"/>
          <w:numId w:val="1064"/>
        </w:numPr>
      </w:pPr>
      <w:r>
        <w:t xml:space="preserve">Every CI/CD pipeline that processes corporate code (pipeline tracing is increasingly important; see Chapter 14).</w:t>
      </w:r>
    </w:p>
    <w:p>
      <w:pPr>
        <w:pStyle w:val="Compact"/>
        <w:numPr>
          <w:ilvl w:val="0"/>
          <w:numId w:val="1064"/>
        </w:numPr>
      </w:pPr>
      <w:r>
        <w:t xml:space="preserve">The tracing backends: Application Insights, AWS X-Ray with OTel ingestion, GCP Cloud Trace with OTel ingestion, and any self-managed Jaeger or Tempo deployments.</w:t>
      </w:r>
    </w:p>
    <w:bookmarkEnd w:id="109"/>
    <w:bookmarkStart w:id="110" w:name="mandatory-controls-10"/>
    <w:p>
      <w:pPr>
        <w:pStyle w:val="Heading3"/>
      </w:pPr>
      <w:r>
        <w:t xml:space="preserve">Mandatory Controls</w:t>
      </w:r>
    </w:p>
    <w:p>
      <w:pPr>
        <w:pStyle w:val="Compact"/>
        <w:numPr>
          <w:ilvl w:val="0"/>
          <w:numId w:val="1065"/>
        </w:numPr>
      </w:pPr>
      <w:r>
        <w:t xml:space="preserve">All workloads SHALL be instrumented with OpenTelemetry SDKs in the language of the workload; auto-instrumentation SHOULD be enabled where available.</w:t>
      </w:r>
    </w:p>
    <w:p>
      <w:pPr>
        <w:pStyle w:val="Compact"/>
        <w:numPr>
          <w:ilvl w:val="0"/>
          <w:numId w:val="1065"/>
        </w:numPr>
      </w:pPr>
      <w:r>
        <w:t xml:space="preserve">All workloads SHALL propagate context using the W3C Trace Context (</w:t>
      </w:r>
      <w:r>
        <w:rPr>
          <w:rStyle w:val="VerbatimChar"/>
        </w:rPr>
        <w:t xml:space="preserve">traceparent</w:t>
      </w:r>
      <w:r>
        <w:t xml:space="preserve"> </w:t>
      </w:r>
      <w:r>
        <w:t xml:space="preserve">and</w:t>
      </w:r>
      <w:r>
        <w:t xml:space="preserve"> </w:t>
      </w:r>
      <w:r>
        <w:rPr>
          <w:rStyle w:val="VerbatimChar"/>
        </w:rPr>
        <w:t xml:space="preserve">tracestate</w:t>
      </w:r>
      <w:r>
        <w:t xml:space="preserve">) headers; legacy</w:t>
      </w:r>
      <w:r>
        <w:t xml:space="preserve"> </w:t>
      </w:r>
      <w:r>
        <w:rPr>
          <w:rStyle w:val="VerbatimChar"/>
        </w:rPr>
        <w:t xml:space="preserve">x-b3-*</w:t>
      </w:r>
      <w:r>
        <w:t xml:space="preserve">,</w:t>
      </w:r>
      <w:r>
        <w:t xml:space="preserve"> </w:t>
      </w:r>
      <w:r>
        <w:rPr>
          <w:rStyle w:val="VerbatimChar"/>
        </w:rPr>
        <w:t xml:space="preserve">x-amzn-trace-id</w:t>
      </w:r>
      <w:r>
        <w:t xml:space="preserve">, and proprietary header schemes SHALL be additionally supported only for compatibility, not as primary propagation.</w:t>
      </w:r>
    </w:p>
    <w:p>
      <w:pPr>
        <w:pStyle w:val="Compact"/>
        <w:numPr>
          <w:ilvl w:val="0"/>
          <w:numId w:val="1065"/>
        </w:numPr>
      </w:pPr>
      <w:r>
        <w:t xml:space="preserve">Tracing SHALL produce spans for at least: every inbound request received by the service, every outbound network call made by the service, every database or cache operation, and every operation that crosses a process or thread boundary affecting latency.</w:t>
      </w:r>
    </w:p>
    <w:p>
      <w:pPr>
        <w:pStyle w:val="Compact"/>
        <w:numPr>
          <w:ilvl w:val="0"/>
          <w:numId w:val="1065"/>
        </w:numPr>
      </w:pPr>
      <w:r>
        <w:t xml:space="preserve">Trace spans SHALL include semantic-convention attributes (</w:t>
      </w:r>
      <w:r>
        <w:rPr>
          <w:rStyle w:val="VerbatimChar"/>
        </w:rPr>
        <w:t xml:space="preserve">http.method</w:t>
      </w:r>
      <w:r>
        <w:t xml:space="preserve">,</w:t>
      </w:r>
      <w:r>
        <w:t xml:space="preserve"> </w:t>
      </w:r>
      <w:r>
        <w:rPr>
          <w:rStyle w:val="VerbatimChar"/>
        </w:rPr>
        <w:t xml:space="preserve">http.route</w:t>
      </w:r>
      <w:r>
        <w:t xml:space="preserve">,</w:t>
      </w:r>
      <w:r>
        <w:t xml:space="preserve"> </w:t>
      </w:r>
      <w:r>
        <w:rPr>
          <w:rStyle w:val="VerbatimChar"/>
        </w:rPr>
        <w:t xml:space="preserve">http.status_code</w:t>
      </w:r>
      <w:r>
        <w:t xml:space="preserve">,</w:t>
      </w:r>
      <w:r>
        <w:t xml:space="preserve"> </w:t>
      </w:r>
      <w:r>
        <w:rPr>
          <w:rStyle w:val="VerbatimChar"/>
        </w:rPr>
        <w:t xml:space="preserve">db.system</w:t>
      </w:r>
      <w:r>
        <w:t xml:space="preserve">,</w:t>
      </w:r>
      <w:r>
        <w:t xml:space="preserve"> </w:t>
      </w:r>
      <w:r>
        <w:rPr>
          <w:rStyle w:val="VerbatimChar"/>
        </w:rPr>
        <w:t xml:space="preserve">db.statement</w:t>
      </w:r>
      <w:r>
        <w:t xml:space="preserve"> </w:t>
      </w:r>
      <w:r>
        <w:t xml:space="preserve">excluding sensitive parameters,</w:t>
      </w:r>
      <w:r>
        <w:t xml:space="preserve"> </w:t>
      </w:r>
      <w:r>
        <w:rPr>
          <w:rStyle w:val="VerbatimChar"/>
        </w:rPr>
        <w:t xml:space="preserve">messaging.system</w:t>
      </w:r>
      <w:r>
        <w:t xml:space="preserve">,</w:t>
      </w:r>
      <w:r>
        <w:t xml:space="preserve"> </w:t>
      </w:r>
      <w:r>
        <w:rPr>
          <w:rStyle w:val="VerbatimChar"/>
        </w:rPr>
        <w:t xml:space="preserve">peer.service</w:t>
      </w:r>
      <w:r>
        <w:t xml:space="preserve">,</w:t>
      </w:r>
      <w:r>
        <w:t xml:space="preserve"> </w:t>
      </w:r>
      <w:r>
        <w:rPr>
          <w:rStyle w:val="VerbatimChar"/>
        </w:rPr>
        <w:t xml:space="preserve">service.name</w:t>
      </w:r>
      <w:r>
        <w:t xml:space="preserve">,</w:t>
      </w:r>
      <w:r>
        <w:t xml:space="preserve"> </w:t>
      </w:r>
      <w:r>
        <w:rPr>
          <w:rStyle w:val="VerbatimChar"/>
        </w:rPr>
        <w:t xml:space="preserve">service.version</w:t>
      </w:r>
      <w:r>
        <w:t xml:space="preserve">,</w:t>
      </w:r>
      <w:r>
        <w:t xml:space="preserve"> </w:t>
      </w:r>
      <w:r>
        <w:rPr>
          <w:rStyle w:val="VerbatimChar"/>
        </w:rPr>
        <w:t xml:space="preserve">deployment.environment</w:t>
      </w:r>
      <w:r>
        <w:t xml:space="preserve">).</w:t>
      </w:r>
    </w:p>
    <w:p>
      <w:pPr>
        <w:pStyle w:val="Compact"/>
        <w:numPr>
          <w:ilvl w:val="0"/>
          <w:numId w:val="1065"/>
        </w:numPr>
      </w:pPr>
      <w:r>
        <w:t xml:space="preserve">Trace exports SHALL include cloud / environment attributes (</w:t>
      </w:r>
      <w:r>
        <w:rPr>
          <w:rStyle w:val="VerbatimChar"/>
        </w:rPr>
        <w:t xml:space="preserve">cloud.provider</w:t>
      </w:r>
      <w:r>
        <w:t xml:space="preserve">,</w:t>
      </w:r>
      <w:r>
        <w:t xml:space="preserve"> </w:t>
      </w:r>
      <w:r>
        <w:rPr>
          <w:rStyle w:val="VerbatimChar"/>
        </w:rPr>
        <w:t xml:space="preserve">cloud.region</w:t>
      </w:r>
      <w:r>
        <w:t xml:space="preserve">,</w:t>
      </w:r>
      <w:r>
        <w:t xml:space="preserve"> </w:t>
      </w:r>
      <w:r>
        <w:rPr>
          <w:rStyle w:val="VerbatimChar"/>
        </w:rPr>
        <w:t xml:space="preserve">cloud.availability_zone</w:t>
      </w:r>
      <w:r>
        <w:t xml:space="preserve">,</w:t>
      </w:r>
      <w:r>
        <w:t xml:space="preserve"> </w:t>
      </w:r>
      <w:r>
        <w:rPr>
          <w:rStyle w:val="VerbatimChar"/>
        </w:rPr>
        <w:t xml:space="preserve">k8s.namespace.name</w:t>
      </w:r>
      <w:r>
        <w:t xml:space="preserve">,</w:t>
      </w:r>
      <w:r>
        <w:t xml:space="preserve"> </w:t>
      </w:r>
      <w:r>
        <w:rPr>
          <w:rStyle w:val="VerbatimChar"/>
        </w:rPr>
        <w:t xml:space="preserve">k8s.pod.name</w:t>
      </w:r>
      <w:r>
        <w:t xml:space="preserve"> </w:t>
      </w:r>
      <w:r>
        <w:t xml:space="preserve">where applicable).</w:t>
      </w:r>
    </w:p>
    <w:p>
      <w:pPr>
        <w:pStyle w:val="Compact"/>
        <w:numPr>
          <w:ilvl w:val="0"/>
          <w:numId w:val="1065"/>
        </w:numPr>
      </w:pPr>
      <w:r>
        <w:t xml:space="preserve">The corporate trace correlation identifier SHALL be the W3C trace-id; the same trace-id SHALL appear in logs (Chapter 9) and metrics exemplars to enable pivot.</w:t>
      </w:r>
    </w:p>
    <w:p>
      <w:pPr>
        <w:pStyle w:val="Compact"/>
        <w:numPr>
          <w:ilvl w:val="0"/>
          <w:numId w:val="1065"/>
        </w:numPr>
      </w:pPr>
      <w:r>
        <w:t xml:space="preserve">Sampling SHALL be configured at the application boundary using a tail-based or head-based strategy appropriate to the workload’s traffic volume; default head-based sampling at one (1) percent for high-volume services with explicit upsampling of error and slow-latency traces.</w:t>
      </w:r>
    </w:p>
    <w:p>
      <w:pPr>
        <w:pStyle w:val="Compact"/>
        <w:numPr>
          <w:ilvl w:val="0"/>
          <w:numId w:val="1065"/>
        </w:numPr>
      </w:pPr>
      <w:r>
        <w:t xml:space="preserve">Sampled-out traces SHALL still emit aggregate metrics; service-level metrics SHALL NOT be derived from sampled traces.</w:t>
      </w:r>
    </w:p>
    <w:p>
      <w:pPr>
        <w:pStyle w:val="Compact"/>
        <w:numPr>
          <w:ilvl w:val="0"/>
          <w:numId w:val="1065"/>
        </w:numPr>
      </w:pPr>
      <w:r>
        <w:t xml:space="preserve">Spans SHALL NOT carry payload bodies, personal data, secrets, or credentials. Specifically,</w:t>
      </w:r>
      <w:r>
        <w:t xml:space="preserve"> </w:t>
      </w:r>
      <w:r>
        <w:rPr>
          <w:rStyle w:val="VerbatimChar"/>
        </w:rPr>
        <w:t xml:space="preserve">db.statement</w:t>
      </w:r>
      <w:r>
        <w:t xml:space="preserve"> </w:t>
      </w:r>
      <w:r>
        <w:t xml:space="preserve">attributes SHALL contain the parameterized statement form (no inlined parameters).</w:t>
      </w:r>
    </w:p>
    <w:p>
      <w:pPr>
        <w:pStyle w:val="Compact"/>
        <w:numPr>
          <w:ilvl w:val="0"/>
          <w:numId w:val="1065"/>
        </w:numPr>
      </w:pPr>
      <w:r>
        <w:t xml:space="preserve">Critical paths (login, checkout, payment, regulated workflows) SHALL be sampled at one hundred (100) percent and SHALL be retained for a longer period than baseline traces.</w:t>
      </w:r>
    </w:p>
    <w:p>
      <w:pPr>
        <w:pStyle w:val="Compact"/>
        <w:numPr>
          <w:ilvl w:val="0"/>
          <w:numId w:val="1065"/>
        </w:numPr>
      </w:pPr>
      <w:r>
        <w:t xml:space="preserve">Tracing exporters SHALL fail safe: a backend outage SHALL NOT block the application’s request path. Bounded queueing with drop-on-full SHALL be configured.</w:t>
      </w:r>
    </w:p>
    <w:p>
      <w:pPr>
        <w:pStyle w:val="Compact"/>
        <w:numPr>
          <w:ilvl w:val="0"/>
          <w:numId w:val="1065"/>
        </w:numPr>
      </w:pPr>
      <w:r>
        <w:t xml:space="preserve">Trace backends SHALL retain spans for at least seven (7) days at full fidelity, with aggregated summaries retained for thirteen (13) months.</w:t>
      </w:r>
    </w:p>
    <w:p>
      <w:pPr>
        <w:pStyle w:val="Compact"/>
        <w:numPr>
          <w:ilvl w:val="0"/>
          <w:numId w:val="1065"/>
        </w:numPr>
      </w:pPr>
      <w:r>
        <w:t xml:space="preserve">End-to-end trace coverage (the fraction of root spans whose entire downstream tree has spans from every called service) SHALL be measured continuously and SHALL be itself an SLI for the platform observability team.</w:t>
      </w:r>
    </w:p>
    <w:p>
      <w:pPr>
        <w:pStyle w:val="Compact"/>
        <w:numPr>
          <w:ilvl w:val="0"/>
          <w:numId w:val="1065"/>
        </w:numPr>
      </w:pPr>
      <w:r>
        <w:t xml:space="preserve">Trace span attributes SHALL NOT be used for high-cardinality data that belongs in logs (full URLs with query strings, full user-agent strings); span attributes have backend cost implications.</w:t>
      </w:r>
    </w:p>
    <w:bookmarkEnd w:id="110"/>
    <w:bookmarkStart w:id="111" w:name="patterns-recommended-10"/>
    <w:p>
      <w:pPr>
        <w:pStyle w:val="Heading3"/>
      </w:pPr>
      <w:r>
        <w:t xml:space="preserve">Patterns (Recommended)</w:t>
      </w:r>
    </w:p>
    <w:p>
      <w:pPr>
        <w:pStyle w:val="Compact"/>
        <w:numPr>
          <w:ilvl w:val="0"/>
          <w:numId w:val="1066"/>
        </w:numPr>
      </w:pPr>
      <w:r>
        <w:rPr>
          <w:b/>
          <w:bCs/>
        </w:rPr>
        <w:t xml:space="preserve">Auto-instrumentation first, manual instrumentation surgical.</w:t>
      </w:r>
      <w:r>
        <w:t xml:space="preserve"> </w:t>
      </w:r>
      <w:r>
        <w:t xml:space="preserve">New services SHOULD start with the language’s OpenTelemetry auto-instrumentation, which covers HTTP servers, HTTP clients, common database drivers, message brokers, and the cloud SDKs. Per the OpenTelemetry documentation, auto-instrumentation typically achieves 80 % of useful trace coverage with minimal code change; manual instrumentation is reserved for business-domain spans (e.g.,</w:t>
      </w:r>
      <w:r>
        <w:t xml:space="preserve"> </w:t>
      </w:r>
      <w:r>
        <w:t xml:space="preserve">“compute pricing”</w:t>
      </w:r>
      <w:r>
        <w:t xml:space="preserve">,</w:t>
      </w:r>
      <w:r>
        <w:t xml:space="preserve"> </w:t>
      </w:r>
      <w:r>
        <w:t xml:space="preserve">“evaluate risk model”</w:t>
      </w:r>
      <w:r>
        <w:t xml:space="preserve">).</w:t>
      </w:r>
    </w:p>
    <w:p>
      <w:pPr>
        <w:pStyle w:val="Compact"/>
        <w:numPr>
          <w:ilvl w:val="0"/>
          <w:numId w:val="1066"/>
        </w:numPr>
      </w:pPr>
      <w:r>
        <w:rPr>
          <w:b/>
          <w:bCs/>
        </w:rPr>
        <w:t xml:space="preserve">Service-mesh tracing for east-west spans.</w:t>
      </w:r>
      <w:r>
        <w:t xml:space="preserve"> </w:t>
      </w:r>
      <w:r>
        <w:t xml:space="preserve">When workloads run inside a service mesh (Chapter 16), the sidecar SHOULD emit a span per hop, providing visibility into mesh-imposed latency (mTLS handshake, retries) without instrumenting application code. Per the Istio observability documentation, mesh tracing is the canonical way to capture network-level spans.</w:t>
      </w:r>
    </w:p>
    <w:p>
      <w:pPr>
        <w:pStyle w:val="Compact"/>
        <w:numPr>
          <w:ilvl w:val="0"/>
          <w:numId w:val="1066"/>
        </w:numPr>
      </w:pPr>
      <w:r>
        <w:rPr>
          <w:b/>
          <w:bCs/>
        </w:rPr>
        <w:t xml:space="preserve">Tail-based sampling for error and latency outliers.</w:t>
      </w:r>
      <w:r>
        <w:t xml:space="preserve"> </w:t>
      </w:r>
      <w:r>
        <w:t xml:space="preserve">For workloads where 1 % head-based sampling would miss interesting cases, a tail-based sampler in the OTel Collector SHOULD upsample traces whose root span had a 5xx, an exception, or a latency above the p99 threshold. Per the OpenTelemetry Collector tail-sampling processor documentation, this preserves diagnostic value while controlling backend cost.</w:t>
      </w:r>
    </w:p>
    <w:p>
      <w:pPr>
        <w:pStyle w:val="Compact"/>
        <w:numPr>
          <w:ilvl w:val="0"/>
          <w:numId w:val="1066"/>
        </w:numPr>
      </w:pPr>
      <w:r>
        <w:rPr>
          <w:b/>
          <w:bCs/>
        </w:rPr>
        <w:t xml:space="preserve">Exemplars on histograms.</w:t>
      </w:r>
      <w:r>
        <w:t xml:space="preserve"> </w:t>
      </w:r>
      <w:r>
        <w:t xml:space="preserve">Latency histograms SHOULD emit trace-id exemplars at the bucket boundary, so that a single click on a dashboard latency outlier opens the offending trace. Per the Prometheus exemplar documentation, exemplars are the killer-feature of integrated metrics-and-traces and SHOULD be enabled for tier-1 services.</w:t>
      </w:r>
    </w:p>
    <w:p>
      <w:pPr>
        <w:pStyle w:val="Compact"/>
        <w:numPr>
          <w:ilvl w:val="0"/>
          <w:numId w:val="1066"/>
        </w:numPr>
      </w:pPr>
      <w:r>
        <w:rPr>
          <w:b/>
          <w:bCs/>
        </w:rPr>
        <w:t xml:space="preserve">Pipeline tracing for CI/CD.</w:t>
      </w:r>
      <w:r>
        <w:t xml:space="preserve"> </w:t>
      </w:r>
      <w:r>
        <w:t xml:space="preserve">CI/CD pipelines themselves SHOULD emit traces, treating each stage as a span. Per the OpenTelemetry CI/CD semantic conventions (draft), pipeline tracing dramatically simplifies the diagnosis of slow or flaky builds.</w:t>
      </w:r>
    </w:p>
    <w:bookmarkEnd w:id="111"/>
    <w:bookmarkStart w:id="112" w:name="anti-patterns-prohibited-10"/>
    <w:p>
      <w:pPr>
        <w:pStyle w:val="Heading3"/>
      </w:pPr>
      <w:r>
        <w:t xml:space="preserve">Anti-Patterns (Prohibited)</w:t>
      </w:r>
    </w:p>
    <w:p>
      <w:pPr>
        <w:pStyle w:val="Compact"/>
        <w:numPr>
          <w:ilvl w:val="0"/>
          <w:numId w:val="1067"/>
        </w:numPr>
      </w:pPr>
      <w:r>
        <w:rPr>
          <w:b/>
          <w:bCs/>
        </w:rPr>
        <w:t xml:space="preserve">MUST NOT</w:t>
      </w:r>
      <w:r>
        <w:t xml:space="preserve"> </w:t>
      </w:r>
      <w:r>
        <w:t xml:space="preserve">ship a service to production without trace instrumentation. Trace coverage is part of the production-readiness review.</w:t>
      </w:r>
    </w:p>
    <w:p>
      <w:pPr>
        <w:pStyle w:val="Compact"/>
        <w:numPr>
          <w:ilvl w:val="0"/>
          <w:numId w:val="1067"/>
        </w:numPr>
      </w:pPr>
      <w:r>
        <w:rPr>
          <w:b/>
          <w:bCs/>
        </w:rPr>
        <w:t xml:space="preserve">SHALL NOT</w:t>
      </w:r>
      <w:r>
        <w:t xml:space="preserve"> </w:t>
      </w:r>
      <w:r>
        <w:t xml:space="preserve">embed personal data, secrets, or full request bodies as span attributes. Span attribute values are searchable and persisted at low cost — exactly the worst place to land a credential.</w:t>
      </w:r>
    </w:p>
    <w:p>
      <w:pPr>
        <w:pStyle w:val="Compact"/>
        <w:numPr>
          <w:ilvl w:val="0"/>
          <w:numId w:val="1067"/>
        </w:numPr>
      </w:pPr>
      <w:r>
        <w:rPr>
          <w:b/>
          <w:bCs/>
        </w:rPr>
        <w:t xml:space="preserve">MUST NOT</w:t>
      </w:r>
      <w:r>
        <w:t xml:space="preserve"> </w:t>
      </w:r>
      <w:r>
        <w:t xml:space="preserve">disable trace context propagation across asynchronous boundaries. When work is enqueued (Service Bus, SQS, Pub/Sub), the trace context SHALL be carried in message properties and resumed on dequeue, producing a single end-to-end trace across the asynchronous gap.</w:t>
      </w:r>
    </w:p>
    <w:p>
      <w:pPr>
        <w:pStyle w:val="Compact"/>
        <w:numPr>
          <w:ilvl w:val="0"/>
          <w:numId w:val="1067"/>
        </w:numPr>
      </w:pPr>
      <w:r>
        <w:rPr>
          <w:b/>
          <w:bCs/>
        </w:rPr>
        <w:t xml:space="preserve">SHALL NOT</w:t>
      </w:r>
      <w:r>
        <w:t xml:space="preserve"> </w:t>
      </w:r>
      <w:r>
        <w:t xml:space="preserve">use one vendor-specific tracing SDK in one service and a different vendor-specific SDK in another, except as a transitional state. Heterogeneous tracing SDKs produce incompatible trace fragments and defeat correlation.</w:t>
      </w:r>
    </w:p>
    <w:p>
      <w:pPr>
        <w:pStyle w:val="Compact"/>
        <w:numPr>
          <w:ilvl w:val="0"/>
          <w:numId w:val="1067"/>
        </w:numPr>
      </w:pPr>
      <w:r>
        <w:rPr>
          <w:b/>
          <w:bCs/>
        </w:rPr>
        <w:t xml:space="preserve">MUST NOT</w:t>
      </w:r>
      <w:r>
        <w:t xml:space="preserve"> </w:t>
      </w:r>
      <w:r>
        <w:t xml:space="preserve">sample uniformly across all services in a multi-tier system. A service that fans out to ten downstreams at 100 % sampling will produce ten times the load on those downstreams — sampling SHALL be coordinated.</w:t>
      </w:r>
    </w:p>
    <w:p>
      <w:pPr>
        <w:pStyle w:val="Compact"/>
        <w:numPr>
          <w:ilvl w:val="0"/>
          <w:numId w:val="1067"/>
        </w:numPr>
      </w:pPr>
      <w:r>
        <w:rPr>
          <w:b/>
          <w:bCs/>
        </w:rPr>
        <w:t xml:space="preserve">SHALL NOT</w:t>
      </w:r>
      <w:r>
        <w:t xml:space="preserve"> </w:t>
      </w:r>
      <w:r>
        <w:t xml:space="preserve">rely on tracing in place of structured logging. Traces have a different access path, different retention, different sampling, and different audit posture from logs; they complement, they do not replace.</w:t>
      </w:r>
    </w:p>
    <w:bookmarkEnd w:id="112"/>
    <w:bookmarkStart w:id="113" w:name="evidence-audit-10"/>
    <w:p>
      <w:pPr>
        <w:pStyle w:val="Heading3"/>
      </w:pPr>
      <w:r>
        <w:t xml:space="preserve">Evidence &amp; Audit</w:t>
      </w:r>
    </w:p>
    <w:p>
      <w:pPr>
        <w:pStyle w:val="Compact"/>
        <w:numPr>
          <w:ilvl w:val="0"/>
          <w:numId w:val="1068"/>
        </w:numPr>
      </w:pPr>
      <w:r>
        <w:t xml:space="preserve">Continuous measurement of trace coverage per workload (percentage of inbound requests with a corresponding outbound trace and downstream spans); coverage below the corporate floor SHALL drive a defect.</w:t>
      </w:r>
    </w:p>
    <w:p>
      <w:pPr>
        <w:pStyle w:val="Compact"/>
        <w:numPr>
          <w:ilvl w:val="0"/>
          <w:numId w:val="1068"/>
        </w:numPr>
      </w:pPr>
      <w:r>
        <w:t xml:space="preserve">Quarterly audit of span attributes for sensitive data; matches SHALL trigger a defect.</w:t>
      </w:r>
    </w:p>
    <w:p>
      <w:pPr>
        <w:pStyle w:val="Compact"/>
        <w:numPr>
          <w:ilvl w:val="0"/>
          <w:numId w:val="1068"/>
        </w:numPr>
      </w:pPr>
      <w:r>
        <w:t xml:space="preserve">Continuous monitoring of tracing-backend ingestion rate; sudden drops SHALL alert.</w:t>
      </w:r>
    </w:p>
    <w:p>
      <w:pPr>
        <w:pStyle w:val="Compact"/>
        <w:numPr>
          <w:ilvl w:val="0"/>
          <w:numId w:val="1068"/>
        </w:numPr>
      </w:pPr>
      <w:r>
        <w:t xml:space="preserve">Quarterly drill: from a single corporate trace-id, reconstruct an end-to-end request flow across all involved clouds, verifying that the trace is complete.</w:t>
      </w:r>
    </w:p>
    <w:p>
      <w:pPr>
        <w:pStyle w:val="Compact"/>
        <w:numPr>
          <w:ilvl w:val="0"/>
          <w:numId w:val="1068"/>
        </w:numPr>
      </w:pPr>
      <w:r>
        <w:t xml:space="preserve">Annual review of sampling configuration against backend cost and diagnostic completeness.</w:t>
      </w:r>
    </w:p>
    <w:bookmarkEnd w:id="113"/>
    <w:bookmarkStart w:id="114" w:name="exceptions-10"/>
    <w:p>
      <w:pPr>
        <w:pStyle w:val="Heading3"/>
      </w:pPr>
      <w:r>
        <w:t xml:space="preserve">Exceptions</w:t>
      </w:r>
    </w:p>
    <w:p>
      <w:pPr>
        <w:pStyle w:val="FirstParagraph"/>
      </w:pPr>
      <w:r>
        <w:t xml:space="preserve">Vendor-supplied appliances that cannot emit OpenTelemetry SHALL be wrapped by an adapter that synthesizes spans from the appliance’s logs or metrics.</w:t>
      </w:r>
      <w:r>
        <w:t xml:space="preserve"> </w:t>
      </w:r>
      <w:r>
        <w:rPr>
          <w:b/>
          <w:bCs/>
        </w:rPr>
        <w:t xml:space="preserve">Exceptions SHALL be time-boxed to 90 days and require ARB approval.</w:t>
      </w:r>
    </w:p>
    <w:bookmarkEnd w:id="114"/>
    <w:bookmarkStart w:id="115" w:name="references-10"/>
    <w:p>
      <w:pPr>
        <w:pStyle w:val="Heading3"/>
      </w:pPr>
      <w:r>
        <w:t xml:space="preserve">References</w:t>
      </w:r>
    </w:p>
    <w:p>
      <w:pPr>
        <w:pStyle w:val="Compact"/>
        <w:numPr>
          <w:ilvl w:val="0"/>
          <w:numId w:val="1069"/>
        </w:numPr>
      </w:pPr>
      <w:r>
        <w:t xml:space="preserve">OpenTelemetry — Specification: https://opentelemetry.io/docs/specs/otel/</w:t>
      </w:r>
    </w:p>
    <w:p>
      <w:pPr>
        <w:pStyle w:val="Compact"/>
        <w:numPr>
          <w:ilvl w:val="0"/>
          <w:numId w:val="1069"/>
        </w:numPr>
      </w:pPr>
      <w:r>
        <w:t xml:space="preserve">OpenTelemetry — Semantic conventions: https://opentelemetry.io/docs/specs/semconv/</w:t>
      </w:r>
    </w:p>
    <w:p>
      <w:pPr>
        <w:pStyle w:val="Compact"/>
        <w:numPr>
          <w:ilvl w:val="0"/>
          <w:numId w:val="1069"/>
        </w:numPr>
      </w:pPr>
      <w:r>
        <w:t xml:space="preserve">W3C — Trace Context recommendation: https://www.w3.org/TR/trace-context/</w:t>
      </w:r>
    </w:p>
    <w:p>
      <w:pPr>
        <w:pStyle w:val="Compact"/>
        <w:numPr>
          <w:ilvl w:val="0"/>
          <w:numId w:val="1069"/>
        </w:numPr>
      </w:pPr>
      <w:r>
        <w:t xml:space="preserve">Microsoft Learn — Azure Monitor OpenTelemetry overview: https://learn.microsoft.com/en-us/azure/azure-monitor/app/opentelemetry-overview</w:t>
      </w:r>
    </w:p>
    <w:p>
      <w:pPr>
        <w:pStyle w:val="Compact"/>
        <w:numPr>
          <w:ilvl w:val="0"/>
          <w:numId w:val="1069"/>
        </w:numPr>
      </w:pPr>
      <w:r>
        <w:t xml:space="preserve">Microsoft Learn — Application Insights and OpenTelemetry: https://learn.microsoft.com/en-us/azure/azure-monitor/app/opentelemetry-enable</w:t>
      </w:r>
    </w:p>
    <w:p>
      <w:pPr>
        <w:pStyle w:val="Compact"/>
        <w:numPr>
          <w:ilvl w:val="0"/>
          <w:numId w:val="1069"/>
        </w:numPr>
      </w:pPr>
      <w:r>
        <w:t xml:space="preserve">AWS Distro for OpenTelemetry: https://aws-otel.github.io/</w:t>
      </w:r>
    </w:p>
    <w:p>
      <w:pPr>
        <w:pStyle w:val="Compact"/>
        <w:numPr>
          <w:ilvl w:val="0"/>
          <w:numId w:val="1069"/>
        </w:numPr>
      </w:pPr>
      <w:r>
        <w:t xml:space="preserve">AWS X-Ray developer guide: https://docs.aws.amazon.com/xray/latest/devguide/aws-xray.html</w:t>
      </w:r>
    </w:p>
    <w:p>
      <w:pPr>
        <w:pStyle w:val="Compact"/>
        <w:numPr>
          <w:ilvl w:val="0"/>
          <w:numId w:val="1069"/>
        </w:numPr>
      </w:pPr>
      <w:r>
        <w:t xml:space="preserve">Google Cloud Trace — OpenTelemetry integration: https://cloud.google.com/trace/docs/setup</w:t>
      </w:r>
    </w:p>
    <w:p>
      <w:pPr>
        <w:pStyle w:val="Compact"/>
        <w:numPr>
          <w:ilvl w:val="0"/>
          <w:numId w:val="1069"/>
        </w:numPr>
      </w:pPr>
      <w:r>
        <w:t xml:space="preserve">OpenTelemetry Collector — Tail Sampling processor: https://github.com/open-telemetry/opentelemetry-collector-contrib/tree/main/processor/tailsamplingprocessor</w:t>
      </w:r>
    </w:p>
    <w:p>
      <w:pPr>
        <w:pStyle w:val="Compact"/>
        <w:numPr>
          <w:ilvl w:val="0"/>
          <w:numId w:val="1069"/>
        </w:numPr>
      </w:pPr>
      <w:r>
        <w:t xml:space="preserve">Prometheus — Exemplars: https://prometheus.io/docs/concepts/exemplars/</w:t>
      </w:r>
    </w:p>
    <w:bookmarkEnd w:id="115"/>
    <w:bookmarkEnd w:id="116"/>
    <w:bookmarkStart w:id="125" w:name="X37348d907367ebec55daadb443f973f6b231a29"/>
    <w:p>
      <w:pPr>
        <w:pStyle w:val="Heading2"/>
      </w:pPr>
      <w:r>
        <w:t xml:space="preserve">Chapter 12 — Exception Handling &amp; Error Contracts</w:t>
      </w:r>
    </w:p>
    <w:bookmarkStart w:id="117" w:name="intent-11"/>
    <w:p>
      <w:pPr>
        <w:pStyle w:val="Heading3"/>
      </w:pPr>
      <w:r>
        <w:t xml:space="preserve">Intent</w:t>
      </w:r>
    </w:p>
    <w:p>
      <w:pPr>
        <w:pStyle w:val="FirstParagraph"/>
      </w:pPr>
      <w:r>
        <w:t xml:space="preserve">The way a workload handles errors is a load-bearing element of its security and reliability posture. This chapter governs how the corporation’s services represent errors to their callers, how unhandled exceptions are caught and logged without leaking sensitive information, how idempotency and retry-safety are signaled to callers, and how the service degrades when downstream dependencies fail. The objective is to ensure that every error visible at a service boundary is intentional, informative, and free of sensitive internals.</w:t>
      </w:r>
    </w:p>
    <w:p>
      <w:pPr>
        <w:pStyle w:val="BodyText"/>
      </w:pPr>
      <w:r>
        <w:t xml:space="preserve">Error contracts are also a developer-experience concern. A service whose error responses are inconsistent forces every caller to write bespoke parsing code; a service whose error responses follow a single, well-known schema (RFC 7807 Problem Details for HTTP, with corporate extensions) is dramatically cheaper to integrate. This chapter codifies that contract.</w:t>
      </w:r>
    </w:p>
    <w:bookmarkEnd w:id="117"/>
    <w:bookmarkStart w:id="118" w:name="scope-12"/>
    <w:p>
      <w:pPr>
        <w:pStyle w:val="Heading3"/>
      </w:pPr>
      <w:r>
        <w:t xml:space="preserve">Scope</w:t>
      </w:r>
    </w:p>
    <w:p>
      <w:pPr>
        <w:pStyle w:val="Compact"/>
        <w:numPr>
          <w:ilvl w:val="0"/>
          <w:numId w:val="1070"/>
        </w:numPr>
      </w:pPr>
      <w:r>
        <w:t xml:space="preserve">Every HTTP API exposed by a corporate workload.</w:t>
      </w:r>
    </w:p>
    <w:p>
      <w:pPr>
        <w:pStyle w:val="Compact"/>
        <w:numPr>
          <w:ilvl w:val="0"/>
          <w:numId w:val="1070"/>
        </w:numPr>
      </w:pPr>
      <w:r>
        <w:t xml:space="preserve">Every event consumer that processes messages with failure-handling concerns (poison-message handling, retry, dead-letter routing).</w:t>
      </w:r>
    </w:p>
    <w:p>
      <w:pPr>
        <w:pStyle w:val="Compact"/>
        <w:numPr>
          <w:ilvl w:val="0"/>
          <w:numId w:val="1070"/>
        </w:numPr>
      </w:pPr>
      <w:r>
        <w:t xml:space="preserve">Every batch job that produces success/failure outcomes.</w:t>
      </w:r>
    </w:p>
    <w:p>
      <w:pPr>
        <w:pStyle w:val="Compact"/>
        <w:numPr>
          <w:ilvl w:val="0"/>
          <w:numId w:val="1070"/>
        </w:numPr>
      </w:pPr>
      <w:r>
        <w:t xml:space="preserve">Every internal exception path inside a service, including unhandled-exception handlers and global error middleware.</w:t>
      </w:r>
    </w:p>
    <w:bookmarkEnd w:id="118"/>
    <w:bookmarkStart w:id="119" w:name="mandatory-controls-11"/>
    <w:p>
      <w:pPr>
        <w:pStyle w:val="Heading3"/>
      </w:pPr>
      <w:r>
        <w:t xml:space="preserve">Mandatory Controls</w:t>
      </w:r>
    </w:p>
    <w:p>
      <w:pPr>
        <w:pStyle w:val="Compact"/>
        <w:numPr>
          <w:ilvl w:val="0"/>
          <w:numId w:val="1071"/>
        </w:numPr>
      </w:pPr>
      <w:r>
        <w:t xml:space="preserve">HTTP API error responses SHALL follow the RFC 7807 Problem Details specification, with</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 and</w:t>
      </w:r>
      <w:r>
        <w:t xml:space="preserve"> </w:t>
      </w:r>
      <w:r>
        <w:rPr>
          <w:rStyle w:val="VerbatimChar"/>
        </w:rPr>
        <w:t xml:space="preserve">instance</w:t>
      </w:r>
      <w:r>
        <w:t xml:space="preserve"> </w:t>
      </w:r>
      <w:r>
        <w:t xml:space="preserve">fields, plus a corporate-defined</w:t>
      </w:r>
      <w:r>
        <w:t xml:space="preserve"> </w:t>
      </w:r>
      <w:r>
        <w:rPr>
          <w:rStyle w:val="VerbatimChar"/>
        </w:rPr>
        <w:t xml:space="preserve">correlationId</w:t>
      </w:r>
      <w:r>
        <w:t xml:space="preserve"> </w:t>
      </w:r>
      <w:r>
        <w:t xml:space="preserve">extension carrying the W3C trace-id.</w:t>
      </w:r>
    </w:p>
    <w:p>
      <w:pPr>
        <w:pStyle w:val="Compact"/>
        <w:numPr>
          <w:ilvl w:val="0"/>
          <w:numId w:val="1071"/>
        </w:numPr>
      </w:pPr>
      <w:r>
        <w:t xml:space="preserve">Error responses SHALL NOT contain stack traces, internal class names, database error strings, file paths, hostnames, or any other information about the service’s internal structure.</w:t>
      </w:r>
    </w:p>
    <w:p>
      <w:pPr>
        <w:pStyle w:val="Compact"/>
        <w:numPr>
          <w:ilvl w:val="0"/>
          <w:numId w:val="1071"/>
        </w:numPr>
      </w:pPr>
      <w:r>
        <w:t xml:space="preserve">Each HTTP error SHALL correspond to a single entry in the corporate error catalog, identified by a stable error code (e.g.,</w:t>
      </w:r>
      <w:r>
        <w:t xml:space="preserve"> </w:t>
      </w:r>
      <w:r>
        <w:rPr>
          <w:rStyle w:val="VerbatimChar"/>
        </w:rPr>
        <w:t xml:space="preserve">EA-CAT-001</w:t>
      </w:r>
      <w:r>
        <w:t xml:space="preserve">); the catalog SHALL map error codes to causes, remediation guidance, and ownership.</w:t>
      </w:r>
    </w:p>
    <w:p>
      <w:pPr>
        <w:pStyle w:val="Compact"/>
        <w:numPr>
          <w:ilvl w:val="0"/>
          <w:numId w:val="1071"/>
        </w:numPr>
      </w:pPr>
      <w:r>
        <w:t xml:space="preserve">Authentication failures (HTTP 401) SHALL NOT reveal whether a username exists, whether a password is correct, or whether a multi-factor challenge was the failing step.</w:t>
      </w:r>
    </w:p>
    <w:p>
      <w:pPr>
        <w:pStyle w:val="Compact"/>
        <w:numPr>
          <w:ilvl w:val="0"/>
          <w:numId w:val="1071"/>
        </w:numPr>
      </w:pPr>
      <w:r>
        <w:t xml:space="preserve">Authorization failures (HTTP 403) SHALL NOT reveal which permission is missing; the error message SHALL state only that the action is not permitted.</w:t>
      </w:r>
    </w:p>
    <w:p>
      <w:pPr>
        <w:pStyle w:val="Compact"/>
        <w:numPr>
          <w:ilvl w:val="0"/>
          <w:numId w:val="1071"/>
        </w:numPr>
      </w:pPr>
      <w:r>
        <w:t xml:space="preserve">Validation failures (HTTP 400 / 422) SHALL return field-level errors with stable codes, not natural-language messages that an attacker can use to probe the schema.</w:t>
      </w:r>
    </w:p>
    <w:p>
      <w:pPr>
        <w:pStyle w:val="Compact"/>
        <w:numPr>
          <w:ilvl w:val="0"/>
          <w:numId w:val="1071"/>
        </w:numPr>
      </w:pPr>
      <w:r>
        <w:t xml:space="preserve">Idempotency SHALL be supported for every state-changing endpoint that may be retried by a caller; the corporate header convention is</w:t>
      </w:r>
      <w:r>
        <w:t xml:space="preserve"> </w:t>
      </w:r>
      <w:r>
        <w:rPr>
          <w:rStyle w:val="VerbatimChar"/>
        </w:rPr>
        <w:t xml:space="preserve">Idempotency-Key</w:t>
      </w:r>
      <w:r>
        <w:t xml:space="preserve">, accepted on POST / PATCH / PUT endpoints, with a server-side deduplication window of at least twenty-four (24) hours.</w:t>
      </w:r>
    </w:p>
    <w:p>
      <w:pPr>
        <w:pStyle w:val="Compact"/>
        <w:numPr>
          <w:ilvl w:val="0"/>
          <w:numId w:val="1071"/>
        </w:numPr>
      </w:pPr>
      <w:r>
        <w:t xml:space="preserve">Operations SHALL be classified as retry-safe (idempotent or commutative) or retry-unsafe; the classification SHALL be documented in the API description, and unsafe operations SHALL NOT be retried automatically by the client framework.</w:t>
      </w:r>
    </w:p>
    <w:p>
      <w:pPr>
        <w:pStyle w:val="Compact"/>
        <w:numPr>
          <w:ilvl w:val="0"/>
          <w:numId w:val="1071"/>
        </w:numPr>
      </w:pPr>
      <w:r>
        <w:t xml:space="preserve">Unhandled exceptions SHALL be caught by a global error handler that logs the full stack trace (Chapter 9), increments an error metric (Chapter 10), and emits a Problem Details response.</w:t>
      </w:r>
    </w:p>
    <w:p>
      <w:pPr>
        <w:pStyle w:val="Compact"/>
        <w:numPr>
          <w:ilvl w:val="0"/>
          <w:numId w:val="1071"/>
        </w:numPr>
      </w:pPr>
      <w:r>
        <w:t xml:space="preserve">Servers SHALL respond to invalid Content-Type or malformed payloads with HTTP 415 / 400 respectively, without attempting to parse the payload speculatively.</w:t>
      </w:r>
    </w:p>
    <w:p>
      <w:pPr>
        <w:pStyle w:val="Compact"/>
        <w:numPr>
          <w:ilvl w:val="0"/>
          <w:numId w:val="1071"/>
        </w:numPr>
      </w:pPr>
      <w:r>
        <w:t xml:space="preserve">Error-rate metrics SHALL be reported per error category (4xx-client-fault, 5xx-server-fault, dependency-unavailable, timeout) so that SLO calculation can distinguish client error from server error.</w:t>
      </w:r>
    </w:p>
    <w:p>
      <w:pPr>
        <w:pStyle w:val="Compact"/>
        <w:numPr>
          <w:ilvl w:val="0"/>
          <w:numId w:val="1071"/>
        </w:numPr>
      </w:pPr>
      <w:r>
        <w:t xml:space="preserve">Services SHALL support graceful degradation: where a non-critical dependency is unavailable, the service SHALL return a partial-success response with a corporate-defined</w:t>
      </w:r>
      <w:r>
        <w:t xml:space="preserve"> </w:t>
      </w:r>
      <w:r>
        <w:rPr>
          <w:rStyle w:val="VerbatimChar"/>
        </w:rPr>
        <w:t xml:space="preserve">degraded</w:t>
      </w:r>
      <w:r>
        <w:t xml:space="preserve"> </w:t>
      </w:r>
      <w:r>
        <w:t xml:space="preserve">flag rather than failing the whole request.</w:t>
      </w:r>
    </w:p>
    <w:p>
      <w:pPr>
        <w:pStyle w:val="Compact"/>
        <w:numPr>
          <w:ilvl w:val="0"/>
          <w:numId w:val="1071"/>
        </w:numPr>
      </w:pPr>
      <w:r>
        <w:t xml:space="preserve">Dead-letter queues SHALL be configured for every event-driven consumer. Messages reaching the dead-letter SHALL alert the owning team within fifteen (15) minutes.</w:t>
      </w:r>
    </w:p>
    <w:p>
      <w:pPr>
        <w:pStyle w:val="Compact"/>
        <w:numPr>
          <w:ilvl w:val="0"/>
          <w:numId w:val="1071"/>
        </w:numPr>
      </w:pPr>
      <w:r>
        <w:t xml:space="preserve">The error catalog SHALL be reviewed quarterly to retire unused codes and to capture new categories that have emerged.</w:t>
      </w:r>
    </w:p>
    <w:p>
      <w:pPr>
        <w:pStyle w:val="Compact"/>
        <w:numPr>
          <w:ilvl w:val="0"/>
          <w:numId w:val="1071"/>
        </w:numPr>
      </w:pPr>
      <w:r>
        <w:t xml:space="preserve">Public-facing error responses SHALL be localized to the supported corporate locales using i18n message keys; raw English strings SHALL NOT be returned to localized clients.</w:t>
      </w:r>
    </w:p>
    <w:bookmarkEnd w:id="119"/>
    <w:bookmarkStart w:id="120" w:name="patterns-recommended-11"/>
    <w:p>
      <w:pPr>
        <w:pStyle w:val="Heading3"/>
      </w:pPr>
      <w:r>
        <w:t xml:space="preserve">Patterns (Recommended)</w:t>
      </w:r>
    </w:p>
    <w:p>
      <w:pPr>
        <w:pStyle w:val="Compact"/>
        <w:numPr>
          <w:ilvl w:val="0"/>
          <w:numId w:val="1072"/>
        </w:numPr>
      </w:pPr>
      <w:r>
        <w:rPr>
          <w:b/>
          <w:bCs/>
        </w:rPr>
        <w:t xml:space="preserve">Problem Details with a typed extension namespace.</w:t>
      </w:r>
      <w:r>
        <w:t xml:space="preserve"> </w:t>
      </w:r>
      <w:r>
        <w:t xml:space="preserve">Per RFC 7807, the</w:t>
      </w:r>
      <w:r>
        <w:t xml:space="preserve"> </w:t>
      </w:r>
      <w:r>
        <w:rPr>
          <w:rStyle w:val="VerbatimChar"/>
        </w:rPr>
        <w:t xml:space="preserve">type</w:t>
      </w:r>
      <w:r>
        <w:t xml:space="preserve"> </w:t>
      </w:r>
      <w:r>
        <w:t xml:space="preserve">URI SHOULD point to a stable, human-readable corporate documentation page describing the error. Per the Microsoft Learn API guidance, this pattern is the de-facto standard across modern .NET, Spring Boot, and Express ecosystems.</w:t>
      </w:r>
    </w:p>
    <w:p>
      <w:pPr>
        <w:pStyle w:val="Compact"/>
        <w:numPr>
          <w:ilvl w:val="0"/>
          <w:numId w:val="1072"/>
        </w:numPr>
      </w:pPr>
      <w:r>
        <w:rPr>
          <w:b/>
          <w:bCs/>
        </w:rPr>
        <w:t xml:space="preserve">Idempotency keys persisted with the result.</w:t>
      </w:r>
      <w:r>
        <w:t xml:space="preserve"> </w:t>
      </w:r>
      <w:r>
        <w:t xml:space="preserve">Per the AWS Builders’ Library article on idempotency, services SHOULD persist the result of an operation against the idempotency key, returning the original result on retry. This is the only correct way to make state-changing endpoints safely retryable.</w:t>
      </w:r>
    </w:p>
    <w:p>
      <w:pPr>
        <w:pStyle w:val="Compact"/>
        <w:numPr>
          <w:ilvl w:val="0"/>
          <w:numId w:val="1072"/>
        </w:numPr>
      </w:pPr>
      <w:r>
        <w:rPr>
          <w:b/>
          <w:bCs/>
        </w:rPr>
        <w:t xml:space="preserve">Outbox pattern for write-then-publish.</w:t>
      </w:r>
      <w:r>
        <w:t xml:space="preserve"> </w:t>
      </w:r>
      <w:r>
        <w:t xml:space="preserve">Where a service must persist state and emit an event, the canonical pattern SHOULD be: write the state and the event to the same transaction in an outbox table, and have a separate worker publish the event. Per the Microsoft Learn distributed transaction patterns, the outbox pattern eliminates double-write inconsistency without requiring a distributed transaction coordinator.</w:t>
      </w:r>
    </w:p>
    <w:p>
      <w:pPr>
        <w:pStyle w:val="Compact"/>
        <w:numPr>
          <w:ilvl w:val="0"/>
          <w:numId w:val="1072"/>
        </w:numPr>
      </w:pPr>
      <w:r>
        <w:rPr>
          <w:b/>
          <w:bCs/>
        </w:rPr>
        <w:t xml:space="preserve">Bulkhead per downstream.</w:t>
      </w:r>
      <w:r>
        <w:t xml:space="preserve"> </w:t>
      </w:r>
      <w:r>
        <w:t xml:space="preserve">Each downstream dependency SHOULD have its own bounded thread-pool or semaphore so that a slow downstream cannot consume the entire pool and starve other callers. Per the AWS Well-Architected Reliability pillar, the bulkhead pattern is the classic defense against cascading failure.</w:t>
      </w:r>
    </w:p>
    <w:p>
      <w:pPr>
        <w:pStyle w:val="Compact"/>
        <w:numPr>
          <w:ilvl w:val="0"/>
          <w:numId w:val="1072"/>
        </w:numPr>
      </w:pPr>
      <w:r>
        <w:rPr>
          <w:b/>
          <w:bCs/>
        </w:rPr>
        <w:t xml:space="preserve">Compensating actions, not distributed transactions.</w:t>
      </w:r>
      <w:r>
        <w:t xml:space="preserve"> </w:t>
      </w:r>
      <w:r>
        <w:t xml:space="preserve">Cross-service transactional consistency SHOULD be achieved through compensating actions (sagas) rather than through distributed transactions. Per the GCP Architecture Framework reliability pillar, distributed transactions exhibit poor latency and availability properties under network partition and SHOULD be avoided for new designs.</w:t>
      </w:r>
    </w:p>
    <w:bookmarkEnd w:id="120"/>
    <w:bookmarkStart w:id="121" w:name="anti-patterns-prohibited-11"/>
    <w:p>
      <w:pPr>
        <w:pStyle w:val="Heading3"/>
      </w:pPr>
      <w:r>
        <w:t xml:space="preserve">Anti-Patterns (Prohibited)</w:t>
      </w:r>
    </w:p>
    <w:p>
      <w:pPr>
        <w:pStyle w:val="Compact"/>
        <w:numPr>
          <w:ilvl w:val="0"/>
          <w:numId w:val="1073"/>
        </w:numPr>
      </w:pPr>
      <w:r>
        <w:rPr>
          <w:b/>
          <w:bCs/>
        </w:rPr>
        <w:t xml:space="preserve">MUST NOT</w:t>
      </w:r>
      <w:r>
        <w:t xml:space="preserve"> </w:t>
      </w:r>
      <w:r>
        <w:t xml:space="preserve">return raw exception messages or stack traces to API callers. Even in non-production environments, the convention SHALL be to return Problem Details with a trace-id that allows engineers to look up the stack trace in logs.</w:t>
      </w:r>
    </w:p>
    <w:p>
      <w:pPr>
        <w:pStyle w:val="Compact"/>
        <w:numPr>
          <w:ilvl w:val="0"/>
          <w:numId w:val="1073"/>
        </w:numPr>
      </w:pPr>
      <w:r>
        <w:rPr>
          <w:b/>
          <w:bCs/>
        </w:rPr>
        <w:t xml:space="preserve">SHALL NOT</w:t>
      </w:r>
      <w:r>
        <w:t xml:space="preserve"> </w:t>
      </w:r>
      <w:r>
        <w:t xml:space="preserve">rely on HTTP 500 as a catch-all for distinguishable error cases. Different failure modes SHALL produce different status codes (e.g., 503 for dependency unavailable, 504 for timeout, 422 for semantic validation failure).</w:t>
      </w:r>
    </w:p>
    <w:p>
      <w:pPr>
        <w:pStyle w:val="Compact"/>
        <w:numPr>
          <w:ilvl w:val="0"/>
          <w:numId w:val="1073"/>
        </w:numPr>
      </w:pPr>
      <w:r>
        <w:rPr>
          <w:b/>
          <w:bCs/>
        </w:rPr>
        <w:t xml:space="preserve">MUST NOT</w:t>
      </w:r>
      <w:r>
        <w:t xml:space="preserve"> </w:t>
      </w:r>
      <w:r>
        <w:t xml:space="preserve">swallow exceptions silently. A</w:t>
      </w:r>
      <w:r>
        <w:t xml:space="preserve"> </w:t>
      </w:r>
      <w:r>
        <w:rPr>
          <w:rStyle w:val="VerbatimChar"/>
        </w:rPr>
        <w:t xml:space="preserve">try { ... } catch { }</w:t>
      </w:r>
      <w:r>
        <w:t xml:space="preserve"> </w:t>
      </w:r>
      <w:r>
        <w:t xml:space="preserve">block with no handling is an explicit prohibition; minimum acceptable handling is</w:t>
      </w:r>
      <w:r>
        <w:t xml:space="preserve"> </w:t>
      </w:r>
      <w:r>
        <w:t xml:space="preserve">“log at warning with the trace-id, propagate or transform appropriately”</w:t>
      </w:r>
      <w:r>
        <w:t xml:space="preserve">.</w:t>
      </w:r>
    </w:p>
    <w:p>
      <w:pPr>
        <w:pStyle w:val="Compact"/>
        <w:numPr>
          <w:ilvl w:val="0"/>
          <w:numId w:val="1073"/>
        </w:numPr>
      </w:pPr>
      <w:r>
        <w:rPr>
          <w:b/>
          <w:bCs/>
        </w:rPr>
        <w:t xml:space="preserve">SHALL NOT</w:t>
      </w:r>
      <w:r>
        <w:t xml:space="preserve"> </w:t>
      </w:r>
      <w:r>
        <w:t xml:space="preserve">retry a non-idempotent operation automatically inside the client without explicit caller opt-in. The client framework’s default retry policy SHALL apply only to GET requests and to explicitly idempotent endpoints.</w:t>
      </w:r>
    </w:p>
    <w:p>
      <w:pPr>
        <w:pStyle w:val="Compact"/>
        <w:numPr>
          <w:ilvl w:val="0"/>
          <w:numId w:val="1073"/>
        </w:numPr>
      </w:pPr>
      <w:r>
        <w:rPr>
          <w:b/>
          <w:bCs/>
        </w:rPr>
        <w:t xml:space="preserve">MUST NOT</w:t>
      </w:r>
      <w:r>
        <w:t xml:space="preserve"> </w:t>
      </w:r>
      <w:r>
        <w:t xml:space="preserve">include the original request payload in an error response; this can leak data the caller is not permitted to see (in tenancy-confused scenarios) and inflates response sizes unnecessarily.</w:t>
      </w:r>
    </w:p>
    <w:p>
      <w:pPr>
        <w:pStyle w:val="Compact"/>
        <w:numPr>
          <w:ilvl w:val="0"/>
          <w:numId w:val="1073"/>
        </w:numPr>
      </w:pPr>
      <w:r>
        <w:rPr>
          <w:b/>
          <w:bCs/>
        </w:rPr>
        <w:t xml:space="preserve">SHALL NOT</w:t>
      </w:r>
      <w:r>
        <w:t xml:space="preserve"> </w:t>
      </w:r>
      <w:r>
        <w:t xml:space="preserve">return HTTP 200 with a body that says</w:t>
      </w:r>
      <w:r>
        <w:t xml:space="preserve"> </w:t>
      </w:r>
      <w:r>
        <w:t xml:space="preserve">“error”</w:t>
      </w:r>
      <w:r>
        <w:t xml:space="preserve">. HTTP status codes are part of the contract; using 200 to mask errors defeats every intermediate proxy’s ability to alert on error rates.</w:t>
      </w:r>
    </w:p>
    <w:bookmarkEnd w:id="121"/>
    <w:bookmarkStart w:id="122" w:name="evidence-audit-11"/>
    <w:p>
      <w:pPr>
        <w:pStyle w:val="Heading3"/>
      </w:pPr>
      <w:r>
        <w:t xml:space="preserve">Evidence &amp; Audit</w:t>
      </w:r>
    </w:p>
    <w:p>
      <w:pPr>
        <w:pStyle w:val="Compact"/>
        <w:numPr>
          <w:ilvl w:val="0"/>
          <w:numId w:val="1074"/>
        </w:numPr>
      </w:pPr>
      <w:r>
        <w:t xml:space="preserve">Continuous monitoring of error-rate metrics per service against the SLO; sustained breach SHALL pages on-call.</w:t>
      </w:r>
    </w:p>
    <w:p>
      <w:pPr>
        <w:pStyle w:val="Compact"/>
        <w:numPr>
          <w:ilvl w:val="0"/>
          <w:numId w:val="1074"/>
        </w:numPr>
      </w:pPr>
      <w:r>
        <w:t xml:space="preserve">Continuous review of dead-letter queue depth; non-zero depth older than fifteen (15) minutes SHALL alert.</w:t>
      </w:r>
    </w:p>
    <w:p>
      <w:pPr>
        <w:pStyle w:val="Compact"/>
        <w:numPr>
          <w:ilvl w:val="0"/>
          <w:numId w:val="1074"/>
        </w:numPr>
      </w:pPr>
      <w:r>
        <w:t xml:space="preserve">Quarterly audit of API error responses (automated and manual): are stack traces leaking? are error codes consistent with the catalog?</w:t>
      </w:r>
    </w:p>
    <w:p>
      <w:pPr>
        <w:pStyle w:val="Compact"/>
        <w:numPr>
          <w:ilvl w:val="0"/>
          <w:numId w:val="1074"/>
        </w:numPr>
      </w:pPr>
      <w:r>
        <w:t xml:space="preserve">Annual review of the error catalog: deprecated codes, missing codes, codes whose remediation guidance is stale.</w:t>
      </w:r>
    </w:p>
    <w:p>
      <w:pPr>
        <w:pStyle w:val="Compact"/>
        <w:numPr>
          <w:ilvl w:val="0"/>
          <w:numId w:val="1074"/>
        </w:numPr>
      </w:pPr>
      <w:r>
        <w:t xml:space="preserve">Continuous monitoring of idempotency-key conflict rate per endpoint; spikes may indicate a misbehaving client and SHALL be investigated.</w:t>
      </w:r>
    </w:p>
    <w:bookmarkEnd w:id="122"/>
    <w:bookmarkStart w:id="123" w:name="exceptions-11"/>
    <w:p>
      <w:pPr>
        <w:pStyle w:val="Heading3"/>
      </w:pPr>
      <w:r>
        <w:t xml:space="preserve">Exceptions</w:t>
      </w:r>
    </w:p>
    <w:p>
      <w:pPr>
        <w:pStyle w:val="FirstParagraph"/>
      </w:pPr>
      <w:r>
        <w:t xml:space="preserve">Legacy services with a pre-existing, externally documented error format MAY continue to use that format until they reach a major-version boundary, but SHALL emit the corporate</w:t>
      </w:r>
      <w:r>
        <w:t xml:space="preserve"> </w:t>
      </w:r>
      <w:r>
        <w:rPr>
          <w:rStyle w:val="VerbatimChar"/>
        </w:rPr>
        <w:t xml:space="preserve">correlationId</w:t>
      </w:r>
      <w:r>
        <w:t xml:space="preserve"> </w:t>
      </w:r>
      <w:r>
        <w:t xml:space="preserve">extension regardless.</w:t>
      </w:r>
      <w:r>
        <w:t xml:space="preserve"> </w:t>
      </w:r>
      <w:r>
        <w:rPr>
          <w:b/>
          <w:bCs/>
        </w:rPr>
        <w:t xml:space="preserve">Exceptions SHALL be time-boxed to 90 days and require ARB approval.</w:t>
      </w:r>
    </w:p>
    <w:bookmarkEnd w:id="123"/>
    <w:bookmarkStart w:id="124" w:name="references-11"/>
    <w:p>
      <w:pPr>
        <w:pStyle w:val="Heading3"/>
      </w:pPr>
      <w:r>
        <w:t xml:space="preserve">References</w:t>
      </w:r>
    </w:p>
    <w:p>
      <w:pPr>
        <w:pStyle w:val="Compact"/>
        <w:numPr>
          <w:ilvl w:val="0"/>
          <w:numId w:val="1075"/>
        </w:numPr>
      </w:pPr>
      <w:r>
        <w:t xml:space="preserve">RFC 7807 — Problem Details for HTTP APIs: https://datatracker.ietf.org/doc/html/rfc7807</w:t>
      </w:r>
    </w:p>
    <w:p>
      <w:pPr>
        <w:pStyle w:val="Compact"/>
        <w:numPr>
          <w:ilvl w:val="0"/>
          <w:numId w:val="1075"/>
        </w:numPr>
      </w:pPr>
      <w:r>
        <w:t xml:space="preserve">Microsoft Learn — RESTful web API design: https://learn.microsoft.com/en-us/azure/architecture/best-practices/api-design</w:t>
      </w:r>
    </w:p>
    <w:p>
      <w:pPr>
        <w:pStyle w:val="Compact"/>
        <w:numPr>
          <w:ilvl w:val="0"/>
          <w:numId w:val="1075"/>
        </w:numPr>
      </w:pPr>
      <w:r>
        <w:t xml:space="preserve">Microsoft Learn — Cloud design patterns: https://learn.microsoft.com/en-us/azure/architecture/patterns/</w:t>
      </w:r>
    </w:p>
    <w:p>
      <w:pPr>
        <w:pStyle w:val="Compact"/>
        <w:numPr>
          <w:ilvl w:val="0"/>
          <w:numId w:val="1075"/>
        </w:numPr>
      </w:pPr>
      <w:r>
        <w:t xml:space="preserve">Microsoft Learn — Transactional Outbox pattern: https://learn.microsoft.com/en-us/azure/architecture/best-practices/transactional-outbox-cosmos</w:t>
      </w:r>
    </w:p>
    <w:p>
      <w:pPr>
        <w:pStyle w:val="Compact"/>
        <w:numPr>
          <w:ilvl w:val="0"/>
          <w:numId w:val="1075"/>
        </w:numPr>
      </w:pPr>
      <w:r>
        <w:t xml:space="preserve">AWS Builders’ Library — Making retries safe with idempotent APIs: https://aws.amazon.com/builders-library/making-retries-safe-with-idempotent-APIs/</w:t>
      </w:r>
    </w:p>
    <w:p>
      <w:pPr>
        <w:pStyle w:val="Compact"/>
        <w:numPr>
          <w:ilvl w:val="0"/>
          <w:numId w:val="1075"/>
        </w:numPr>
      </w:pPr>
      <w:r>
        <w:t xml:space="preserve">AWS Builders’ Library — Avoiding fallback in distributed systems: https://aws.amazon.com/builders-library/avoiding-fallback-in-distributed-systems/</w:t>
      </w:r>
    </w:p>
    <w:p>
      <w:pPr>
        <w:pStyle w:val="Compact"/>
        <w:numPr>
          <w:ilvl w:val="0"/>
          <w:numId w:val="1075"/>
        </w:numPr>
      </w:pPr>
      <w:r>
        <w:t xml:space="preserve">AWS Well-Architected — Reliability pillar (Bulkhead): https://docs.aws.amazon.com/wellarchitected/latest/reliability-pillar/welcome.html</w:t>
      </w:r>
    </w:p>
    <w:p>
      <w:pPr>
        <w:pStyle w:val="Compact"/>
        <w:numPr>
          <w:ilvl w:val="0"/>
          <w:numId w:val="1075"/>
        </w:numPr>
      </w:pPr>
      <w:r>
        <w:t xml:space="preserve">Google Cloud Architecture Framework — Reliability: https://cloud.google.com/architecture/framework/reliability</w:t>
      </w:r>
    </w:p>
    <w:p>
      <w:pPr>
        <w:pStyle w:val="Compact"/>
        <w:numPr>
          <w:ilvl w:val="0"/>
          <w:numId w:val="1075"/>
        </w:numPr>
      </w:pPr>
      <w:r>
        <w:t xml:space="preserve">IETF — Problem Details RFC 9457 (update to 7807): https://datatracker.ietf.org/doc/html/rfc9457</w:t>
      </w:r>
    </w:p>
    <w:p>
      <w:pPr>
        <w:pStyle w:val="Compact"/>
        <w:numPr>
          <w:ilvl w:val="0"/>
          <w:numId w:val="1075"/>
        </w:numPr>
      </w:pPr>
      <w:r>
        <w:t xml:space="preserve">Microsoft Learn — Compensating Transaction pattern: https://learn.microsoft.com/en-us/azure/architecture/patterns/compensating-transaction</w:t>
      </w:r>
    </w:p>
    <w:bookmarkEnd w:id="124"/>
    <w:bookmarkEnd w:id="125"/>
    <w:bookmarkStart w:id="134" w:name="Xa45a1c6954a572956d03516c82b2acb731351ff"/>
    <w:p>
      <w:pPr>
        <w:pStyle w:val="Heading2"/>
      </w:pPr>
      <w:r>
        <w:t xml:space="preserve">Chapter 13 — Retry, Circuit Breaker &amp; Resilience</w:t>
      </w:r>
    </w:p>
    <w:bookmarkStart w:id="126" w:name="intent-12"/>
    <w:p>
      <w:pPr>
        <w:pStyle w:val="Heading3"/>
      </w:pPr>
      <w:r>
        <w:t xml:space="preserve">Intent</w:t>
      </w:r>
    </w:p>
    <w:p>
      <w:pPr>
        <w:pStyle w:val="FirstParagraph"/>
      </w:pPr>
      <w:r>
        <w:t xml:space="preserve">Distributed systems fail partially. A well-architected workload accepts that partial failure is the normal case, not the exception, and applies disciplined techniques — bounded retry, circuit breaking, timeouts, fallbacks, and bulkheads — to absorb partial failure without amplifying it into total failure. This chapter governs how the corporation’s workloads on Azure, AWS, and GCP implement those techniques. The objective is to ensure that every call to a downstream dependency is bounded in time, in concurrency, and in retry count, so that a downstream incident never becomes a corporate incident.</w:t>
      </w:r>
    </w:p>
    <w:p>
      <w:pPr>
        <w:pStyle w:val="BodyText"/>
      </w:pPr>
      <w:r>
        <w:t xml:space="preserve">A second objective is to prevent retry storms. A naïve retry policy — three immediate retries on every 5xx — converts a transient downstream degradation into a self-sustaining flood that prolongs the downstream’s recovery and propagates the outage upstream. The controls below mandate exponential backoff, jitter, retry budgets, and circuit breakers as the corporate defaults.</w:t>
      </w:r>
    </w:p>
    <w:bookmarkEnd w:id="126"/>
    <w:bookmarkStart w:id="127" w:name="scope-13"/>
    <w:p>
      <w:pPr>
        <w:pStyle w:val="Heading3"/>
      </w:pPr>
      <w:r>
        <w:t xml:space="preserve">Scope</w:t>
      </w:r>
    </w:p>
    <w:p>
      <w:pPr>
        <w:pStyle w:val="Compact"/>
        <w:numPr>
          <w:ilvl w:val="0"/>
          <w:numId w:val="1076"/>
        </w:numPr>
      </w:pPr>
      <w:r>
        <w:t xml:space="preserve">Every outbound network call from a corporate workload, whether to another corporate service, to a cloud provider’s managed service, or to an external third party.</w:t>
      </w:r>
    </w:p>
    <w:p>
      <w:pPr>
        <w:pStyle w:val="Compact"/>
        <w:numPr>
          <w:ilvl w:val="0"/>
          <w:numId w:val="1076"/>
        </w:numPr>
      </w:pPr>
      <w:r>
        <w:t xml:space="preserve">Every event consumer that processes from a queue or a stream with at-least-once delivery semantics.</w:t>
      </w:r>
    </w:p>
    <w:p>
      <w:pPr>
        <w:pStyle w:val="Compact"/>
        <w:numPr>
          <w:ilvl w:val="0"/>
          <w:numId w:val="1076"/>
        </w:numPr>
      </w:pPr>
      <w:r>
        <w:t xml:space="preserve">Every batch job that orchestrates calls to other services.</w:t>
      </w:r>
    </w:p>
    <w:p>
      <w:pPr>
        <w:pStyle w:val="Compact"/>
        <w:numPr>
          <w:ilvl w:val="0"/>
          <w:numId w:val="1076"/>
        </w:numPr>
      </w:pPr>
      <w:r>
        <w:t xml:space="preserve">The corporate shared libraries that provide HTTP clients, database clients, messaging clients, and cache clients.</w:t>
      </w:r>
    </w:p>
    <w:bookmarkEnd w:id="127"/>
    <w:bookmarkStart w:id="128" w:name="mandatory-controls-12"/>
    <w:p>
      <w:pPr>
        <w:pStyle w:val="Heading3"/>
      </w:pPr>
      <w:r>
        <w:t xml:space="preserve">Mandatory Controls</w:t>
      </w:r>
    </w:p>
    <w:p>
      <w:pPr>
        <w:pStyle w:val="Compact"/>
        <w:numPr>
          <w:ilvl w:val="0"/>
          <w:numId w:val="1077"/>
        </w:numPr>
      </w:pPr>
      <w:r>
        <w:t xml:space="preserve">Every outbound network call SHALL specify an explicit timeout; the default-timeout-of-infinity SHALL NOT be relied upon. The timeout SHALL be derived from the caller’s own SLO budget for the operation.</w:t>
      </w:r>
    </w:p>
    <w:p>
      <w:pPr>
        <w:pStyle w:val="Compact"/>
        <w:numPr>
          <w:ilvl w:val="0"/>
          <w:numId w:val="1077"/>
        </w:numPr>
      </w:pPr>
      <w:r>
        <w:t xml:space="preserve">Every outbound call to a service or dependency that may return a transient failure SHALL apply retry with exponential backoff and jitter; the corporate default is base 100 ms, multiplier 2, max delay 10 s, with full-jitter randomization. Maximum total retry attempts SHALL be three (3) unless the operation’s SLO permits more.</w:t>
      </w:r>
    </w:p>
    <w:p>
      <w:pPr>
        <w:pStyle w:val="Compact"/>
        <w:numPr>
          <w:ilvl w:val="0"/>
          <w:numId w:val="1077"/>
        </w:numPr>
      </w:pPr>
      <w:r>
        <w:t xml:space="preserve">Retry SHALL only occur on retry-safe operations (Chapter 12). Non-idempotent operations SHALL NOT be retried automatically without an idempotency key.</w:t>
      </w:r>
    </w:p>
    <w:p>
      <w:pPr>
        <w:pStyle w:val="Compact"/>
        <w:numPr>
          <w:ilvl w:val="0"/>
          <w:numId w:val="1077"/>
        </w:numPr>
      </w:pPr>
      <w:r>
        <w:t xml:space="preserve">Every dependency call SHALL be wrapped in a circuit breaker; the breaker SHALL open on a sustained error rate threshold (default fifty percent over a sliding window of twenty requests) and SHALL half-open after a cooldown (default thirty seconds) to probe recovery.</w:t>
      </w:r>
    </w:p>
    <w:p>
      <w:pPr>
        <w:pStyle w:val="Compact"/>
        <w:numPr>
          <w:ilvl w:val="0"/>
          <w:numId w:val="1077"/>
        </w:numPr>
      </w:pPr>
      <w:r>
        <w:t xml:space="preserve">While a circuit breaker is open, the calling service SHALL either fail fast with a Problem Details response (Chapter 12), use a cached value, or return a degraded response — but SHALL NOT block on the broken downstream.</w:t>
      </w:r>
    </w:p>
    <w:p>
      <w:pPr>
        <w:pStyle w:val="Compact"/>
        <w:numPr>
          <w:ilvl w:val="0"/>
          <w:numId w:val="1077"/>
        </w:numPr>
      </w:pPr>
      <w:r>
        <w:t xml:space="preserve">Each calling service SHALL maintain a retry budget — a cap on the total fraction of requests that may be retries — and SHALL stop retrying when the budget is exceeded, even at the cost of returning more errors.</w:t>
      </w:r>
    </w:p>
    <w:p>
      <w:pPr>
        <w:pStyle w:val="Compact"/>
        <w:numPr>
          <w:ilvl w:val="0"/>
          <w:numId w:val="1077"/>
        </w:numPr>
      </w:pPr>
      <w:r>
        <w:t xml:space="preserve">Each downstream dependency SHALL have its own bulkhead: a bounded concurrent-call limit, a bounded request queue, and a bounded thread pool. Cross-pollution between dependencies is prohibited.</w:t>
      </w:r>
    </w:p>
    <w:p>
      <w:pPr>
        <w:pStyle w:val="Compact"/>
        <w:numPr>
          <w:ilvl w:val="0"/>
          <w:numId w:val="1077"/>
        </w:numPr>
      </w:pPr>
      <w:r>
        <w:t xml:space="preserve">Asynchronous consumers SHALL implement at-most-N-retries with a dead-letter destination on exhaustion (see Chapter 12). DLQ depth SHALL be monitored (Chapter 10).</w:t>
      </w:r>
    </w:p>
    <w:p>
      <w:pPr>
        <w:pStyle w:val="Compact"/>
        <w:numPr>
          <w:ilvl w:val="0"/>
          <w:numId w:val="1077"/>
        </w:numPr>
      </w:pPr>
      <w:r>
        <w:t xml:space="preserve">Long-running operations that exceed the caller’s timeout SHALL be modeled as asynchronous workflows (job-id, polling endpoint, or webhook callback) rather than as synchronous blocking calls.</w:t>
      </w:r>
    </w:p>
    <w:p>
      <w:pPr>
        <w:pStyle w:val="Compact"/>
        <w:numPr>
          <w:ilvl w:val="0"/>
          <w:numId w:val="1077"/>
        </w:numPr>
      </w:pPr>
      <w:r>
        <w:t xml:space="preserve">Where the dependency is a cloud managed service, the cloud SDK’s retry behavior SHALL be reviewed against this chapter’s defaults and overridden where the SDK is more aggressive than the corporate policy permits.</w:t>
      </w:r>
    </w:p>
    <w:p>
      <w:pPr>
        <w:pStyle w:val="Compact"/>
        <w:numPr>
          <w:ilvl w:val="0"/>
          <w:numId w:val="1077"/>
        </w:numPr>
      </w:pPr>
      <w:r>
        <w:t xml:space="preserve">Resilience configuration (timeouts, retry counts, breaker thresholds) SHALL be expressed in code or in declarative configuration files in the application repository, not in cloud-portal-only fields.</w:t>
      </w:r>
    </w:p>
    <w:p>
      <w:pPr>
        <w:pStyle w:val="Compact"/>
        <w:numPr>
          <w:ilvl w:val="0"/>
          <w:numId w:val="1077"/>
        </w:numPr>
      </w:pPr>
      <w:r>
        <w:t xml:space="preserve">The corporate resilience library — Polly for .NET, Resilience4j for Java, the cloud provider SDK retry handlers for Go and Python — SHALL be used; bespoke retry loops SHALL be replaced by library calls.</w:t>
      </w:r>
    </w:p>
    <w:p>
      <w:pPr>
        <w:pStyle w:val="Compact"/>
        <w:numPr>
          <w:ilvl w:val="0"/>
          <w:numId w:val="1077"/>
        </w:numPr>
      </w:pPr>
      <w:r>
        <w:t xml:space="preserve">Chaos / fault-injection testing (Chapter 19) SHALL exercise dependency failure modes at least quarterly for tier-1 workloads.</w:t>
      </w:r>
    </w:p>
    <w:p>
      <w:pPr>
        <w:pStyle w:val="Compact"/>
        <w:numPr>
          <w:ilvl w:val="0"/>
          <w:numId w:val="1077"/>
        </w:numPr>
      </w:pPr>
      <w:r>
        <w:t xml:space="preserve">Timeouts SHALL form a</w:t>
      </w:r>
      <w:r>
        <w:t xml:space="preserve"> </w:t>
      </w:r>
      <w:r>
        <w:t xml:space="preserve">“timeout budget cascade”</w:t>
      </w:r>
      <w:r>
        <w:t xml:space="preserve">: the timeout for any internal call SHALL be strictly less than the timeout the caller has committed to its own caller, by at least the network round-trip time plus a safety margin.</w:t>
      </w:r>
    </w:p>
    <w:bookmarkEnd w:id="128"/>
    <w:bookmarkStart w:id="129" w:name="patterns-recommended-12"/>
    <w:p>
      <w:pPr>
        <w:pStyle w:val="Heading3"/>
      </w:pPr>
      <w:r>
        <w:t xml:space="preserve">Patterns (Recommended)</w:t>
      </w:r>
    </w:p>
    <w:p>
      <w:pPr>
        <w:pStyle w:val="Compact"/>
        <w:numPr>
          <w:ilvl w:val="0"/>
          <w:numId w:val="1078"/>
        </w:numPr>
      </w:pPr>
      <w:r>
        <w:rPr>
          <w:b/>
          <w:bCs/>
        </w:rPr>
        <w:t xml:space="preserve">Token-bucket retry budget per dependency.</w:t>
      </w:r>
      <w:r>
        <w:t xml:space="preserve"> </w:t>
      </w:r>
      <w:r>
        <w:t xml:space="preserve">Per the AWS Builders’ Library on timeouts, retries, and backoff, a token-bucket retry budget naturally caps the retry amplification factor and degrades gracefully under load.</w:t>
      </w:r>
    </w:p>
    <w:p>
      <w:pPr>
        <w:pStyle w:val="Compact"/>
        <w:numPr>
          <w:ilvl w:val="0"/>
          <w:numId w:val="1078"/>
        </w:numPr>
      </w:pPr>
      <w:r>
        <w:rPr>
          <w:b/>
          <w:bCs/>
        </w:rPr>
        <w:t xml:space="preserve">Adaptive concurrency control.</w:t>
      </w:r>
      <w:r>
        <w:t xml:space="preserve"> </w:t>
      </w:r>
      <w:r>
        <w:t xml:space="preserve">Per Netflix’s published work on adaptive concurrency, the concurrency limit on outbound calls SHOULD adjust based on observed latency, so that a sudden downstream slowdown reduces concurrency rather than queueing more work.</w:t>
      </w:r>
    </w:p>
    <w:p>
      <w:pPr>
        <w:pStyle w:val="Compact"/>
        <w:numPr>
          <w:ilvl w:val="0"/>
          <w:numId w:val="1078"/>
        </w:numPr>
      </w:pPr>
      <w:r>
        <w:rPr>
          <w:b/>
          <w:bCs/>
        </w:rPr>
        <w:t xml:space="preserve">Sidecar-managed retry in service mesh.</w:t>
      </w:r>
      <w:r>
        <w:t xml:space="preserve"> </w:t>
      </w:r>
      <w:r>
        <w:t xml:space="preserve">When a service mesh is in use (Chapter 16), retry, timeout, and circuit-breaker policy SHOULD be expressed at the mesh and not in application code. Per the Istio resilience documentation, this provides uniform behavior across language stacks and decouples the policy from the application’s release cadence.</w:t>
      </w:r>
    </w:p>
    <w:p>
      <w:pPr>
        <w:pStyle w:val="Compact"/>
        <w:numPr>
          <w:ilvl w:val="0"/>
          <w:numId w:val="1078"/>
        </w:numPr>
      </w:pPr>
      <w:r>
        <w:rPr>
          <w:b/>
          <w:bCs/>
        </w:rPr>
        <w:t xml:space="preserve">Cached fallback with stale-while-revalidate.</w:t>
      </w:r>
      <w:r>
        <w:t xml:space="preserve"> </w:t>
      </w:r>
      <w:r>
        <w:t xml:space="preserve">Where the dependency is read-only and the data is tolerable when slightly stale, services SHOULD cache the last successful response and return it when the dependency is unavailable. Per the Microsoft Learn caching patterns, this transforms an outage into a freshness degradation.</w:t>
      </w:r>
    </w:p>
    <w:p>
      <w:pPr>
        <w:pStyle w:val="Compact"/>
        <w:numPr>
          <w:ilvl w:val="0"/>
          <w:numId w:val="1078"/>
        </w:numPr>
      </w:pPr>
      <w:r>
        <w:rPr>
          <w:b/>
          <w:bCs/>
        </w:rPr>
        <w:t xml:space="preserve">Graceful queue back-pressure.</w:t>
      </w:r>
      <w:r>
        <w:t xml:space="preserve"> </w:t>
      </w:r>
      <w:r>
        <w:t xml:space="preserve">Async consumers SHOULD signal back-pressure to upstream producers (slowing their own consumption rate) rather than dropping messages, when the downstream of the consumer is degraded. Per the GCP Pub/Sub flow-control documentation, back-pressure produces a smoother degradation than a hard outage.</w:t>
      </w:r>
    </w:p>
    <w:bookmarkEnd w:id="129"/>
    <w:bookmarkStart w:id="130" w:name="anti-patterns-prohibited-12"/>
    <w:p>
      <w:pPr>
        <w:pStyle w:val="Heading3"/>
      </w:pPr>
      <w:r>
        <w:t xml:space="preserve">Anti-Patterns (Prohibited)</w:t>
      </w:r>
    </w:p>
    <w:p>
      <w:pPr>
        <w:pStyle w:val="Compact"/>
        <w:numPr>
          <w:ilvl w:val="0"/>
          <w:numId w:val="1079"/>
        </w:numPr>
      </w:pPr>
      <w:r>
        <w:rPr>
          <w:b/>
          <w:bCs/>
        </w:rPr>
        <w:t xml:space="preserve">MUST NOT</w:t>
      </w:r>
      <w:r>
        <w:t xml:space="preserve"> </w:t>
      </w:r>
      <w:r>
        <w:t xml:space="preserve">retry on a non-idempotent operation without an idempotency key. The classic case is a payment-create endpoint retried on timeout: without an idempotency key, the customer may be charged twice.</w:t>
      </w:r>
    </w:p>
    <w:p>
      <w:pPr>
        <w:pStyle w:val="Compact"/>
        <w:numPr>
          <w:ilvl w:val="0"/>
          <w:numId w:val="1079"/>
        </w:numPr>
      </w:pPr>
      <w:r>
        <w:rPr>
          <w:b/>
          <w:bCs/>
        </w:rPr>
        <w:t xml:space="preserve">SHALL NOT</w:t>
      </w:r>
      <w:r>
        <w:t xml:space="preserve"> </w:t>
      </w:r>
      <w:r>
        <w:t xml:space="preserve">retry indefinitely. Every retry policy SHALL have a finite maximum attempts AND a finite maximum elapsed time.</w:t>
      </w:r>
    </w:p>
    <w:p>
      <w:pPr>
        <w:pStyle w:val="Compact"/>
        <w:numPr>
          <w:ilvl w:val="0"/>
          <w:numId w:val="1079"/>
        </w:numPr>
      </w:pPr>
      <w:r>
        <w:rPr>
          <w:b/>
          <w:bCs/>
        </w:rPr>
        <w:t xml:space="preserve">MUST NOT</w:t>
      </w:r>
      <w:r>
        <w:t xml:space="preserve"> </w:t>
      </w:r>
      <w:r>
        <w:t xml:space="preserve">use a fixed-interval retry without jitter. Synchronized retries from many clients produce a</w:t>
      </w:r>
      <w:r>
        <w:t xml:space="preserve"> </w:t>
      </w:r>
      <w:r>
        <w:t xml:space="preserve">“thundering herd”</w:t>
      </w:r>
      <w:r>
        <w:t xml:space="preserve"> </w:t>
      </w:r>
      <w:r>
        <w:t xml:space="preserve">that prevents the downstream from recovering.</w:t>
      </w:r>
    </w:p>
    <w:p>
      <w:pPr>
        <w:pStyle w:val="Compact"/>
        <w:numPr>
          <w:ilvl w:val="0"/>
          <w:numId w:val="1079"/>
        </w:numPr>
      </w:pPr>
      <w:r>
        <w:rPr>
          <w:b/>
          <w:bCs/>
        </w:rPr>
        <w:t xml:space="preserve">SHALL NOT</w:t>
      </w:r>
      <w:r>
        <w:t xml:space="preserve"> </w:t>
      </w:r>
      <w:r>
        <w:t xml:space="preserve">treat the cloud SDK’s default retry as sufficient without inspection. SDK retry counts and backoff are not consistent across providers or across SDK versions and SHALL be configured explicitly.</w:t>
      </w:r>
    </w:p>
    <w:p>
      <w:pPr>
        <w:pStyle w:val="Compact"/>
        <w:numPr>
          <w:ilvl w:val="0"/>
          <w:numId w:val="1079"/>
        </w:numPr>
      </w:pPr>
      <w:r>
        <w:rPr>
          <w:b/>
          <w:bCs/>
        </w:rPr>
        <w:t xml:space="preserve">MUST NOT</w:t>
      </w:r>
      <w:r>
        <w:t xml:space="preserve"> </w:t>
      </w:r>
      <w:r>
        <w:t xml:space="preserve">implement a circuit breaker that fails to half-open and probe recovery. A breaker stuck open is functionally an outage; the half-open probe is the mechanism by which the breaker returns to closed.</w:t>
      </w:r>
    </w:p>
    <w:p>
      <w:pPr>
        <w:pStyle w:val="Compact"/>
        <w:numPr>
          <w:ilvl w:val="0"/>
          <w:numId w:val="1079"/>
        </w:numPr>
      </w:pPr>
      <w:r>
        <w:rPr>
          <w:b/>
          <w:bCs/>
        </w:rPr>
        <w:t xml:space="preserve">SHALL NOT</w:t>
      </w:r>
      <w:r>
        <w:t xml:space="preserve"> </w:t>
      </w:r>
      <w:r>
        <w:t xml:space="preserve">mix fallback strategies in a way that creates a tangled error path. A service SHOULD have at most one fallback per dependency, and the fallback SHALL itself have a timeout and a breaker.</w:t>
      </w:r>
    </w:p>
    <w:bookmarkEnd w:id="130"/>
    <w:bookmarkStart w:id="131" w:name="evidence-audit-12"/>
    <w:p>
      <w:pPr>
        <w:pStyle w:val="Heading3"/>
      </w:pPr>
      <w:r>
        <w:t xml:space="preserve">Evidence &amp; Audit</w:t>
      </w:r>
    </w:p>
    <w:p>
      <w:pPr>
        <w:pStyle w:val="Compact"/>
        <w:numPr>
          <w:ilvl w:val="0"/>
          <w:numId w:val="1080"/>
        </w:numPr>
      </w:pPr>
      <w:r>
        <w:t xml:space="preserve">Continuous monitoring of dependency error rates per workload; breaker-open events SHALL be a first-class observability signal.</w:t>
      </w:r>
    </w:p>
    <w:p>
      <w:pPr>
        <w:pStyle w:val="Compact"/>
        <w:numPr>
          <w:ilvl w:val="0"/>
          <w:numId w:val="1080"/>
        </w:numPr>
      </w:pPr>
      <w:r>
        <w:t xml:space="preserve">Quarterly chaos-engineering exercise injecting latency, errors, and partial unavailability on simulated dependencies; results documented and SHALL drive remediation.</w:t>
      </w:r>
    </w:p>
    <w:p>
      <w:pPr>
        <w:pStyle w:val="Compact"/>
        <w:numPr>
          <w:ilvl w:val="0"/>
          <w:numId w:val="1080"/>
        </w:numPr>
      </w:pPr>
      <w:r>
        <w:t xml:space="preserve">Annual review of timeout configurations against the timeout-budget-cascade rule; misaligned timeouts SHALL be corrected.</w:t>
      </w:r>
    </w:p>
    <w:p>
      <w:pPr>
        <w:pStyle w:val="Compact"/>
        <w:numPr>
          <w:ilvl w:val="0"/>
          <w:numId w:val="1080"/>
        </w:numPr>
      </w:pPr>
      <w:r>
        <w:t xml:space="preserve">Continuous monitoring of retry rates per workload; chronic high retry rates indicate either downstream instability or over-aggressive retry policy.</w:t>
      </w:r>
    </w:p>
    <w:p>
      <w:pPr>
        <w:pStyle w:val="Compact"/>
        <w:numPr>
          <w:ilvl w:val="0"/>
          <w:numId w:val="1080"/>
        </w:numPr>
      </w:pPr>
      <w:r>
        <w:t xml:space="preserve">Code review SHALL verify that new code paths use the corporate resilience library, not bespoke loops.</w:t>
      </w:r>
    </w:p>
    <w:p>
      <w:pPr>
        <w:pStyle w:val="Compact"/>
        <w:numPr>
          <w:ilvl w:val="0"/>
          <w:numId w:val="1080"/>
        </w:numPr>
      </w:pPr>
      <w:r>
        <w:t xml:space="preserve">DLQ depth across the estate SHALL be a corporate-platform-team KPI.</w:t>
      </w:r>
    </w:p>
    <w:bookmarkEnd w:id="131"/>
    <w:bookmarkStart w:id="132" w:name="exceptions-12"/>
    <w:p>
      <w:pPr>
        <w:pStyle w:val="Heading3"/>
      </w:pPr>
      <w:r>
        <w:t xml:space="preserve">Exceptions</w:t>
      </w:r>
    </w:p>
    <w:p>
      <w:pPr>
        <w:pStyle w:val="FirstParagraph"/>
      </w:pPr>
      <w:r>
        <w:t xml:space="preserve">Where a dependency does not support retries (e.g., a one-shot operation against an external partner with strong at-most-once semantics), the team SHALL document the non-retry posture and SHALL apply compensating measures (manual remediation, automated reconciliation).</w:t>
      </w:r>
      <w:r>
        <w:t xml:space="preserve"> </w:t>
      </w:r>
      <w:r>
        <w:rPr>
          <w:b/>
          <w:bCs/>
        </w:rPr>
        <w:t xml:space="preserve">Exceptions SHALL be time-boxed to 90 days and require ARB approval.</w:t>
      </w:r>
    </w:p>
    <w:bookmarkEnd w:id="132"/>
    <w:bookmarkStart w:id="133" w:name="references-12"/>
    <w:p>
      <w:pPr>
        <w:pStyle w:val="Heading3"/>
      </w:pPr>
      <w:r>
        <w:t xml:space="preserve">References</w:t>
      </w:r>
    </w:p>
    <w:p>
      <w:pPr>
        <w:pStyle w:val="Compact"/>
        <w:numPr>
          <w:ilvl w:val="0"/>
          <w:numId w:val="1081"/>
        </w:numPr>
      </w:pPr>
      <w:r>
        <w:t xml:space="preserve">Microsoft Learn — Retry pattern: https://learn.microsoft.com/en-us/azure/architecture/patterns/retry</w:t>
      </w:r>
    </w:p>
    <w:p>
      <w:pPr>
        <w:pStyle w:val="Compact"/>
        <w:numPr>
          <w:ilvl w:val="0"/>
          <w:numId w:val="1081"/>
        </w:numPr>
      </w:pPr>
      <w:r>
        <w:t xml:space="preserve">Microsoft Learn — Circuit Breaker pattern: https://learn.microsoft.com/en-us/azure/architecture/patterns/circuit-breaker</w:t>
      </w:r>
    </w:p>
    <w:p>
      <w:pPr>
        <w:pStyle w:val="Compact"/>
        <w:numPr>
          <w:ilvl w:val="0"/>
          <w:numId w:val="1081"/>
        </w:numPr>
      </w:pPr>
      <w:r>
        <w:t xml:space="preserve">Microsoft Learn — Resilient applications and services: https://learn.microsoft.com/en-us/azure/architecture/framework/resiliency/principles</w:t>
      </w:r>
    </w:p>
    <w:p>
      <w:pPr>
        <w:pStyle w:val="Compact"/>
        <w:numPr>
          <w:ilvl w:val="0"/>
          <w:numId w:val="1081"/>
        </w:numPr>
      </w:pPr>
      <w:r>
        <w:t xml:space="preserve">AWS Builders’ Library — Timeouts, retries, and backoff with jitter: https://aws.amazon.com/builders-library/timeouts-retries-and-backoff-with-jitter/</w:t>
      </w:r>
    </w:p>
    <w:p>
      <w:pPr>
        <w:pStyle w:val="Compact"/>
        <w:numPr>
          <w:ilvl w:val="0"/>
          <w:numId w:val="1081"/>
        </w:numPr>
      </w:pPr>
      <w:r>
        <w:t xml:space="preserve">AWS Builders’ Library — Avoiding fallback in distributed systems: https://aws.amazon.com/builders-library/avoiding-fallback-in-distributed-systems/</w:t>
      </w:r>
    </w:p>
    <w:p>
      <w:pPr>
        <w:pStyle w:val="Compact"/>
        <w:numPr>
          <w:ilvl w:val="0"/>
          <w:numId w:val="1081"/>
        </w:numPr>
      </w:pPr>
      <w:r>
        <w:t xml:space="preserve">AWS Well-Architected — Reliability pillar: https://docs.aws.amazon.com/wellarchitected/latest/reliability-pillar/welcome.html</w:t>
      </w:r>
    </w:p>
    <w:p>
      <w:pPr>
        <w:pStyle w:val="Compact"/>
        <w:numPr>
          <w:ilvl w:val="0"/>
          <w:numId w:val="1081"/>
        </w:numPr>
      </w:pPr>
      <w:r>
        <w:t xml:space="preserve">Google Cloud Architecture Framework — Reliability: https://cloud.google.com/architecture/framework/reliability</w:t>
      </w:r>
    </w:p>
    <w:p>
      <w:pPr>
        <w:pStyle w:val="Compact"/>
        <w:numPr>
          <w:ilvl w:val="0"/>
          <w:numId w:val="1081"/>
        </w:numPr>
      </w:pPr>
      <w:r>
        <w:t xml:space="preserve">Google Cloud Pub/Sub — Flow control: https://cloud.google.com/pubsub/docs/flow-control-messages</w:t>
      </w:r>
    </w:p>
    <w:p>
      <w:pPr>
        <w:pStyle w:val="Compact"/>
        <w:numPr>
          <w:ilvl w:val="0"/>
          <w:numId w:val="1081"/>
        </w:numPr>
      </w:pPr>
      <w:r>
        <w:t xml:space="preserve">Polly (resilience library for .NET): https://www.pollydocs.org/</w:t>
      </w:r>
    </w:p>
    <w:p>
      <w:pPr>
        <w:pStyle w:val="Compact"/>
        <w:numPr>
          <w:ilvl w:val="0"/>
          <w:numId w:val="1081"/>
        </w:numPr>
      </w:pPr>
      <w:r>
        <w:t xml:space="preserve">Resilience4j: https://resilience4j.readme.io/</w:t>
      </w:r>
    </w:p>
    <w:bookmarkEnd w:id="133"/>
    <w:bookmarkEnd w:id="134"/>
    <w:bookmarkStart w:id="143" w:name="Xc357d350467c1be7894ecfaef77377acc36d9aa"/>
    <w:p>
      <w:pPr>
        <w:pStyle w:val="Heading2"/>
      </w:pPr>
      <w:r>
        <w:t xml:space="preserve">Chapter 14 — CI/CD &amp; Software Supply Chain Security</w:t>
      </w:r>
    </w:p>
    <w:bookmarkStart w:id="135" w:name="intent-13"/>
    <w:p>
      <w:pPr>
        <w:pStyle w:val="Heading3"/>
      </w:pPr>
      <w:r>
        <w:t xml:space="preserve">Intent</w:t>
      </w:r>
    </w:p>
    <w:p>
      <w:pPr>
        <w:pStyle w:val="FirstParagraph"/>
      </w:pPr>
      <w:r>
        <w:t xml:space="preserve">Every production artifact in the corporation’s cloud estate is produced by a continuous-integration / continuous-deployment pipeline. The integrity of those pipelines is therefore the integrity of every workload they produce. This chapter governs how the corporation builds, tests, signs, attests to, and deploys software artifacts on its CI/CD platforms (GitHub Actions, Azure DevOps Pipelines, GitLab CI, Buildkite). The objective is to achieve at least SLSA Build Level 3 for every production artifact: builds run on a hardened build platform, build provenance is generated and signed, the build’s identity is rooted in a federated OIDC trust, and the source-to-artifact chain is verifiable end-to-end.</w:t>
      </w:r>
    </w:p>
    <w:p>
      <w:pPr>
        <w:pStyle w:val="BodyText"/>
      </w:pPr>
      <w:r>
        <w:t xml:space="preserve">This chapter restates two of the corporation’s most consequential overlays. First,</w:t>
      </w:r>
      <w:r>
        <w:t xml:space="preserve"> </w:t>
      </w:r>
      <w:r>
        <w:rPr>
          <w:b/>
          <w:bCs/>
        </w:rPr>
        <w:t xml:space="preserve">no human SHALL push directly to production</w:t>
      </w:r>
      <w:r>
        <w:t xml:space="preserve">; every production change flows through a peer-reviewed pipeline. Second,</w:t>
      </w:r>
      <w:r>
        <w:t xml:space="preserve"> </w:t>
      </w:r>
      <w:r>
        <w:rPr>
          <w:b/>
          <w:bCs/>
        </w:rPr>
        <w:t xml:space="preserve">every production container image SHALL carry an SBOM and a signed provenance attestation</w:t>
      </w:r>
      <w:r>
        <w:t xml:space="preserve">. These overlays are the corporate response to a decade of supply-chain attacks (SolarWinds, Codecov, 3CX, MOVEit, lapsus-style chain-of-trust abuses).</w:t>
      </w:r>
    </w:p>
    <w:bookmarkEnd w:id="135"/>
    <w:bookmarkStart w:id="136" w:name="scope-14"/>
    <w:p>
      <w:pPr>
        <w:pStyle w:val="Heading3"/>
      </w:pPr>
      <w:r>
        <w:t xml:space="preserve">Scope</w:t>
      </w:r>
    </w:p>
    <w:p>
      <w:pPr>
        <w:pStyle w:val="Compact"/>
        <w:numPr>
          <w:ilvl w:val="0"/>
          <w:numId w:val="1082"/>
        </w:numPr>
      </w:pPr>
      <w:r>
        <w:t xml:space="preserve">Every source-code repository under corporate ownership.</w:t>
      </w:r>
    </w:p>
    <w:p>
      <w:pPr>
        <w:pStyle w:val="Compact"/>
        <w:numPr>
          <w:ilvl w:val="0"/>
          <w:numId w:val="1082"/>
        </w:numPr>
      </w:pPr>
      <w:r>
        <w:t xml:space="preserve">Every CI/CD pipeline that produces a corporate artifact.</w:t>
      </w:r>
    </w:p>
    <w:p>
      <w:pPr>
        <w:pStyle w:val="Compact"/>
        <w:numPr>
          <w:ilvl w:val="0"/>
          <w:numId w:val="1082"/>
        </w:numPr>
      </w:pPr>
      <w:r>
        <w:t xml:space="preserve">Every artifact registry (container, package, terraform module, IaC bundle).</w:t>
      </w:r>
    </w:p>
    <w:p>
      <w:pPr>
        <w:pStyle w:val="Compact"/>
        <w:numPr>
          <w:ilvl w:val="0"/>
          <w:numId w:val="1082"/>
        </w:numPr>
      </w:pPr>
      <w:r>
        <w:t xml:space="preserve">Every signing key, attestation key, and OIDC trust relationship used by the build platform.</w:t>
      </w:r>
    </w:p>
    <w:p>
      <w:pPr>
        <w:pStyle w:val="Compact"/>
        <w:numPr>
          <w:ilvl w:val="0"/>
          <w:numId w:val="1082"/>
        </w:numPr>
      </w:pPr>
      <w:r>
        <w:t xml:space="preserve">Every dependency (open-source, commercial, internal) consumed by corporate builds.</w:t>
      </w:r>
    </w:p>
    <w:bookmarkEnd w:id="136"/>
    <w:bookmarkStart w:id="137" w:name="mandatory-controls-13"/>
    <w:p>
      <w:pPr>
        <w:pStyle w:val="Heading3"/>
      </w:pPr>
      <w:r>
        <w:t xml:space="preserve">Mandatory Controls</w:t>
      </w:r>
    </w:p>
    <w:p>
      <w:pPr>
        <w:pStyle w:val="Compact"/>
        <w:numPr>
          <w:ilvl w:val="0"/>
          <w:numId w:val="1083"/>
        </w:numPr>
      </w:pPr>
      <w:r>
        <w:t xml:space="preserve">Every source repository SHALL enforce branch protection on the default branch: required reviews from at least one peer, required status checks (build, test, security scan, SBOM generation), prohibition on force-push, prohibition on direct push.</w:t>
      </w:r>
    </w:p>
    <w:p>
      <w:pPr>
        <w:pStyle w:val="Compact"/>
        <w:numPr>
          <w:ilvl w:val="0"/>
          <w:numId w:val="1083"/>
        </w:numPr>
      </w:pPr>
      <w:r>
        <w:t xml:space="preserve">Commits SHALL be signed using a corporate-issued GPG or sigstore-based signature; unsigned commits to protected branches SHALL be rejected.</w:t>
      </w:r>
    </w:p>
    <w:p>
      <w:pPr>
        <w:pStyle w:val="Compact"/>
        <w:numPr>
          <w:ilvl w:val="0"/>
          <w:numId w:val="1083"/>
        </w:numPr>
      </w:pPr>
      <w:r>
        <w:t xml:space="preserve">CI/CD pipelines SHALL run on a hardened build platform (GitHub Actions with required workflows policy, Azure DevOps with hosted Microsoft-managed agents, or equivalent). Self-hosted runners SHALL be ephemeral, isolated per-job, and SHALL NOT carry static cloud credentials.</w:t>
      </w:r>
    </w:p>
    <w:p>
      <w:pPr>
        <w:pStyle w:val="Compact"/>
        <w:numPr>
          <w:ilvl w:val="0"/>
          <w:numId w:val="1083"/>
        </w:numPr>
      </w:pPr>
      <w:r>
        <w:t xml:space="preserve">Build steps SHALL pin every action / extension / plugin to a specific commit SHA or version. References to floating tags (</w:t>
      </w:r>
      <w:r>
        <w:rPr>
          <w:rStyle w:val="VerbatimChar"/>
        </w:rPr>
        <w:t xml:space="preserve">@main</w:t>
      </w:r>
      <w:r>
        <w:t xml:space="preserve">,</w:t>
      </w:r>
      <w:r>
        <w:t xml:space="preserve"> </w:t>
      </w:r>
      <w:r>
        <w:rPr>
          <w:rStyle w:val="VerbatimChar"/>
        </w:rPr>
        <w:t xml:space="preserve">@latest</w:t>
      </w:r>
      <w:r>
        <w:t xml:space="preserve">) are prohibited.</w:t>
      </w:r>
    </w:p>
    <w:p>
      <w:pPr>
        <w:pStyle w:val="Compact"/>
        <w:numPr>
          <w:ilvl w:val="0"/>
          <w:numId w:val="1083"/>
        </w:numPr>
      </w:pPr>
      <w:r>
        <w:t xml:space="preserve">Builds SHALL produce a Software Bill of Materials in CycloneDX 1.5+ or SPDX 2.3+ format; the SBOM SHALL be attached to the artifact in the registry.</w:t>
      </w:r>
    </w:p>
    <w:p>
      <w:pPr>
        <w:pStyle w:val="Compact"/>
        <w:numPr>
          <w:ilvl w:val="0"/>
          <w:numId w:val="1083"/>
        </w:numPr>
      </w:pPr>
      <w:r>
        <w:t xml:space="preserve">Builds SHALL produce a signed in-toto / SLSA provenance attestation that records the source commit, the build parameters, the builder identity, and the artifact digest.</w:t>
      </w:r>
    </w:p>
    <w:p>
      <w:pPr>
        <w:pStyle w:val="Compact"/>
        <w:numPr>
          <w:ilvl w:val="0"/>
          <w:numId w:val="1083"/>
        </w:numPr>
      </w:pPr>
      <w:r>
        <w:t xml:space="preserve">Artifacts SHALL be signed using Sigstore cosign with keyless signing rooted in the pipeline’s OIDC identity; verification SHALL be performed at deployment time.</w:t>
      </w:r>
    </w:p>
    <w:p>
      <w:pPr>
        <w:pStyle w:val="Compact"/>
        <w:numPr>
          <w:ilvl w:val="0"/>
          <w:numId w:val="1083"/>
        </w:numPr>
      </w:pPr>
      <w:r>
        <w:t xml:space="preserve">Deployment SHALL be performed by the pipeline using a workload-identity-federated principal in the target cloud, never with a static deployment key.</w:t>
      </w:r>
    </w:p>
    <w:p>
      <w:pPr>
        <w:pStyle w:val="Compact"/>
        <w:numPr>
          <w:ilvl w:val="0"/>
          <w:numId w:val="1083"/>
        </w:numPr>
      </w:pPr>
      <w:r>
        <w:t xml:space="preserve">Production deployments SHALL require an explicit promotion step from staging; the promotion SHALL re-verify the artifact’s signature and SBOM before deployment.</w:t>
      </w:r>
    </w:p>
    <w:p>
      <w:pPr>
        <w:pStyle w:val="Compact"/>
        <w:numPr>
          <w:ilvl w:val="0"/>
          <w:numId w:val="1083"/>
        </w:numPr>
      </w:pPr>
      <w:r>
        <w:t xml:space="preserve">Production deployments SHALL be performed only by the pipeline; humans MUST NOT push to production. Break-glass deployment procedures (Chapter 19) SHALL be the only exception and SHALL produce an audit event.</w:t>
      </w:r>
    </w:p>
    <w:p>
      <w:pPr>
        <w:pStyle w:val="Compact"/>
        <w:numPr>
          <w:ilvl w:val="0"/>
          <w:numId w:val="1083"/>
        </w:numPr>
      </w:pPr>
      <w:r>
        <w:t xml:space="preserve">Dependency manifests SHALL be pinned to specific versions (lockfile or equivalent). Dependency-update bots (Dependabot, Renovate) SHALL be enabled and SHALL produce reviewed pull requests.</w:t>
      </w:r>
    </w:p>
    <w:p>
      <w:pPr>
        <w:pStyle w:val="Compact"/>
        <w:numPr>
          <w:ilvl w:val="0"/>
          <w:numId w:val="1083"/>
        </w:numPr>
      </w:pPr>
      <w:r>
        <w:t xml:space="preserve">Static analysis (SAST), software-composition analysis (SCA), and secret scanning SHALL run on every pull request. The corporate-approved tools are GitHub Advanced Security with CodeQL, Snyk, or equivalent.</w:t>
      </w:r>
    </w:p>
    <w:p>
      <w:pPr>
        <w:pStyle w:val="Compact"/>
        <w:numPr>
          <w:ilvl w:val="0"/>
          <w:numId w:val="1083"/>
        </w:numPr>
      </w:pPr>
      <w:r>
        <w:t xml:space="preserve">Dynamic analysis (DAST) SHALL be performed on pre-production deployments of public-facing web applications at least weekly.</w:t>
      </w:r>
    </w:p>
    <w:p>
      <w:pPr>
        <w:pStyle w:val="Compact"/>
        <w:numPr>
          <w:ilvl w:val="0"/>
          <w:numId w:val="1083"/>
        </w:numPr>
      </w:pPr>
      <w:r>
        <w:t xml:space="preserve">Pipeline secrets (signing keys, registry credentials) SHALL be issued just-in-time from the corporate vault via OIDC; pipeline-stored secrets in the repository’s settings SHALL NOT be the durable source of those credentials.</w:t>
      </w:r>
    </w:p>
    <w:p>
      <w:pPr>
        <w:pStyle w:val="Compact"/>
        <w:numPr>
          <w:ilvl w:val="0"/>
          <w:numId w:val="1083"/>
        </w:numPr>
      </w:pPr>
      <w:r>
        <w:t xml:space="preserve">Build logs SHALL be retained for at least one (1) year and SHALL be queryable to support incident investigation.</w:t>
      </w:r>
    </w:p>
    <w:p>
      <w:pPr>
        <w:pStyle w:val="Compact"/>
        <w:numPr>
          <w:ilvl w:val="0"/>
          <w:numId w:val="1083"/>
        </w:numPr>
      </w:pPr>
      <w:r>
        <w:t xml:space="preserve">Pipeline definitions themselves SHALL be code-reviewed; changes to the pipeline file SHALL be subject to the same protections as application code.</w:t>
      </w:r>
    </w:p>
    <w:p>
      <w:pPr>
        <w:pStyle w:val="Compact"/>
        <w:numPr>
          <w:ilvl w:val="0"/>
          <w:numId w:val="1083"/>
        </w:numPr>
      </w:pPr>
      <w:r>
        <w:t xml:space="preserve">Container images SHALL be promoted by digest across registries (Chapter 5); promotion-by-tag is prohibited.</w:t>
      </w:r>
    </w:p>
    <w:bookmarkEnd w:id="137"/>
    <w:bookmarkStart w:id="138" w:name="patterns-recommended-13"/>
    <w:p>
      <w:pPr>
        <w:pStyle w:val="Heading3"/>
      </w:pPr>
      <w:r>
        <w:t xml:space="preserve">Patterns (Recommended)</w:t>
      </w:r>
    </w:p>
    <w:p>
      <w:pPr>
        <w:pStyle w:val="Compact"/>
        <w:numPr>
          <w:ilvl w:val="0"/>
          <w:numId w:val="1084"/>
        </w:numPr>
      </w:pPr>
      <w:r>
        <w:rPr>
          <w:b/>
          <w:bCs/>
        </w:rPr>
        <w:t xml:space="preserve">OIDC trust into cloud.</w:t>
      </w:r>
      <w:r>
        <w:t xml:space="preserve"> </w:t>
      </w:r>
      <w:r>
        <w:t xml:space="preserve">GitHub Actions, Azure DevOps, and GitLab CI SHOULD federate to each cloud’s identity provider, exchanging a workflow-scoped OIDC token for a short-lived cloud credential. Per the GitHub documentation on OIDC, this completely eliminates the need to store long-lived deploy keys in repository secrets.</w:t>
      </w:r>
    </w:p>
    <w:p>
      <w:pPr>
        <w:pStyle w:val="Compact"/>
        <w:numPr>
          <w:ilvl w:val="0"/>
          <w:numId w:val="1084"/>
        </w:numPr>
      </w:pPr>
      <w:r>
        <w:rPr>
          <w:b/>
          <w:bCs/>
        </w:rPr>
        <w:t xml:space="preserve">Required workflows for compliance gates.</w:t>
      </w:r>
      <w:r>
        <w:t xml:space="preserve"> </w:t>
      </w:r>
      <w:r>
        <w:t xml:space="preserve">GitHub Actions required workflows or Azure Pipelines templates SHOULD be used to inject mandatory gates (SBOM, signature, license check) into every pipeline without requiring each team to opt in. Per the Microsoft Learn DevOps security guidance, required workflows ensure uniform application of corporate gates.</w:t>
      </w:r>
    </w:p>
    <w:p>
      <w:pPr>
        <w:pStyle w:val="Compact"/>
        <w:numPr>
          <w:ilvl w:val="0"/>
          <w:numId w:val="1084"/>
        </w:numPr>
      </w:pPr>
      <w:r>
        <w:rPr>
          <w:b/>
          <w:bCs/>
        </w:rPr>
        <w:t xml:space="preserve">In-toto attestation chain.</w:t>
      </w:r>
      <w:r>
        <w:t xml:space="preserve"> </w:t>
      </w:r>
      <w:r>
        <w:t xml:space="preserve">Each build step SHOULD produce an in-toto attestation describing its input, command, and output. Per the SLSA framework documentation, an unbroken in-toto chain from source commit to deployed artifact is the basis for Level 3 / Level 4 SLSA conformance.</w:t>
      </w:r>
    </w:p>
    <w:p>
      <w:pPr>
        <w:pStyle w:val="Compact"/>
        <w:numPr>
          <w:ilvl w:val="0"/>
          <w:numId w:val="1084"/>
        </w:numPr>
      </w:pPr>
      <w:r>
        <w:rPr>
          <w:b/>
          <w:bCs/>
        </w:rPr>
        <w:t xml:space="preserve">Reproducible builds where economical.</w:t>
      </w:r>
      <w:r>
        <w:t xml:space="preserve"> </w:t>
      </w:r>
      <w:r>
        <w:t xml:space="preserve">Compiled artifacts (Go, Rust) SHOULD be built reproducibly so that an independent build verifier can confirm the artifact matches the source. Per the reproducible-builds.org guidance, reproducibility is the strongest possible defense against build-platform compromise.</w:t>
      </w:r>
    </w:p>
    <w:p>
      <w:pPr>
        <w:pStyle w:val="Compact"/>
        <w:numPr>
          <w:ilvl w:val="0"/>
          <w:numId w:val="1084"/>
        </w:numPr>
      </w:pPr>
      <w:r>
        <w:rPr>
          <w:b/>
          <w:bCs/>
        </w:rPr>
        <w:t xml:space="preserve">Two-person review for security-sensitive code.</w:t>
      </w:r>
      <w:r>
        <w:t xml:space="preserve"> </w:t>
      </w:r>
      <w:r>
        <w:t xml:space="preserve">Changes to security-sensitive paths (auth, crypto, IAM policies, public-facing API contracts) SHOULD require two reviewers, not one. Per the CIS Software Supply Chain Security guidelines, two-person review materially reduces the risk of malicious insider commits.</w:t>
      </w:r>
    </w:p>
    <w:bookmarkEnd w:id="138"/>
    <w:bookmarkStart w:id="139" w:name="anti-patterns-prohibited-13"/>
    <w:p>
      <w:pPr>
        <w:pStyle w:val="Heading3"/>
      </w:pPr>
      <w:r>
        <w:t xml:space="preserve">Anti-Patterns (Prohibited)</w:t>
      </w:r>
    </w:p>
    <w:p>
      <w:pPr>
        <w:pStyle w:val="Compact"/>
        <w:numPr>
          <w:ilvl w:val="0"/>
          <w:numId w:val="1085"/>
        </w:numPr>
      </w:pPr>
      <w:r>
        <w:rPr>
          <w:b/>
          <w:bCs/>
        </w:rPr>
        <w:t xml:space="preserve">MUST NOT</w:t>
      </w:r>
      <w:r>
        <w:t xml:space="preserve"> </w:t>
      </w:r>
      <w:r>
        <w:t xml:space="preserve">store long-lived cloud credentials (AWS access keys, Azure client secrets, GCP service-account JSON keys) as pipeline secrets. OIDC federation is mandatory for all three clouds.</w:t>
      </w:r>
    </w:p>
    <w:p>
      <w:pPr>
        <w:pStyle w:val="Compact"/>
        <w:numPr>
          <w:ilvl w:val="0"/>
          <w:numId w:val="1085"/>
        </w:numPr>
      </w:pPr>
      <w:r>
        <w:rPr>
          <w:b/>
          <w:bCs/>
        </w:rPr>
        <w:t xml:space="preserve">SHALL NOT</w:t>
      </w:r>
      <w:r>
        <w:t xml:space="preserve"> </w:t>
      </w:r>
      <w:r>
        <w:t xml:space="preserve">disable status checks on a pull request to</w:t>
      </w:r>
      <w:r>
        <w:t xml:space="preserve"> </w:t>
      </w:r>
      <w:r>
        <w:t xml:space="preserve">“merge a fix quickly”</w:t>
      </w:r>
      <w:r>
        <w:t xml:space="preserve">. The fast-path is to add an exception with ARB approval, not to bypass the protection.</w:t>
      </w:r>
    </w:p>
    <w:p>
      <w:pPr>
        <w:pStyle w:val="Compact"/>
        <w:numPr>
          <w:ilvl w:val="0"/>
          <w:numId w:val="1085"/>
        </w:numPr>
      </w:pPr>
      <w:r>
        <w:rPr>
          <w:b/>
          <w:bCs/>
        </w:rPr>
        <w:t xml:space="preserve">MUST NOT</w:t>
      </w:r>
      <w:r>
        <w:t xml:space="preserve"> </w:t>
      </w:r>
      <w:r>
        <w:t xml:space="preserve">allow developer machines to be in the production deployment trust chain. Production artifacts SHALL be built by the build platform from a committed source revision; local builds SHALL NOT be promoted.</w:t>
      </w:r>
    </w:p>
    <w:p>
      <w:pPr>
        <w:pStyle w:val="Compact"/>
        <w:numPr>
          <w:ilvl w:val="0"/>
          <w:numId w:val="1085"/>
        </w:numPr>
      </w:pPr>
      <w:r>
        <w:rPr>
          <w:b/>
          <w:bCs/>
        </w:rPr>
        <w:t xml:space="preserve">SHALL NOT</w:t>
      </w:r>
      <w:r>
        <w:t xml:space="preserve"> </w:t>
      </w:r>
      <w:r>
        <w:t xml:space="preserve">rely on a single signing key for all corporate artifacts. Keys SHALL be scoped to a domain or to a team so that compromise of one key has bounded blast radius.</w:t>
      </w:r>
    </w:p>
    <w:p>
      <w:pPr>
        <w:pStyle w:val="Compact"/>
        <w:numPr>
          <w:ilvl w:val="0"/>
          <w:numId w:val="1085"/>
        </w:numPr>
      </w:pPr>
      <w:r>
        <w:rPr>
          <w:b/>
          <w:bCs/>
        </w:rPr>
        <w:t xml:space="preserve">MUST NOT</w:t>
      </w:r>
      <w:r>
        <w:t xml:space="preserve"> </w:t>
      </w:r>
      <w:r>
        <w:t xml:space="preserve">consume a third-party action / plugin pinned to a floating tag. Even reputable maintainers have had their accounts compromised; immutable references are non-optional.</w:t>
      </w:r>
    </w:p>
    <w:p>
      <w:pPr>
        <w:pStyle w:val="Compact"/>
        <w:numPr>
          <w:ilvl w:val="0"/>
          <w:numId w:val="1085"/>
        </w:numPr>
      </w:pPr>
      <w:r>
        <w:rPr>
          <w:b/>
          <w:bCs/>
        </w:rPr>
        <w:t xml:space="preserve">SHALL NOT</w:t>
      </w:r>
      <w:r>
        <w:t xml:space="preserve"> </w:t>
      </w:r>
      <w:r>
        <w:t xml:space="preserve">ship a build that has a Critical CVE in a direct or transitive dependency without a documented exception. The default behavior of the pipeline is to fail the build.</w:t>
      </w:r>
    </w:p>
    <w:bookmarkEnd w:id="139"/>
    <w:bookmarkStart w:id="140" w:name="evidence-audit-13"/>
    <w:p>
      <w:pPr>
        <w:pStyle w:val="Heading3"/>
      </w:pPr>
      <w:r>
        <w:t xml:space="preserve">Evidence &amp; Audit</w:t>
      </w:r>
    </w:p>
    <w:p>
      <w:pPr>
        <w:pStyle w:val="Compact"/>
        <w:numPr>
          <w:ilvl w:val="0"/>
          <w:numId w:val="1086"/>
        </w:numPr>
      </w:pPr>
      <w:r>
        <w:t xml:space="preserve">Continuous compliance check of branch protection settings across all repositories; deviations SHALL be remediated within five (5) business days.</w:t>
      </w:r>
    </w:p>
    <w:p>
      <w:pPr>
        <w:pStyle w:val="Compact"/>
        <w:numPr>
          <w:ilvl w:val="0"/>
          <w:numId w:val="1086"/>
        </w:numPr>
      </w:pPr>
      <w:r>
        <w:t xml:space="preserve">Continuous monitoring of pipeline runs; runs producing artifacts without an SBOM or without a signature SHALL alert.</w:t>
      </w:r>
    </w:p>
    <w:p>
      <w:pPr>
        <w:pStyle w:val="Compact"/>
        <w:numPr>
          <w:ilvl w:val="0"/>
          <w:numId w:val="1086"/>
        </w:numPr>
      </w:pPr>
      <w:r>
        <w:t xml:space="preserve">Quarterly attestation verification: pick a randomly selected production artifact and walk its provenance chain back to the source commit.</w:t>
      </w:r>
    </w:p>
    <w:p>
      <w:pPr>
        <w:pStyle w:val="Compact"/>
        <w:numPr>
          <w:ilvl w:val="0"/>
          <w:numId w:val="1086"/>
        </w:numPr>
      </w:pPr>
      <w:r>
        <w:t xml:space="preserve">Annual external assessment of the corporation’s SLSA maturity, with a target of Level 3 for tier-1 workloads.</w:t>
      </w:r>
    </w:p>
    <w:p>
      <w:pPr>
        <w:pStyle w:val="Compact"/>
        <w:numPr>
          <w:ilvl w:val="0"/>
          <w:numId w:val="1086"/>
        </w:numPr>
      </w:pPr>
      <w:r>
        <w:t xml:space="preserve">Continuous secret-scanning across repositories with daily report.</w:t>
      </w:r>
    </w:p>
    <w:p>
      <w:pPr>
        <w:pStyle w:val="Compact"/>
        <w:numPr>
          <w:ilvl w:val="0"/>
          <w:numId w:val="1086"/>
        </w:numPr>
      </w:pPr>
      <w:r>
        <w:t xml:space="preserve">Dependency-vulnerability dashboard updated daily; critical findings SHALL drive immediate remediation tickets.</w:t>
      </w:r>
    </w:p>
    <w:bookmarkEnd w:id="140"/>
    <w:bookmarkStart w:id="141" w:name="exceptions-13"/>
    <w:p>
      <w:pPr>
        <w:pStyle w:val="Heading3"/>
      </w:pPr>
      <w:r>
        <w:t xml:space="preserve">Exceptions</w:t>
      </w:r>
    </w:p>
    <w:p>
      <w:pPr>
        <w:pStyle w:val="FirstParagraph"/>
      </w:pPr>
      <w:r>
        <w:t xml:space="preserve">Legacy pipelines that have not yet been migrated to OIDC federation SHALL be enumerated, prioritized, and migrated.</w:t>
      </w:r>
      <w:r>
        <w:t xml:space="preserve"> </w:t>
      </w:r>
      <w:r>
        <w:rPr>
          <w:b/>
          <w:bCs/>
        </w:rPr>
        <w:t xml:space="preserve">Exceptions SHALL be time-boxed to 90 days and require ARB approval.</w:t>
      </w:r>
    </w:p>
    <w:bookmarkEnd w:id="141"/>
    <w:bookmarkStart w:id="142" w:name="references-13"/>
    <w:p>
      <w:pPr>
        <w:pStyle w:val="Heading3"/>
      </w:pPr>
      <w:r>
        <w:t xml:space="preserve">References</w:t>
      </w:r>
    </w:p>
    <w:p>
      <w:pPr>
        <w:pStyle w:val="Compact"/>
        <w:numPr>
          <w:ilvl w:val="0"/>
          <w:numId w:val="1087"/>
        </w:numPr>
      </w:pPr>
      <w:r>
        <w:t xml:space="preserve">SLSA — Supply-chain Levels for Software Artifacts: https://slsa.dev/spec/v1.0/levels</w:t>
      </w:r>
    </w:p>
    <w:p>
      <w:pPr>
        <w:pStyle w:val="Compact"/>
        <w:numPr>
          <w:ilvl w:val="0"/>
          <w:numId w:val="1087"/>
        </w:numPr>
      </w:pPr>
      <w:r>
        <w:t xml:space="preserve">Sigstore — cosign signing for containers: https://docs.sigstore.dev/signing/quickstart/</w:t>
      </w:r>
    </w:p>
    <w:p>
      <w:pPr>
        <w:pStyle w:val="Compact"/>
        <w:numPr>
          <w:ilvl w:val="0"/>
          <w:numId w:val="1087"/>
        </w:numPr>
      </w:pPr>
      <w:r>
        <w:t xml:space="preserve">CycloneDX — SBOM specification: https://cyclonedx.org/specification/overview/</w:t>
      </w:r>
    </w:p>
    <w:p>
      <w:pPr>
        <w:pStyle w:val="Compact"/>
        <w:numPr>
          <w:ilvl w:val="0"/>
          <w:numId w:val="1087"/>
        </w:numPr>
      </w:pPr>
      <w:r>
        <w:t xml:space="preserve">SPDX — Software Package Data Exchange: https://spdx.dev/specifications/</w:t>
      </w:r>
    </w:p>
    <w:p>
      <w:pPr>
        <w:pStyle w:val="Compact"/>
        <w:numPr>
          <w:ilvl w:val="0"/>
          <w:numId w:val="1087"/>
        </w:numPr>
      </w:pPr>
      <w:r>
        <w:t xml:space="preserve">Microsoft Learn — Security for Azure DevOps and GitHub: https://learn.microsoft.com/en-us/devops/operate/security-in-devops</w:t>
      </w:r>
    </w:p>
    <w:p>
      <w:pPr>
        <w:pStyle w:val="Compact"/>
        <w:numPr>
          <w:ilvl w:val="0"/>
          <w:numId w:val="1087"/>
        </w:numPr>
      </w:pPr>
      <w:r>
        <w:t xml:space="preserve">GitHub — About security hardening with OpenID Connect: https://docs.github.com/en/actions/deployment/security-hardening-your-deployments/about-security-hardening-with-openid-connect</w:t>
      </w:r>
    </w:p>
    <w:p>
      <w:pPr>
        <w:pStyle w:val="Compact"/>
        <w:numPr>
          <w:ilvl w:val="0"/>
          <w:numId w:val="1087"/>
        </w:numPr>
      </w:pPr>
      <w:r>
        <w:t xml:space="preserve">GitHub — Required workflows: https://docs.github.com/en/actions/using-workflows/required-workflows</w:t>
      </w:r>
    </w:p>
    <w:p>
      <w:pPr>
        <w:pStyle w:val="Compact"/>
        <w:numPr>
          <w:ilvl w:val="0"/>
          <w:numId w:val="1087"/>
        </w:numPr>
      </w:pPr>
      <w:r>
        <w:t xml:space="preserve">AWS — Build a secure CI/CD pipeline: https://aws.amazon.com/builders-library/cicd-pipeline/</w:t>
      </w:r>
    </w:p>
    <w:p>
      <w:pPr>
        <w:pStyle w:val="Compact"/>
        <w:numPr>
          <w:ilvl w:val="0"/>
          <w:numId w:val="1087"/>
        </w:numPr>
      </w:pPr>
      <w:r>
        <w:t xml:space="preserve">Google Cloud — Supply-chain security with Cloud Build and Binary Authorization: https://cloud.google.com/software-supply-chain-security</w:t>
      </w:r>
    </w:p>
    <w:p>
      <w:pPr>
        <w:pStyle w:val="Compact"/>
        <w:numPr>
          <w:ilvl w:val="0"/>
          <w:numId w:val="1087"/>
        </w:numPr>
      </w:pPr>
      <w:r>
        <w:t xml:space="preserve">NIST SP 800-218 — Secure Software Development Framework (SSDF).</w:t>
      </w:r>
    </w:p>
    <w:p>
      <w:pPr>
        <w:pStyle w:val="Compact"/>
        <w:numPr>
          <w:ilvl w:val="0"/>
          <w:numId w:val="1087"/>
        </w:numPr>
      </w:pPr>
      <w:r>
        <w:t xml:space="preserve">CISA — Securing the Software Supply Chain guidance: https://www.cisa.gov/resources-tools/resources/securing-software-supply-chain-recommended-practices-guide-developers</w:t>
      </w:r>
    </w:p>
    <w:p>
      <w:pPr>
        <w:pStyle w:val="Compact"/>
        <w:numPr>
          <w:ilvl w:val="0"/>
          <w:numId w:val="1087"/>
        </w:numPr>
      </w:pPr>
      <w:r>
        <w:t xml:space="preserve">OpenSSF — Best Practices for Open Source Developers: https://openssf.org/</w:t>
      </w:r>
    </w:p>
    <w:bookmarkEnd w:id="142"/>
    <w:bookmarkEnd w:id="143"/>
    <w:bookmarkStart w:id="152" w:name="X5259fc172942932d34527fa12a6be215fb29a7c"/>
    <w:p>
      <w:pPr>
        <w:pStyle w:val="Heading2"/>
      </w:pPr>
      <w:r>
        <w:t xml:space="preserve">Chapter 15 — Infrastructure as Code &amp; Configuration</w:t>
      </w:r>
    </w:p>
    <w:bookmarkStart w:id="144" w:name="intent-14"/>
    <w:p>
      <w:pPr>
        <w:pStyle w:val="Heading3"/>
      </w:pPr>
      <w:r>
        <w:t xml:space="preserve">Intent</w:t>
      </w:r>
    </w:p>
    <w:p>
      <w:pPr>
        <w:pStyle w:val="FirstParagraph"/>
      </w:pPr>
      <w:r>
        <w:t xml:space="preserve">Cloud infrastructure managed by hand is unmanageable. This chapter governs how the corporation defines, version-controls, reviews, deploys, and audits cloud infrastructure as code across Azure, AWS, and GCP. The objective is to ensure that every production cloud resource is declared in a peer-reviewed, version-controlled artifact; that every change to that artifact passes through the same CI/CD discipline as application code (Chapter 14); and that drift between the declared state and the actual state is detected, reported, and reconciled.</w:t>
      </w:r>
    </w:p>
    <w:p>
      <w:pPr>
        <w:pStyle w:val="BodyText"/>
      </w:pPr>
      <w:r>
        <w:t xml:space="preserve">The chapter restates two corporate overlays. First,</w:t>
      </w:r>
      <w:r>
        <w:t xml:space="preserve"> </w:t>
      </w:r>
      <w:r>
        <w:rPr>
          <w:b/>
          <w:bCs/>
        </w:rPr>
        <w:t xml:space="preserve">no production console / portal changes</w:t>
      </w:r>
      <w:r>
        <w:t xml:space="preserve">; all production infrastructure is declared, reviewed, and deployed as code. Second,</w:t>
      </w:r>
      <w:r>
        <w:t xml:space="preserve"> </w:t>
      </w:r>
      <w:r>
        <w:rPr>
          <w:b/>
          <w:bCs/>
        </w:rPr>
        <w:t xml:space="preserve">policy-as-code</w:t>
      </w:r>
      <w:r>
        <w:t xml:space="preserve"> </w:t>
      </w:r>
      <w:r>
        <w:t xml:space="preserve">— Azure Policy, AWS Config / Service Control Policies, and GCP Organization Policies — is the enforcement substrate that prevents drift from the corporate baseline.</w:t>
      </w:r>
    </w:p>
    <w:bookmarkEnd w:id="144"/>
    <w:bookmarkStart w:id="145" w:name="scope-15"/>
    <w:p>
      <w:pPr>
        <w:pStyle w:val="Heading3"/>
      </w:pPr>
      <w:r>
        <w:t xml:space="preserve">Scope</w:t>
      </w:r>
    </w:p>
    <w:p>
      <w:pPr>
        <w:pStyle w:val="Compact"/>
        <w:numPr>
          <w:ilvl w:val="0"/>
          <w:numId w:val="1088"/>
        </w:numPr>
      </w:pPr>
      <w:r>
        <w:t xml:space="preserve">Every Azure subscription, AWS account, and GCP project hosting corporate workloads.</w:t>
      </w:r>
    </w:p>
    <w:p>
      <w:pPr>
        <w:pStyle w:val="Compact"/>
        <w:numPr>
          <w:ilvl w:val="0"/>
          <w:numId w:val="1088"/>
        </w:numPr>
      </w:pPr>
      <w:r>
        <w:t xml:space="preserve">Every Terraform, OpenTofu, Bicep, Pulumi, AWS CDK, or Cloud Deployment Manager module under corporate control.</w:t>
      </w:r>
    </w:p>
    <w:p>
      <w:pPr>
        <w:pStyle w:val="Compact"/>
        <w:numPr>
          <w:ilvl w:val="0"/>
          <w:numId w:val="1088"/>
        </w:numPr>
      </w:pPr>
      <w:r>
        <w:t xml:space="preserve">Every configuration template (Helm chart, Kustomize overlay, Kubernetes manifest, Cloud Foundation Toolkit blueprint).</w:t>
      </w:r>
    </w:p>
    <w:p>
      <w:pPr>
        <w:pStyle w:val="Compact"/>
        <w:numPr>
          <w:ilvl w:val="0"/>
          <w:numId w:val="1088"/>
        </w:numPr>
      </w:pPr>
      <w:r>
        <w:t xml:space="preserve">Every cloud-policy assertion (Azure Policy, AWS Config rule, GCP Organization Policy, IAM SCP).</w:t>
      </w:r>
    </w:p>
    <w:bookmarkEnd w:id="145"/>
    <w:bookmarkStart w:id="146" w:name="mandatory-controls-14"/>
    <w:p>
      <w:pPr>
        <w:pStyle w:val="Heading3"/>
      </w:pPr>
      <w:r>
        <w:t xml:space="preserve">Mandatory Controls</w:t>
      </w:r>
    </w:p>
    <w:p>
      <w:pPr>
        <w:pStyle w:val="Compact"/>
        <w:numPr>
          <w:ilvl w:val="0"/>
          <w:numId w:val="1089"/>
        </w:numPr>
      </w:pPr>
      <w:r>
        <w:t xml:space="preserve">All production cloud infrastructure SHALL be expressed in declarative Infrastructure-as-Code. The corporate-approved tools are Terraform / OpenTofu, Bicep, Pulumi, and the cloud providers’ first-party IaC (Bicep, CloudFormation, Deployment Manager). Console / portal changes in production are prohibited.</w:t>
      </w:r>
    </w:p>
    <w:p>
      <w:pPr>
        <w:pStyle w:val="Compact"/>
        <w:numPr>
          <w:ilvl w:val="0"/>
          <w:numId w:val="1089"/>
        </w:numPr>
      </w:pPr>
      <w:r>
        <w:t xml:space="preserve">IaC source SHALL live in version control with the same branch-protection and review requirements as application code (Chapter 14).</w:t>
      </w:r>
    </w:p>
    <w:p>
      <w:pPr>
        <w:pStyle w:val="Compact"/>
        <w:numPr>
          <w:ilvl w:val="0"/>
          <w:numId w:val="1089"/>
        </w:numPr>
      </w:pPr>
      <w:r>
        <w:t xml:space="preserve">IaC changes SHALL be applied through a pipeline; the pipeline SHALL run</w:t>
      </w:r>
      <w:r>
        <w:t xml:space="preserve"> </w:t>
      </w:r>
      <w:r>
        <w:rPr>
          <w:rStyle w:val="VerbatimChar"/>
        </w:rPr>
        <w:t xml:space="preserve">plan</w:t>
      </w:r>
      <w:r>
        <w:t xml:space="preserve"> </w:t>
      </w:r>
      <w:r>
        <w:t xml:space="preserve">/</w:t>
      </w:r>
      <w:r>
        <w:t xml:space="preserve"> </w:t>
      </w:r>
      <w:r>
        <w:rPr>
          <w:rStyle w:val="VerbatimChar"/>
        </w:rPr>
        <w:t xml:space="preserve">what-if</w:t>
      </w:r>
      <w:r>
        <w:t xml:space="preserve">, produce an artifact for review, and only then</w:t>
      </w:r>
      <w:r>
        <w:t xml:space="preserve"> </w:t>
      </w:r>
      <w:r>
        <w:rPr>
          <w:rStyle w:val="VerbatimChar"/>
        </w:rPr>
        <w:t xml:space="preserve">apply</w:t>
      </w:r>
      <w:r>
        <w:t xml:space="preserve"> </w:t>
      </w:r>
      <w:r>
        <w:t xml:space="preserve">on approval.</w:t>
      </w:r>
    </w:p>
    <w:p>
      <w:pPr>
        <w:pStyle w:val="Compact"/>
        <w:numPr>
          <w:ilvl w:val="0"/>
          <w:numId w:val="1089"/>
        </w:numPr>
      </w:pPr>
      <w:r>
        <w:t xml:space="preserve">State files SHALL be stored in a remote backend with encryption at rest (CMK), state-locking enabled, and versioning enabled; local-only state files for production are prohibited.</w:t>
      </w:r>
    </w:p>
    <w:p>
      <w:pPr>
        <w:pStyle w:val="Compact"/>
        <w:numPr>
          <w:ilvl w:val="0"/>
          <w:numId w:val="1089"/>
        </w:numPr>
      </w:pPr>
      <w:r>
        <w:t xml:space="preserve">State-file backends SHALL be access-controlled to the pipeline identity and to a tightly scoped administrative role; broad read access to state files is prohibited because state contains secrets in some providers.</w:t>
      </w:r>
    </w:p>
    <w:p>
      <w:pPr>
        <w:pStyle w:val="Compact"/>
        <w:numPr>
          <w:ilvl w:val="0"/>
          <w:numId w:val="1089"/>
        </w:numPr>
      </w:pPr>
      <w:r>
        <w:t xml:space="preserve">Drift between declared and actual state SHALL be detected at least daily and SHALL produce a report to the owning team; persistent drift SHALL alert.</w:t>
      </w:r>
    </w:p>
    <w:p>
      <w:pPr>
        <w:pStyle w:val="Compact"/>
        <w:numPr>
          <w:ilvl w:val="0"/>
          <w:numId w:val="1089"/>
        </w:numPr>
      </w:pPr>
      <w:r>
        <w:t xml:space="preserve">Policy-as-code SHALL be deployed to enforce the corporate baseline at the organization level: Azure Policy assignments at the management-group level, AWS Service Control Policies at the organization level, GCP Organization Policies at the org level.</w:t>
      </w:r>
    </w:p>
    <w:p>
      <w:pPr>
        <w:pStyle w:val="Compact"/>
        <w:numPr>
          <w:ilvl w:val="0"/>
          <w:numId w:val="1089"/>
        </w:numPr>
      </w:pPr>
      <w:r>
        <w:t xml:space="preserve">The corporate baseline SHALL include at minimum the controls referenced in Chapter 2 (no public endpoints), Chapter 4 (encryption at rest required), Chapter 9 (audit logging cannot be disabled), and Chapter 14 (only approved registries).</w:t>
      </w:r>
    </w:p>
    <w:p>
      <w:pPr>
        <w:pStyle w:val="Compact"/>
        <w:numPr>
          <w:ilvl w:val="0"/>
          <w:numId w:val="1089"/>
        </w:numPr>
      </w:pPr>
      <w:r>
        <w:t xml:space="preserve">Modules SHALL be versioned and consumed via semantic-version references; floating references to a module’s main branch are prohibited in production.</w:t>
      </w:r>
    </w:p>
    <w:p>
      <w:pPr>
        <w:pStyle w:val="Compact"/>
        <w:numPr>
          <w:ilvl w:val="0"/>
          <w:numId w:val="1089"/>
        </w:numPr>
      </w:pPr>
      <w:r>
        <w:t xml:space="preserve">Shared / corporate modules SHALL be published to a corporate module registry (Terraform Cloud / Enterprise private registry, Azure Container Registry for Bicep, Pulumi private registry) and consumed from there; consuming modules from public sources is prohibited in production.</w:t>
      </w:r>
    </w:p>
    <w:p>
      <w:pPr>
        <w:pStyle w:val="Compact"/>
        <w:numPr>
          <w:ilvl w:val="0"/>
          <w:numId w:val="1089"/>
        </w:numPr>
      </w:pPr>
      <w:r>
        <w:t xml:space="preserve">IaC code SHALL be scanned for misconfiguration on every pull request using a corporate-approved tool (Checkov, Tfsec, Bridgecrew, Snyk IaC, or the cloud provider’s native scanner).</w:t>
      </w:r>
    </w:p>
    <w:p>
      <w:pPr>
        <w:pStyle w:val="Compact"/>
        <w:numPr>
          <w:ilvl w:val="0"/>
          <w:numId w:val="1089"/>
        </w:numPr>
      </w:pPr>
      <w:r>
        <w:t xml:space="preserve">Sensitive values referenced by IaC SHALL be sourced from the corporate vault (Chapter 3); hard-coded secrets in IaC are prohibited.</w:t>
      </w:r>
    </w:p>
    <w:p>
      <w:pPr>
        <w:pStyle w:val="Compact"/>
        <w:numPr>
          <w:ilvl w:val="0"/>
          <w:numId w:val="1089"/>
        </w:numPr>
      </w:pPr>
      <w:r>
        <w:t xml:space="preserve">IaC pipelines SHALL produce a manifest of the resources they create / modify / destroy; significant destructive changes SHALL require an additional approval step.</w:t>
      </w:r>
    </w:p>
    <w:p>
      <w:pPr>
        <w:pStyle w:val="Compact"/>
        <w:numPr>
          <w:ilvl w:val="0"/>
          <w:numId w:val="1089"/>
        </w:numPr>
      </w:pPr>
      <w:r>
        <w:t xml:space="preserve">Production landing zones SHALL be created via a corporate landing-zone bootstrap (Azure Landing Zones, AWS Control Tower / Account Factory, GCP Cloud Foundation Toolkit) that pre-applies the corporate baseline.</w:t>
      </w:r>
    </w:p>
    <w:p>
      <w:pPr>
        <w:pStyle w:val="Compact"/>
        <w:numPr>
          <w:ilvl w:val="0"/>
          <w:numId w:val="1089"/>
        </w:numPr>
      </w:pPr>
      <w:r>
        <w:t xml:space="preserve">Infrastructure changes SHALL be tested in a non-production environment before being applied to production; emergency-fix exceptions SHALL be subject to the change-management process.</w:t>
      </w:r>
    </w:p>
    <w:p>
      <w:pPr>
        <w:pStyle w:val="Compact"/>
        <w:numPr>
          <w:ilvl w:val="0"/>
          <w:numId w:val="1089"/>
        </w:numPr>
      </w:pPr>
      <w:r>
        <w:t xml:space="preserve">Deletion of stateful production resources (databases, key vaults, storage accounts) SHALL require a two-person approval and SHALL respect soft-delete / retention features.</w:t>
      </w:r>
    </w:p>
    <w:bookmarkEnd w:id="146"/>
    <w:bookmarkStart w:id="147" w:name="patterns-recommended-14"/>
    <w:p>
      <w:pPr>
        <w:pStyle w:val="Heading3"/>
      </w:pPr>
      <w:r>
        <w:t xml:space="preserve">Patterns (Recommended)</w:t>
      </w:r>
    </w:p>
    <w:p>
      <w:pPr>
        <w:pStyle w:val="Compact"/>
        <w:numPr>
          <w:ilvl w:val="0"/>
          <w:numId w:val="1090"/>
        </w:numPr>
      </w:pPr>
      <w:r>
        <w:rPr>
          <w:b/>
          <w:bCs/>
        </w:rPr>
        <w:t xml:space="preserve">Layered Terraform with explicit dependency graph.</w:t>
      </w:r>
      <w:r>
        <w:t xml:space="preserve"> </w:t>
      </w:r>
      <w:r>
        <w:t xml:space="preserve">Per the HashiCorp recommended structure, corporate Terraform SHOULD be organized in layers (foundation, networking, platform, application) with explicit module boundaries; this isolates blast radius and permits independent change cadence per layer.</w:t>
      </w:r>
    </w:p>
    <w:p>
      <w:pPr>
        <w:pStyle w:val="Compact"/>
        <w:numPr>
          <w:ilvl w:val="0"/>
          <w:numId w:val="1090"/>
        </w:numPr>
      </w:pPr>
      <w:r>
        <w:rPr>
          <w:b/>
          <w:bCs/>
        </w:rPr>
        <w:t xml:space="preserve">Policy-as-code in CI plus run-time enforcement.</w:t>
      </w:r>
      <w:r>
        <w:t xml:space="preserve"> </w:t>
      </w:r>
      <w:r>
        <w:t xml:space="preserve">Per the Microsoft Learn Azure Policy guidance, policies SHOULD be evaluated in the IaC pipeline (preventing bad code from ever being applied) and at runtime (preventing drift introduced by other means). This double-enforcement is more robust than either alone.</w:t>
      </w:r>
    </w:p>
    <w:p>
      <w:pPr>
        <w:pStyle w:val="Compact"/>
        <w:numPr>
          <w:ilvl w:val="0"/>
          <w:numId w:val="1090"/>
        </w:numPr>
      </w:pPr>
      <w:r>
        <w:rPr>
          <w:b/>
          <w:bCs/>
        </w:rPr>
        <w:t xml:space="preserve">GitOps for Kubernetes manifests.</w:t>
      </w:r>
      <w:r>
        <w:t xml:space="preserve"> </w:t>
      </w:r>
      <w:r>
        <w:t xml:space="preserve">Per the CNCF GitOps principles (Chapter 6), Kubernetes resources SHOULD be reconciled by a GitOps controller, providing the same single-source-of-truth discipline for in-cluster resources as Terraform provides for cloud resources.</w:t>
      </w:r>
    </w:p>
    <w:p>
      <w:pPr>
        <w:pStyle w:val="Compact"/>
        <w:numPr>
          <w:ilvl w:val="0"/>
          <w:numId w:val="1090"/>
        </w:numPr>
      </w:pPr>
      <w:r>
        <w:rPr>
          <w:b/>
          <w:bCs/>
        </w:rPr>
        <w:t xml:space="preserve">Account-factory pattern.</w:t>
      </w:r>
      <w:r>
        <w:t xml:space="preserve"> </w:t>
      </w:r>
      <w:r>
        <w:t xml:space="preserve">Per AWS Control Tower documentation, new AWS accounts SHOULD be provisioned through a corporate account-factory that pre-applies SCPs, baseline logging, baseline IAM Identity Center permission sets, and baseline VPC connectivity. Equivalent patterns SHOULD be used for Azure subscriptions and GCP projects.</w:t>
      </w:r>
    </w:p>
    <w:p>
      <w:pPr>
        <w:pStyle w:val="Compact"/>
        <w:numPr>
          <w:ilvl w:val="0"/>
          <w:numId w:val="1090"/>
        </w:numPr>
      </w:pPr>
      <w:r>
        <w:rPr>
          <w:b/>
          <w:bCs/>
        </w:rPr>
        <w:t xml:space="preserve">Ephemeral pre-production environments.</w:t>
      </w:r>
      <w:r>
        <w:t xml:space="preserve"> </w:t>
      </w:r>
      <w:r>
        <w:t xml:space="preserve">Pull-request-scoped environments SHOULD be spun up by the pipeline for integration tests and torn down on merge. Per the Microsoft Learn environment-promotion guidance, this approach catches integration defects far earlier in the cycle and reduces</w:t>
      </w:r>
      <w:r>
        <w:t xml:space="preserve"> </w:t>
      </w:r>
      <w:r>
        <w:t xml:space="preserve">“stale environment”</w:t>
      </w:r>
      <w:r>
        <w:t xml:space="preserve"> </w:t>
      </w:r>
      <w:r>
        <w:t xml:space="preserve">maintenance.</w:t>
      </w:r>
    </w:p>
    <w:bookmarkEnd w:id="147"/>
    <w:bookmarkStart w:id="148" w:name="anti-patterns-prohibited-14"/>
    <w:p>
      <w:pPr>
        <w:pStyle w:val="Heading3"/>
      </w:pPr>
      <w:r>
        <w:t xml:space="preserve">Anti-Patterns (Prohibited)</w:t>
      </w:r>
    </w:p>
    <w:p>
      <w:pPr>
        <w:pStyle w:val="Compact"/>
        <w:numPr>
          <w:ilvl w:val="0"/>
          <w:numId w:val="1091"/>
        </w:numPr>
      </w:pPr>
      <w:r>
        <w:rPr>
          <w:b/>
          <w:bCs/>
        </w:rPr>
        <w:t xml:space="preserve">MUST NOT</w:t>
      </w:r>
      <w:r>
        <w:t xml:space="preserve"> </w:t>
      </w:r>
      <w:r>
        <w:t xml:space="preserve">make a console / portal change to a production cloud resource. The temptation is greatest during an incident; the corporate practice SHALL be to make the change via an emergency pipeline run, which preserves the audit trail and prevents drift.</w:t>
      </w:r>
    </w:p>
    <w:p>
      <w:pPr>
        <w:pStyle w:val="Compact"/>
        <w:numPr>
          <w:ilvl w:val="0"/>
          <w:numId w:val="1091"/>
        </w:numPr>
      </w:pPr>
      <w:r>
        <w:rPr>
          <w:b/>
          <w:bCs/>
        </w:rPr>
        <w:t xml:space="preserve">SHALL NOT</w:t>
      </w:r>
      <w:r>
        <w:t xml:space="preserve"> </w:t>
      </w:r>
      <w:r>
        <w:t xml:space="preserve">commit Terraform</w:t>
      </w:r>
      <w:r>
        <w:t xml:space="preserve"> </w:t>
      </w:r>
      <w:r>
        <w:rPr>
          <w:rStyle w:val="VerbatimChar"/>
        </w:rPr>
        <w:t xml:space="preserve">.tfstate</w:t>
      </w:r>
      <w:r>
        <w:t xml:space="preserve"> </w:t>
      </w:r>
      <w:r>
        <w:t xml:space="preserve">files to source control. State belongs in a remote backend; in-source state defeats locking, encryption, and access control.</w:t>
      </w:r>
    </w:p>
    <w:p>
      <w:pPr>
        <w:pStyle w:val="Compact"/>
        <w:numPr>
          <w:ilvl w:val="0"/>
          <w:numId w:val="1091"/>
        </w:numPr>
      </w:pPr>
      <w:r>
        <w:rPr>
          <w:b/>
          <w:bCs/>
        </w:rPr>
        <w:t xml:space="preserve">MUST NOT</w:t>
      </w:r>
      <w:r>
        <w:t xml:space="preserve"> </w:t>
      </w:r>
      <w:r>
        <w:t xml:space="preserve">disable a corporate-policy assertion without ARB approval. The policy assertions are the corporate baseline; disabling them silently is a material risk event.</w:t>
      </w:r>
    </w:p>
    <w:p>
      <w:pPr>
        <w:pStyle w:val="Compact"/>
        <w:numPr>
          <w:ilvl w:val="0"/>
          <w:numId w:val="1091"/>
        </w:numPr>
      </w:pPr>
      <w:r>
        <w:rPr>
          <w:b/>
          <w:bCs/>
        </w:rPr>
        <w:t xml:space="preserve">SHALL NOT</w:t>
      </w:r>
      <w:r>
        <w:t xml:space="preserve"> </w:t>
      </w:r>
      <w:r>
        <w:t xml:space="preserve">use</w:t>
      </w:r>
      <w:r>
        <w:t xml:space="preserve"> </w:t>
      </w:r>
      <w:r>
        <w:rPr>
          <w:rStyle w:val="VerbatimChar"/>
        </w:rPr>
        <w:t xml:space="preserve">terraform apply</w:t>
      </w:r>
      <w:r>
        <w:t xml:space="preserve"> </w:t>
      </w:r>
      <w:r>
        <w:t xml:space="preserve">without first reviewing</w:t>
      </w:r>
      <w:r>
        <w:t xml:space="preserve"> </w:t>
      </w:r>
      <w:r>
        <w:rPr>
          <w:rStyle w:val="VerbatimChar"/>
        </w:rPr>
        <w:t xml:space="preserve">terraform plan</w:t>
      </w:r>
      <w:r>
        <w:t xml:space="preserve">. Pipelines SHALL enforce this separation.</w:t>
      </w:r>
    </w:p>
    <w:p>
      <w:pPr>
        <w:pStyle w:val="Compact"/>
        <w:numPr>
          <w:ilvl w:val="0"/>
          <w:numId w:val="1091"/>
        </w:numPr>
      </w:pPr>
      <w:r>
        <w:rPr>
          <w:b/>
          <w:bCs/>
        </w:rPr>
        <w:t xml:space="preserve">MUST NOT</w:t>
      </w:r>
      <w:r>
        <w:t xml:space="preserve"> </w:t>
      </w:r>
      <w:r>
        <w:t xml:space="preserve">embed credentials, API keys, or signing keys in IaC source. Vault references SHALL be used.</w:t>
      </w:r>
    </w:p>
    <w:p>
      <w:pPr>
        <w:pStyle w:val="Compact"/>
        <w:numPr>
          <w:ilvl w:val="0"/>
          <w:numId w:val="1091"/>
        </w:numPr>
      </w:pPr>
      <w:r>
        <w:rPr>
          <w:b/>
          <w:bCs/>
        </w:rPr>
        <w:t xml:space="preserve">SHALL NOT</w:t>
      </w:r>
      <w:r>
        <w:t xml:space="preserve"> </w:t>
      </w:r>
      <w:r>
        <w:t xml:space="preserve">allow a single team to write IaC that modifies cross-team shared resources (the hub VNet, the central log archive, the policy-set) without explicit cross-team approval and review.</w:t>
      </w:r>
    </w:p>
    <w:bookmarkEnd w:id="148"/>
    <w:bookmarkStart w:id="149" w:name="evidence-audit-14"/>
    <w:p>
      <w:pPr>
        <w:pStyle w:val="Heading3"/>
      </w:pPr>
      <w:r>
        <w:t xml:space="preserve">Evidence &amp; Audit</w:t>
      </w:r>
    </w:p>
    <w:p>
      <w:pPr>
        <w:pStyle w:val="Compact"/>
        <w:numPr>
          <w:ilvl w:val="0"/>
          <w:numId w:val="1092"/>
        </w:numPr>
      </w:pPr>
      <w:r>
        <w:t xml:space="preserve">Continuous drift-detection report per landing zone; drift items SHALL be remediated or accepted (with documented rationale) within ten (10) business days.</w:t>
      </w:r>
    </w:p>
    <w:p>
      <w:pPr>
        <w:pStyle w:val="Compact"/>
        <w:numPr>
          <w:ilvl w:val="0"/>
          <w:numId w:val="1092"/>
        </w:numPr>
      </w:pPr>
      <w:r>
        <w:t xml:space="preserve">Quarterly audit of policy-as-code coverage against the corporate baseline; gaps SHALL drive new assertions.</w:t>
      </w:r>
    </w:p>
    <w:p>
      <w:pPr>
        <w:pStyle w:val="Compact"/>
        <w:numPr>
          <w:ilvl w:val="0"/>
          <w:numId w:val="1092"/>
        </w:numPr>
      </w:pPr>
      <w:r>
        <w:t xml:space="preserve">Continuous monitoring of console / portal changes in production via cloud activity logs; detected interactive changes SHALL produce a ticket and a review.</w:t>
      </w:r>
    </w:p>
    <w:p>
      <w:pPr>
        <w:pStyle w:val="Compact"/>
        <w:numPr>
          <w:ilvl w:val="0"/>
          <w:numId w:val="1092"/>
        </w:numPr>
      </w:pPr>
      <w:r>
        <w:t xml:space="preserve">Annual review of the module registry: deprecated modules, unmaintained modules, modules without owners.</w:t>
      </w:r>
    </w:p>
    <w:p>
      <w:pPr>
        <w:pStyle w:val="Compact"/>
        <w:numPr>
          <w:ilvl w:val="0"/>
          <w:numId w:val="1092"/>
        </w:numPr>
      </w:pPr>
      <w:r>
        <w:t xml:space="preserve">Continuous IaC-pipeline status report: success rate, mean time between drift, mean time to remediate drift.</w:t>
      </w:r>
    </w:p>
    <w:p>
      <w:pPr>
        <w:pStyle w:val="Compact"/>
        <w:numPr>
          <w:ilvl w:val="0"/>
          <w:numId w:val="1092"/>
        </w:numPr>
      </w:pPr>
      <w:r>
        <w:t xml:space="preserve">Periodic destructive-change-review report: which changes destroyed how many resources, who approved.</w:t>
      </w:r>
    </w:p>
    <w:bookmarkEnd w:id="149"/>
    <w:bookmarkStart w:id="150" w:name="exceptions-14"/>
    <w:p>
      <w:pPr>
        <w:pStyle w:val="Heading3"/>
      </w:pPr>
      <w:r>
        <w:t xml:space="preserve">Exceptions</w:t>
      </w:r>
    </w:p>
    <w:p>
      <w:pPr>
        <w:pStyle w:val="FirstParagraph"/>
      </w:pPr>
      <w:r>
        <w:t xml:space="preserve">Where a cloud feature is so new that no IaC provider has support yet, the team MAY perform a console action AND SHALL immediately raise an IaC issue with the provider, document the action, and migrate to IaC within ninety (90) days.</w:t>
      </w:r>
      <w:r>
        <w:t xml:space="preserve"> </w:t>
      </w:r>
      <w:r>
        <w:rPr>
          <w:b/>
          <w:bCs/>
        </w:rPr>
        <w:t xml:space="preserve">Exceptions SHALL be time-boxed to 90 days and require ARB approval.</w:t>
      </w:r>
    </w:p>
    <w:bookmarkEnd w:id="150"/>
    <w:bookmarkStart w:id="151" w:name="references-14"/>
    <w:p>
      <w:pPr>
        <w:pStyle w:val="Heading3"/>
      </w:pPr>
      <w:r>
        <w:t xml:space="preserve">References</w:t>
      </w:r>
    </w:p>
    <w:p>
      <w:pPr>
        <w:pStyle w:val="Compact"/>
        <w:numPr>
          <w:ilvl w:val="0"/>
          <w:numId w:val="1093"/>
        </w:numPr>
      </w:pPr>
      <w:r>
        <w:t xml:space="preserve">Microsoft Learn — Bicep documentation: https://learn.microsoft.com/en-us/azure/azure-resource-manager/bicep/</w:t>
      </w:r>
    </w:p>
    <w:p>
      <w:pPr>
        <w:pStyle w:val="Compact"/>
        <w:numPr>
          <w:ilvl w:val="0"/>
          <w:numId w:val="1093"/>
        </w:numPr>
      </w:pPr>
      <w:r>
        <w:t xml:space="preserve">Microsoft Learn — Azure Policy overview: https://learn.microsoft.com/en-us/azure/governance/policy/overview</w:t>
      </w:r>
    </w:p>
    <w:p>
      <w:pPr>
        <w:pStyle w:val="Compact"/>
        <w:numPr>
          <w:ilvl w:val="0"/>
          <w:numId w:val="1093"/>
        </w:numPr>
      </w:pPr>
      <w:r>
        <w:t xml:space="preserve">Microsoft Learn — Azure landing zones: https://learn.microsoft.com/en-us/azure/cloud-adoption-framework/ready/landing-zone/</w:t>
      </w:r>
    </w:p>
    <w:p>
      <w:pPr>
        <w:pStyle w:val="Compact"/>
        <w:numPr>
          <w:ilvl w:val="0"/>
          <w:numId w:val="1093"/>
        </w:numPr>
      </w:pPr>
      <w:r>
        <w:t xml:space="preserve">AWS — AWS Config documentation: https://docs.aws.amazon.com/config/latest/developerguide/WhatIsConfig.html</w:t>
      </w:r>
    </w:p>
    <w:p>
      <w:pPr>
        <w:pStyle w:val="Compact"/>
        <w:numPr>
          <w:ilvl w:val="0"/>
          <w:numId w:val="1093"/>
        </w:numPr>
      </w:pPr>
      <w:r>
        <w:t xml:space="preserve">AWS — Control Tower documentation: https://docs.aws.amazon.com/controltower/latest/userguide/what-is-control-tower.html</w:t>
      </w:r>
    </w:p>
    <w:p>
      <w:pPr>
        <w:pStyle w:val="Compact"/>
        <w:numPr>
          <w:ilvl w:val="0"/>
          <w:numId w:val="1093"/>
        </w:numPr>
      </w:pPr>
      <w:r>
        <w:t xml:space="preserve">AWS — Service Control Policies: https://docs.aws.amazon.com/organizations/latest/userguide/orgs_manage_policies_scps.html</w:t>
      </w:r>
    </w:p>
    <w:p>
      <w:pPr>
        <w:pStyle w:val="Compact"/>
        <w:numPr>
          <w:ilvl w:val="0"/>
          <w:numId w:val="1093"/>
        </w:numPr>
      </w:pPr>
      <w:r>
        <w:t xml:space="preserve">Google Cloud — Organization Policy Service: https://cloud.google.com/resource-manager/docs/organization-policy/overview</w:t>
      </w:r>
    </w:p>
    <w:p>
      <w:pPr>
        <w:pStyle w:val="Compact"/>
        <w:numPr>
          <w:ilvl w:val="0"/>
          <w:numId w:val="1093"/>
        </w:numPr>
      </w:pPr>
      <w:r>
        <w:t xml:space="preserve">HashiCorp Terraform — Recommended practices: https://developer.hashicorp.com/terraform/cloud-docs/recommended-practices</w:t>
      </w:r>
    </w:p>
    <w:p>
      <w:pPr>
        <w:pStyle w:val="Compact"/>
        <w:numPr>
          <w:ilvl w:val="0"/>
          <w:numId w:val="1093"/>
        </w:numPr>
      </w:pPr>
      <w:r>
        <w:t xml:space="preserve">HashiCorp Terraform — Sentinel policy as code: https://developer.hashicorp.com/terraform/cloud-docs/policy-enforcement</w:t>
      </w:r>
    </w:p>
    <w:p>
      <w:pPr>
        <w:pStyle w:val="Compact"/>
        <w:numPr>
          <w:ilvl w:val="0"/>
          <w:numId w:val="1093"/>
        </w:numPr>
      </w:pPr>
      <w:r>
        <w:t xml:space="preserve">Pulumi — Best practices: https://www.pulumi.com/docs/iac/concepts/best-practices/</w:t>
      </w:r>
    </w:p>
    <w:p>
      <w:pPr>
        <w:pStyle w:val="Compact"/>
        <w:numPr>
          <w:ilvl w:val="0"/>
          <w:numId w:val="1093"/>
        </w:numPr>
      </w:pPr>
      <w:r>
        <w:t xml:space="preserve">CIS Critical Security Controls — IaC and configuration management.</w:t>
      </w:r>
    </w:p>
    <w:bookmarkEnd w:id="151"/>
    <w:bookmarkEnd w:id="152"/>
    <w:bookmarkStart w:id="161" w:name="X8a5ceb6add0623e44e89812c58eb348c28c8eef"/>
    <w:p>
      <w:pPr>
        <w:pStyle w:val="Heading2"/>
      </w:pPr>
      <w:r>
        <w:t xml:space="preserve">Chapter 16 — Service-to-Service Communication</w:t>
      </w:r>
    </w:p>
    <w:bookmarkStart w:id="153" w:name="intent-15"/>
    <w:p>
      <w:pPr>
        <w:pStyle w:val="Heading3"/>
      </w:pPr>
      <w:r>
        <w:t xml:space="preserve">Intent</w:t>
      </w:r>
    </w:p>
    <w:p>
      <w:pPr>
        <w:pStyle w:val="FirstParagraph"/>
      </w:pPr>
      <w:r>
        <w:t xml:space="preserve">Modern corporate workloads are composed of many cooperating services. This chapter governs how those services discover each other, authenticate to each other, version their contracts, exchange data synchronously and asynchronously, and tolerate one another’s failure. The objective is to ensure that the service-to-service substrate is secure (mTLS by default), observable (uniform telemetry), evolvable (versioned contracts with compatibility guarantees), and biased toward asynchronous coupling where the business problem permits.</w:t>
      </w:r>
    </w:p>
    <w:p>
      <w:pPr>
        <w:pStyle w:val="BodyText"/>
      </w:pPr>
      <w:r>
        <w:t xml:space="preserve">The chapter integrates several earlier chapters: identity and workload identity (Chapter 1), TLS and mTLS (Chapter 4), distributed tracing (Chapter 11), errors and idempotency (Chapter 12), retries and circuit breakers (Chapter 13). It adds the contracts, versioning, and event-schema conventions that the rest of the document presupposes.</w:t>
      </w:r>
    </w:p>
    <w:bookmarkEnd w:id="153"/>
    <w:bookmarkStart w:id="154" w:name="scope-16"/>
    <w:p>
      <w:pPr>
        <w:pStyle w:val="Heading3"/>
      </w:pPr>
      <w:r>
        <w:t xml:space="preserve">Scope</w:t>
      </w:r>
    </w:p>
    <w:p>
      <w:pPr>
        <w:pStyle w:val="Compact"/>
        <w:numPr>
          <w:ilvl w:val="0"/>
          <w:numId w:val="1094"/>
        </w:numPr>
      </w:pPr>
      <w:r>
        <w:t xml:space="preserve">Every API exposed by one corporate service to another.</w:t>
      </w:r>
    </w:p>
    <w:p>
      <w:pPr>
        <w:pStyle w:val="Compact"/>
        <w:numPr>
          <w:ilvl w:val="0"/>
          <w:numId w:val="1094"/>
        </w:numPr>
      </w:pPr>
      <w:r>
        <w:t xml:space="preserve">Every event published by a corporate service onto a corporate message bus.</w:t>
      </w:r>
    </w:p>
    <w:p>
      <w:pPr>
        <w:pStyle w:val="Compact"/>
        <w:numPr>
          <w:ilvl w:val="0"/>
          <w:numId w:val="1094"/>
        </w:numPr>
      </w:pPr>
      <w:r>
        <w:t xml:space="preserve">Every queue or stream consumed by a corporate service.</w:t>
      </w:r>
    </w:p>
    <w:p>
      <w:pPr>
        <w:pStyle w:val="Compact"/>
        <w:numPr>
          <w:ilvl w:val="0"/>
          <w:numId w:val="1094"/>
        </w:numPr>
      </w:pPr>
      <w:r>
        <w:t xml:space="preserve">Every contract artifact (OpenAPI specification, AsyncAPI specification, Protobuf schema, Avro schema, JSON schema).</w:t>
      </w:r>
    </w:p>
    <w:p>
      <w:pPr>
        <w:pStyle w:val="Compact"/>
        <w:numPr>
          <w:ilvl w:val="0"/>
          <w:numId w:val="1094"/>
        </w:numPr>
      </w:pPr>
      <w:r>
        <w:t xml:space="preserve">Every service mesh deployment.</w:t>
      </w:r>
    </w:p>
    <w:bookmarkEnd w:id="154"/>
    <w:bookmarkStart w:id="155" w:name="mandatory-controls-15"/>
    <w:p>
      <w:pPr>
        <w:pStyle w:val="Heading3"/>
      </w:pPr>
      <w:r>
        <w:t xml:space="preserve">Mandatory Controls</w:t>
      </w:r>
    </w:p>
    <w:p>
      <w:pPr>
        <w:pStyle w:val="Compact"/>
        <w:numPr>
          <w:ilvl w:val="0"/>
          <w:numId w:val="1095"/>
        </w:numPr>
      </w:pPr>
      <w:r>
        <w:t xml:space="preserve">Service-to-service authentication SHALL be performed mutually using mTLS, OAuth 2.0 client credentials with audience-scoped tokens, or a service-mesh-issued workload identity. Unauthenticated east-west traffic is prohibited.</w:t>
      </w:r>
    </w:p>
    <w:p>
      <w:pPr>
        <w:pStyle w:val="Compact"/>
        <w:numPr>
          <w:ilvl w:val="0"/>
          <w:numId w:val="1095"/>
        </w:numPr>
      </w:pPr>
      <w:r>
        <w:t xml:space="preserve">Service-to-service authorization SHALL apply the same principles as user authorization: explicit scopes / permissions per endpoint, least privilege per caller.</w:t>
      </w:r>
    </w:p>
    <w:p>
      <w:pPr>
        <w:pStyle w:val="Compact"/>
        <w:numPr>
          <w:ilvl w:val="0"/>
          <w:numId w:val="1095"/>
        </w:numPr>
      </w:pPr>
      <w:r>
        <w:t xml:space="preserve">Synchronous APIs SHALL be specified in OpenAPI 3.x; asynchronous APIs SHALL be specified in AsyncAPI 2.x or 3.x. Specs SHALL live in source control and SHALL be the source of truth for client and server stubs.</w:t>
      </w:r>
    </w:p>
    <w:p>
      <w:pPr>
        <w:pStyle w:val="Compact"/>
        <w:numPr>
          <w:ilvl w:val="0"/>
          <w:numId w:val="1095"/>
        </w:numPr>
      </w:pPr>
      <w:r>
        <w:t xml:space="preserve">API versioning SHALL follow a documented scheme: corporate convention is</w:t>
      </w:r>
      <w:r>
        <w:t xml:space="preserve"> </w:t>
      </w:r>
      <w:r>
        <w:rPr>
          <w:rStyle w:val="VerbatimChar"/>
        </w:rPr>
        <w:t xml:space="preserve">/v{major}</w:t>
      </w:r>
      <w:r>
        <w:t xml:space="preserve"> </w:t>
      </w:r>
      <w:r>
        <w:t xml:space="preserve">in the URL path for public APIs and a</w:t>
      </w:r>
      <w:r>
        <w:t xml:space="preserve"> </w:t>
      </w:r>
      <w:r>
        <w:rPr>
          <w:rStyle w:val="VerbatimChar"/>
        </w:rPr>
        <w:t xml:space="preserve">X-Api-Version</w:t>
      </w:r>
      <w:r>
        <w:t xml:space="preserve"> </w:t>
      </w:r>
      <w:r>
        <w:t xml:space="preserve">header for internal APIs. Breaking changes SHALL increment the major version.</w:t>
      </w:r>
    </w:p>
    <w:p>
      <w:pPr>
        <w:pStyle w:val="Compact"/>
        <w:numPr>
          <w:ilvl w:val="0"/>
          <w:numId w:val="1095"/>
        </w:numPr>
      </w:pPr>
      <w:r>
        <w:t xml:space="preserve">Breaking changes SHALL NOT be deployed without a deprecation period of at least ninety (90) days during which both old and new versions are supported in parallel.</w:t>
      </w:r>
    </w:p>
    <w:p>
      <w:pPr>
        <w:pStyle w:val="Compact"/>
        <w:numPr>
          <w:ilvl w:val="0"/>
          <w:numId w:val="1095"/>
        </w:numPr>
      </w:pPr>
      <w:r>
        <w:t xml:space="preserve">Event schemas SHALL evolve compatibly: only additive, optional-field changes are permitted within a major version. Schema registry (Azure Event Hubs Schema Registry, AWS EventBridge Schemas, GCP Pub/Sub Schemas, or Confluent Schema Registry) SHALL enforce compatibility.</w:t>
      </w:r>
    </w:p>
    <w:p>
      <w:pPr>
        <w:pStyle w:val="Compact"/>
        <w:numPr>
          <w:ilvl w:val="0"/>
          <w:numId w:val="1095"/>
        </w:numPr>
      </w:pPr>
      <w:r>
        <w:t xml:space="preserve">Asynchronous, event-driven coupling SHALL be preferred for cross-domain communication where the business problem permits, in line with the corporate guidance on domain-driven design boundaries.</w:t>
      </w:r>
    </w:p>
    <w:p>
      <w:pPr>
        <w:pStyle w:val="Compact"/>
        <w:numPr>
          <w:ilvl w:val="0"/>
          <w:numId w:val="1095"/>
        </w:numPr>
      </w:pPr>
      <w:r>
        <w:t xml:space="preserve">Every state-changing API endpoint SHALL be idempotent (Chapter 12) and SHALL declare its idempotency contract in the OpenAPI spec.</w:t>
      </w:r>
    </w:p>
    <w:p>
      <w:pPr>
        <w:pStyle w:val="Compact"/>
        <w:numPr>
          <w:ilvl w:val="0"/>
          <w:numId w:val="1095"/>
        </w:numPr>
      </w:pPr>
      <w:r>
        <w:t xml:space="preserve">Every API endpoint SHALL declare its timeout, retry, and rate-limit characteristics in machine-readable form. Clients SHALL respect those characteristics.</w:t>
      </w:r>
    </w:p>
    <w:p>
      <w:pPr>
        <w:pStyle w:val="Compact"/>
        <w:numPr>
          <w:ilvl w:val="0"/>
          <w:numId w:val="1095"/>
        </w:numPr>
      </w:pPr>
      <w:r>
        <w:t xml:space="preserve">Every published event SHALL carry the W3C trace-context (Chapter 11) and a stable event-id for deduplication.</w:t>
      </w:r>
    </w:p>
    <w:p>
      <w:pPr>
        <w:pStyle w:val="Compact"/>
        <w:numPr>
          <w:ilvl w:val="0"/>
          <w:numId w:val="1095"/>
        </w:numPr>
      </w:pPr>
      <w:r>
        <w:t xml:space="preserve">Service meshes SHALL be used to provide mTLS, traffic-splitting, retry policy, and uniform telemetry for east-west traffic in Kubernetes; the corporate-approved meshes are Istio, Linkerd, AWS App Mesh, and GCP Anthos Service Mesh.</w:t>
      </w:r>
    </w:p>
    <w:p>
      <w:pPr>
        <w:pStyle w:val="Compact"/>
        <w:numPr>
          <w:ilvl w:val="0"/>
          <w:numId w:val="1095"/>
        </w:numPr>
      </w:pPr>
      <w:r>
        <w:t xml:space="preserve">Public corporate APIs SHALL be fronted by an API gateway (Azure API Management, AWS API Gateway, GCP Apigee) that enforces authentication, rate limits, schema validation, and TLS termination at the corporate edge.</w:t>
      </w:r>
    </w:p>
    <w:p>
      <w:pPr>
        <w:pStyle w:val="Compact"/>
        <w:numPr>
          <w:ilvl w:val="0"/>
          <w:numId w:val="1095"/>
        </w:numPr>
      </w:pPr>
      <w:r>
        <w:t xml:space="preserve">Contract tests SHALL be implemented between every pair of services with a producer-consumer relationship, run in CI on both producer and consumer changes.</w:t>
      </w:r>
    </w:p>
    <w:p>
      <w:pPr>
        <w:pStyle w:val="Compact"/>
        <w:numPr>
          <w:ilvl w:val="0"/>
          <w:numId w:val="1095"/>
        </w:numPr>
      </w:pPr>
      <w:r>
        <w:t xml:space="preserve">Public APIs SHALL be discoverable through the corporate API catalog with up-to-date OpenAPI specs and usage examples.</w:t>
      </w:r>
    </w:p>
    <w:p>
      <w:pPr>
        <w:pStyle w:val="Compact"/>
        <w:numPr>
          <w:ilvl w:val="0"/>
          <w:numId w:val="1095"/>
        </w:numPr>
      </w:pPr>
      <w:r>
        <w:t xml:space="preserve">Service-to-service communication SHALL emit per-call metrics (count, latency, error rate, retry count) and per-call traces (Chapter 11).</w:t>
      </w:r>
    </w:p>
    <w:bookmarkEnd w:id="155"/>
    <w:bookmarkStart w:id="156" w:name="patterns-recommended-15"/>
    <w:p>
      <w:pPr>
        <w:pStyle w:val="Heading3"/>
      </w:pPr>
      <w:r>
        <w:t xml:space="preserve">Patterns (Recommended)</w:t>
      </w:r>
    </w:p>
    <w:p>
      <w:pPr>
        <w:pStyle w:val="Compact"/>
        <w:numPr>
          <w:ilvl w:val="0"/>
          <w:numId w:val="1096"/>
        </w:numPr>
      </w:pPr>
      <w:r>
        <w:rPr>
          <w:b/>
          <w:bCs/>
        </w:rPr>
        <w:t xml:space="preserve">Event-driven domain boundaries.</w:t>
      </w:r>
      <w:r>
        <w:t xml:space="preserve"> </w:t>
      </w:r>
      <w:r>
        <w:t xml:space="preserve">Per the Microsoft Learn microservices architecture guidance, cross-domain communication SHOULD be asynchronous and event-driven. This decouples services in time (the producer does not wait for the consumer), in identity (the producer does not know the consumers), and in failure (a consumer outage does not block the producer).</w:t>
      </w:r>
    </w:p>
    <w:p>
      <w:pPr>
        <w:pStyle w:val="Compact"/>
        <w:numPr>
          <w:ilvl w:val="0"/>
          <w:numId w:val="1096"/>
        </w:numPr>
      </w:pPr>
      <w:r>
        <w:rPr>
          <w:b/>
          <w:bCs/>
        </w:rPr>
        <w:t xml:space="preserve">API gateway for cross-cutting concerns.</w:t>
      </w:r>
      <w:r>
        <w:t xml:space="preserve"> </w:t>
      </w:r>
      <w:r>
        <w:t xml:space="preserve">Per the AWS Well-Architected API gateway patterns, an API gateway SHOULD enforce auth, throttling, schema validation, and quota at a single layer rather than re-implementing those across many services. The gateway becomes the consistent enforcement point for the corporate edge.</w:t>
      </w:r>
    </w:p>
    <w:p>
      <w:pPr>
        <w:pStyle w:val="Compact"/>
        <w:numPr>
          <w:ilvl w:val="0"/>
          <w:numId w:val="1096"/>
        </w:numPr>
      </w:pPr>
      <w:r>
        <w:rPr>
          <w:b/>
          <w:bCs/>
        </w:rPr>
        <w:t xml:space="preserve">Service mesh for mTLS and uniform observability.</w:t>
      </w:r>
      <w:r>
        <w:t xml:space="preserve"> </w:t>
      </w:r>
      <w:r>
        <w:t xml:space="preserve">Per the Istio documentation, a service mesh SHOULD provide mTLS, retry/timeout policy, traffic-splitting, and uniform metrics, freeing application code from these cross-cutting concerns. Workloads in AKS, EKS, and GKE SHOULD plan for a mesh from the outset.</w:t>
      </w:r>
    </w:p>
    <w:p>
      <w:pPr>
        <w:pStyle w:val="Compact"/>
        <w:numPr>
          <w:ilvl w:val="0"/>
          <w:numId w:val="1096"/>
        </w:numPr>
      </w:pPr>
      <w:r>
        <w:rPr>
          <w:b/>
          <w:bCs/>
        </w:rPr>
        <w:t xml:space="preserve">Outbox + change-data-capture for event publishing.</w:t>
      </w:r>
      <w:r>
        <w:t xml:space="preserve"> </w:t>
      </w:r>
      <w:r>
        <w:t xml:space="preserve">Per Chapter 12, services that must publish events derived from database writes SHOULD use an outbox table and a CDC publisher; this guarantees at-least-once event delivery without double-writes.</w:t>
      </w:r>
    </w:p>
    <w:p>
      <w:pPr>
        <w:pStyle w:val="Compact"/>
        <w:numPr>
          <w:ilvl w:val="0"/>
          <w:numId w:val="1096"/>
        </w:numPr>
      </w:pPr>
      <w:r>
        <w:rPr>
          <w:b/>
          <w:bCs/>
        </w:rPr>
        <w:t xml:space="preserve">Consumer-driven contract tests with Pact or equivalent.</w:t>
      </w:r>
      <w:r>
        <w:t xml:space="preserve"> </w:t>
      </w:r>
      <w:r>
        <w:t xml:space="preserve">Per the Pact framework documentation, consumer-driven contract tests verify that a producer change does not break any current consumer without requiring all consumers to participate in end-to-end testing.</w:t>
      </w:r>
    </w:p>
    <w:bookmarkEnd w:id="156"/>
    <w:bookmarkStart w:id="157" w:name="anti-patterns-prohibited-15"/>
    <w:p>
      <w:pPr>
        <w:pStyle w:val="Heading3"/>
      </w:pPr>
      <w:r>
        <w:t xml:space="preserve">Anti-Patterns (Prohibited)</w:t>
      </w:r>
    </w:p>
    <w:p>
      <w:pPr>
        <w:pStyle w:val="Compact"/>
        <w:numPr>
          <w:ilvl w:val="0"/>
          <w:numId w:val="1097"/>
        </w:numPr>
      </w:pPr>
      <w:r>
        <w:rPr>
          <w:b/>
          <w:bCs/>
        </w:rPr>
        <w:t xml:space="preserve">MUST NOT</w:t>
      </w:r>
      <w:r>
        <w:t xml:space="preserve"> </w:t>
      </w:r>
      <w:r>
        <w:t xml:space="preserve">expose a service to other services with no authentication</w:t>
      </w:r>
      <w:r>
        <w:t xml:space="preserve"> </w:t>
      </w:r>
      <w:r>
        <w:t xml:space="preserve">“because it’s behind the firewall”</w:t>
      </w:r>
      <w:r>
        <w:t xml:space="preserve">. Zero-trust principles apply east-west: every call SHALL carry an authenticated identity.</w:t>
      </w:r>
    </w:p>
    <w:p>
      <w:pPr>
        <w:pStyle w:val="Compact"/>
        <w:numPr>
          <w:ilvl w:val="0"/>
          <w:numId w:val="1097"/>
        </w:numPr>
      </w:pPr>
      <w:r>
        <w:rPr>
          <w:b/>
          <w:bCs/>
        </w:rPr>
        <w:t xml:space="preserve">SHALL NOT</w:t>
      </w:r>
      <w:r>
        <w:t xml:space="preserve"> </w:t>
      </w:r>
      <w:r>
        <w:t xml:space="preserve">make breaking API changes within a major version. The corporate compatibility guarantee is that consumers may upgrade at their own pace within the major version.</w:t>
      </w:r>
    </w:p>
    <w:p>
      <w:pPr>
        <w:pStyle w:val="Compact"/>
        <w:numPr>
          <w:ilvl w:val="0"/>
          <w:numId w:val="1097"/>
        </w:numPr>
      </w:pPr>
      <w:r>
        <w:rPr>
          <w:b/>
          <w:bCs/>
        </w:rPr>
        <w:t xml:space="preserve">MUST NOT</w:t>
      </w:r>
      <w:r>
        <w:t xml:space="preserve"> </w:t>
      </w:r>
      <w:r>
        <w:t xml:space="preserve">rely on a shared database as the integration mechanism between services. Database-as-integration is the canonical anti-pattern of the microservice era: it couples deployments, couples schemas, and prevents independent evolution.</w:t>
      </w:r>
    </w:p>
    <w:p>
      <w:pPr>
        <w:pStyle w:val="Compact"/>
        <w:numPr>
          <w:ilvl w:val="0"/>
          <w:numId w:val="1097"/>
        </w:numPr>
      </w:pPr>
      <w:r>
        <w:rPr>
          <w:b/>
          <w:bCs/>
        </w:rPr>
        <w:t xml:space="preserve">SHALL NOT</w:t>
      </w:r>
      <w:r>
        <w:t xml:space="preserve"> </w:t>
      </w:r>
      <w:r>
        <w:t xml:space="preserve">use synchronous calls for cross-domain workflows. Synchronous coupling produces availability multiplication (a chain of five 99.9 % services has a 99.5 % chain availability); asynchronous coupling does not.</w:t>
      </w:r>
    </w:p>
    <w:p>
      <w:pPr>
        <w:pStyle w:val="Compact"/>
        <w:numPr>
          <w:ilvl w:val="0"/>
          <w:numId w:val="1097"/>
        </w:numPr>
      </w:pPr>
      <w:r>
        <w:rPr>
          <w:b/>
          <w:bCs/>
        </w:rPr>
        <w:t xml:space="preserve">MUST NOT</w:t>
      </w:r>
      <w:r>
        <w:t xml:space="preserve"> </w:t>
      </w:r>
      <w:r>
        <w:t xml:space="preserve">publish a new event topic without registering its schema in the corporate schema registry; un-schema’d events cannot be consumed safely by downstream teams.</w:t>
      </w:r>
    </w:p>
    <w:p>
      <w:pPr>
        <w:pStyle w:val="Compact"/>
        <w:numPr>
          <w:ilvl w:val="0"/>
          <w:numId w:val="1097"/>
        </w:numPr>
      </w:pPr>
      <w:r>
        <w:rPr>
          <w:b/>
          <w:bCs/>
        </w:rPr>
        <w:t xml:space="preserve">SHALL NOT</w:t>
      </w:r>
      <w:r>
        <w:t xml:space="preserve"> </w:t>
      </w:r>
      <w:r>
        <w:t xml:space="preserve">treat the API gateway as a place to implement business logic. The gateway is for cross-cutting concerns; business logic belongs in services.</w:t>
      </w:r>
    </w:p>
    <w:bookmarkEnd w:id="157"/>
    <w:bookmarkStart w:id="158" w:name="evidence-audit-15"/>
    <w:p>
      <w:pPr>
        <w:pStyle w:val="Heading3"/>
      </w:pPr>
      <w:r>
        <w:t xml:space="preserve">Evidence &amp; Audit</w:t>
      </w:r>
    </w:p>
    <w:p>
      <w:pPr>
        <w:pStyle w:val="Compact"/>
        <w:numPr>
          <w:ilvl w:val="0"/>
          <w:numId w:val="1098"/>
        </w:numPr>
      </w:pPr>
      <w:r>
        <w:t xml:space="preserve">Continuous monitoring of east-west traffic for plaintext or improperly authenticated calls; detections SHALL alert.</w:t>
      </w:r>
    </w:p>
    <w:p>
      <w:pPr>
        <w:pStyle w:val="Compact"/>
        <w:numPr>
          <w:ilvl w:val="0"/>
          <w:numId w:val="1098"/>
        </w:numPr>
      </w:pPr>
      <w:r>
        <w:t xml:space="preserve">Quarterly review of the API catalog for missing or stale OpenAPI specs.</w:t>
      </w:r>
    </w:p>
    <w:p>
      <w:pPr>
        <w:pStyle w:val="Compact"/>
        <w:numPr>
          <w:ilvl w:val="0"/>
          <w:numId w:val="1098"/>
        </w:numPr>
      </w:pPr>
      <w:r>
        <w:t xml:space="preserve">Continuous schema-registry compatibility checks; incompatible schema-change attempts SHALL be rejected and SHALL be a defect against the producing team.</w:t>
      </w:r>
    </w:p>
    <w:p>
      <w:pPr>
        <w:pStyle w:val="Compact"/>
        <w:numPr>
          <w:ilvl w:val="0"/>
          <w:numId w:val="1098"/>
        </w:numPr>
      </w:pPr>
      <w:r>
        <w:t xml:space="preserve">Annual review of deprecation timelines: are old API versions retired on schedule?</w:t>
      </w:r>
    </w:p>
    <w:p>
      <w:pPr>
        <w:pStyle w:val="Compact"/>
        <w:numPr>
          <w:ilvl w:val="0"/>
          <w:numId w:val="1098"/>
        </w:numPr>
      </w:pPr>
      <w:r>
        <w:t xml:space="preserve">Continuous metrics-coverage check: does every cross-service call appear in the service mesh / API gateway metrics?</w:t>
      </w:r>
    </w:p>
    <w:p>
      <w:pPr>
        <w:pStyle w:val="Compact"/>
        <w:numPr>
          <w:ilvl w:val="0"/>
          <w:numId w:val="1098"/>
        </w:numPr>
      </w:pPr>
      <w:r>
        <w:t xml:space="preserve">Contract-test coverage report per service.</w:t>
      </w:r>
    </w:p>
    <w:bookmarkEnd w:id="158"/>
    <w:bookmarkStart w:id="159" w:name="exceptions-15"/>
    <w:p>
      <w:pPr>
        <w:pStyle w:val="Heading3"/>
      </w:pPr>
      <w:r>
        <w:t xml:space="preserve">Exceptions</w:t>
      </w:r>
    </w:p>
    <w:p>
      <w:pPr>
        <w:pStyle w:val="FirstParagraph"/>
      </w:pPr>
      <w:r>
        <w:t xml:space="preserve">Cross-cloud service-to-service calls that cannot satisfy mesh-managed mTLS SHALL use OAuth 2.0 client credentials with workload-identity-issued tokens, and SHALL be documented in an exception.</w:t>
      </w:r>
      <w:r>
        <w:t xml:space="preserve"> </w:t>
      </w:r>
      <w:r>
        <w:rPr>
          <w:b/>
          <w:bCs/>
        </w:rPr>
        <w:t xml:space="preserve">Exceptions SHALL be time-boxed to 90 days and require ARB approval.</w:t>
      </w:r>
    </w:p>
    <w:bookmarkEnd w:id="159"/>
    <w:bookmarkStart w:id="160" w:name="references-15"/>
    <w:p>
      <w:pPr>
        <w:pStyle w:val="Heading3"/>
      </w:pPr>
      <w:r>
        <w:t xml:space="preserve">References</w:t>
      </w:r>
    </w:p>
    <w:p>
      <w:pPr>
        <w:pStyle w:val="Compact"/>
        <w:numPr>
          <w:ilvl w:val="0"/>
          <w:numId w:val="1099"/>
        </w:numPr>
      </w:pPr>
      <w:r>
        <w:t xml:space="preserve">Microsoft Learn — Microservices architecture: https://learn.microsoft.com/en-us/azure/architecture/microservices/</w:t>
      </w:r>
    </w:p>
    <w:p>
      <w:pPr>
        <w:pStyle w:val="Compact"/>
        <w:numPr>
          <w:ilvl w:val="0"/>
          <w:numId w:val="1099"/>
        </w:numPr>
      </w:pPr>
      <w:r>
        <w:t xml:space="preserve">Microsoft Learn — Asynchronous messaging options: https://learn.microsoft.com/en-us/azure/architecture/guide/technology-choices/messaging</w:t>
      </w:r>
    </w:p>
    <w:p>
      <w:pPr>
        <w:pStyle w:val="Compact"/>
        <w:numPr>
          <w:ilvl w:val="0"/>
          <w:numId w:val="1099"/>
        </w:numPr>
      </w:pPr>
      <w:r>
        <w:t xml:space="preserve">Microsoft Learn — API design best practices: https://learn.microsoft.com/en-us/azure/architecture/best-practices/api-design</w:t>
      </w:r>
    </w:p>
    <w:p>
      <w:pPr>
        <w:pStyle w:val="Compact"/>
        <w:numPr>
          <w:ilvl w:val="0"/>
          <w:numId w:val="1099"/>
        </w:numPr>
      </w:pPr>
      <w:r>
        <w:t xml:space="preserve">Microsoft Learn — Azure API Management overview: https://learn.microsoft.com/en-us/azure/api-management/api-management-key-concepts</w:t>
      </w:r>
    </w:p>
    <w:p>
      <w:pPr>
        <w:pStyle w:val="Compact"/>
        <w:numPr>
          <w:ilvl w:val="0"/>
          <w:numId w:val="1099"/>
        </w:numPr>
      </w:pPr>
      <w:r>
        <w:t xml:space="preserve">AWS Well-Architected — Microservices best practices: https://docs.aws.amazon.com/whitepapers/latest/microservices-on-aws/microservices-on-aws.html</w:t>
      </w:r>
    </w:p>
    <w:p>
      <w:pPr>
        <w:pStyle w:val="Compact"/>
        <w:numPr>
          <w:ilvl w:val="0"/>
          <w:numId w:val="1099"/>
        </w:numPr>
      </w:pPr>
      <w:r>
        <w:t xml:space="preserve">AWS — Amazon API Gateway: https://docs.aws.amazon.com/apigateway/latest/developerguide/welcome.html</w:t>
      </w:r>
    </w:p>
    <w:p>
      <w:pPr>
        <w:pStyle w:val="Compact"/>
        <w:numPr>
          <w:ilvl w:val="0"/>
          <w:numId w:val="1099"/>
        </w:numPr>
      </w:pPr>
      <w:r>
        <w:t xml:space="preserve">Google Cloud — Apigee API management: https://cloud.google.com/apigee/docs</w:t>
      </w:r>
    </w:p>
    <w:p>
      <w:pPr>
        <w:pStyle w:val="Compact"/>
        <w:numPr>
          <w:ilvl w:val="0"/>
          <w:numId w:val="1099"/>
        </w:numPr>
      </w:pPr>
      <w:r>
        <w:t xml:space="preserve">AsyncAPI specification: https://www.asyncapi.com/docs/reference/specification/latest</w:t>
      </w:r>
    </w:p>
    <w:p>
      <w:pPr>
        <w:pStyle w:val="Compact"/>
        <w:numPr>
          <w:ilvl w:val="0"/>
          <w:numId w:val="1099"/>
        </w:numPr>
      </w:pPr>
      <w:r>
        <w:t xml:space="preserve">OpenAPI specification: https://spec.openapis.org/oas/latest.html</w:t>
      </w:r>
    </w:p>
    <w:p>
      <w:pPr>
        <w:pStyle w:val="Compact"/>
        <w:numPr>
          <w:ilvl w:val="0"/>
          <w:numId w:val="1099"/>
        </w:numPr>
      </w:pPr>
      <w:r>
        <w:t xml:space="preserve">Pact contract testing: https://docs.pact.io/</w:t>
      </w:r>
    </w:p>
    <w:p>
      <w:pPr>
        <w:pStyle w:val="Compact"/>
        <w:numPr>
          <w:ilvl w:val="0"/>
          <w:numId w:val="1099"/>
        </w:numPr>
      </w:pPr>
      <w:r>
        <w:t xml:space="preserve">Istio documentation: https://istio.io/latest/docs/</w:t>
      </w:r>
    </w:p>
    <w:p>
      <w:pPr>
        <w:pStyle w:val="Compact"/>
        <w:numPr>
          <w:ilvl w:val="0"/>
          <w:numId w:val="1099"/>
        </w:numPr>
      </w:pPr>
      <w:r>
        <w:t xml:space="preserve">Linkerd documentation: https://linkerd.io/2/overview/</w:t>
      </w:r>
    </w:p>
    <w:bookmarkEnd w:id="160"/>
    <w:bookmarkEnd w:id="161"/>
    <w:bookmarkStart w:id="170" w:name="chapter-17-cost-finops-guardrails"/>
    <w:p>
      <w:pPr>
        <w:pStyle w:val="Heading2"/>
      </w:pPr>
      <w:r>
        <w:t xml:space="preserve">Chapter 17 — Cost &amp; FinOps Guardrails</w:t>
      </w:r>
    </w:p>
    <w:bookmarkStart w:id="162" w:name="intent-16"/>
    <w:p>
      <w:pPr>
        <w:pStyle w:val="Heading3"/>
      </w:pPr>
      <w:r>
        <w:t xml:space="preserve">Intent</w:t>
      </w:r>
    </w:p>
    <w:p>
      <w:pPr>
        <w:pStyle w:val="FirstParagraph"/>
      </w:pPr>
      <w:r>
        <w:t xml:space="preserve">Cloud cost is an architectural property, not an after-the-fact billing problem. This chapter governs how the corporation tags resources for cost attribution, sets budgets, alerts on cost anomalies, sizes resources for workload-appropriate scaling, and applies reserved-capacity or savings-plan commitments. The objective is to make every cloud dollar traceable to a product, a team, and an environment; to detect cost surprises early; and to ensure that the engineering organization owns cost outcomes alongside reliability and feature outcomes — the FinOps model.</w:t>
      </w:r>
    </w:p>
    <w:p>
      <w:pPr>
        <w:pStyle w:val="BodyText"/>
      </w:pPr>
      <w:r>
        <w:t xml:space="preserve">The chapter is deliberately prescriptive on tagging because every other FinOps capability depends on consistent tags. Anomaly detection, budget enforcement, showback / chargeback, savings-plan utilization analysis, and cost-per-transaction calculation are all impossible without uniform, present, accurate tags.</w:t>
      </w:r>
    </w:p>
    <w:bookmarkEnd w:id="162"/>
    <w:bookmarkStart w:id="163" w:name="scope-17"/>
    <w:p>
      <w:pPr>
        <w:pStyle w:val="Heading3"/>
      </w:pPr>
      <w:r>
        <w:t xml:space="preserve">Scope</w:t>
      </w:r>
    </w:p>
    <w:p>
      <w:pPr>
        <w:pStyle w:val="Compact"/>
        <w:numPr>
          <w:ilvl w:val="0"/>
          <w:numId w:val="1100"/>
        </w:numPr>
      </w:pPr>
      <w:r>
        <w:t xml:space="preserve">Every cloud resource the corporation creates on Azure, AWS, or GCP, regardless of cost size.</w:t>
      </w:r>
    </w:p>
    <w:p>
      <w:pPr>
        <w:pStyle w:val="Compact"/>
        <w:numPr>
          <w:ilvl w:val="0"/>
          <w:numId w:val="1100"/>
        </w:numPr>
      </w:pPr>
      <w:r>
        <w:t xml:space="preserve">Every billing account, payer account, and management group / organization the corporation operates.</w:t>
      </w:r>
    </w:p>
    <w:p>
      <w:pPr>
        <w:pStyle w:val="Compact"/>
        <w:numPr>
          <w:ilvl w:val="0"/>
          <w:numId w:val="1100"/>
        </w:numPr>
      </w:pPr>
      <w:r>
        <w:t xml:space="preserve">Every reservation, savings plan, committed-use discount, and Azure Hybrid Benefit entitlement.</w:t>
      </w:r>
    </w:p>
    <w:p>
      <w:pPr>
        <w:pStyle w:val="Compact"/>
        <w:numPr>
          <w:ilvl w:val="0"/>
          <w:numId w:val="1100"/>
        </w:numPr>
      </w:pPr>
      <w:r>
        <w:t xml:space="preserve">The FinOps platform itself (the tools that ingest billing data and present it to teams).</w:t>
      </w:r>
    </w:p>
    <w:bookmarkEnd w:id="163"/>
    <w:bookmarkStart w:id="164" w:name="mandatory-controls-16"/>
    <w:p>
      <w:pPr>
        <w:pStyle w:val="Heading3"/>
      </w:pPr>
      <w:r>
        <w:t xml:space="preserve">Mandatory Controls</w:t>
      </w:r>
    </w:p>
    <w:p>
      <w:pPr>
        <w:pStyle w:val="Compact"/>
        <w:numPr>
          <w:ilvl w:val="0"/>
          <w:numId w:val="1101"/>
        </w:numPr>
      </w:pPr>
      <w:r>
        <w:t xml:space="preserve">Every resource SHALL carry the corporate tag set at minimum:</w:t>
      </w:r>
      <w:r>
        <w:t xml:space="preserve"> </w:t>
      </w:r>
      <w:r>
        <w:rPr>
          <w:rStyle w:val="VerbatimChar"/>
        </w:rPr>
        <w:t xml:space="preserve">cost-center</w:t>
      </w:r>
      <w:r>
        <w:t xml:space="preserve">,</w:t>
      </w:r>
      <w:r>
        <w:t xml:space="preserve"> </w:t>
      </w:r>
      <w:r>
        <w:rPr>
          <w:rStyle w:val="VerbatimChar"/>
        </w:rPr>
        <w:t xml:space="preserve">environment</w:t>
      </w:r>
      <w:r>
        <w:t xml:space="preserve">,</w:t>
      </w:r>
      <w:r>
        <w:t xml:space="preserve"> </w:t>
      </w:r>
      <w:r>
        <w:rPr>
          <w:rStyle w:val="VerbatimChar"/>
        </w:rPr>
        <w:t xml:space="preserve">application</w:t>
      </w:r>
      <w:r>
        <w:t xml:space="preserve">,</w:t>
      </w:r>
      <w:r>
        <w:t xml:space="preserve"> </w:t>
      </w:r>
      <w:r>
        <w:rPr>
          <w:rStyle w:val="VerbatimChar"/>
        </w:rPr>
        <w:t xml:space="preserve">owner</w:t>
      </w:r>
      <w:r>
        <w:t xml:space="preserve">,</w:t>
      </w:r>
      <w:r>
        <w:t xml:space="preserve"> </w:t>
      </w:r>
      <w:r>
        <w:rPr>
          <w:rStyle w:val="VerbatimChar"/>
        </w:rPr>
        <w:t xml:space="preserve">data-classification</w:t>
      </w:r>
      <w:r>
        <w:t xml:space="preserve">, and</w:t>
      </w:r>
      <w:r>
        <w:t xml:space="preserve"> </w:t>
      </w:r>
      <w:r>
        <w:rPr>
          <w:rStyle w:val="VerbatimChar"/>
        </w:rPr>
        <w:t xml:space="preserve">lifecycle-end</w:t>
      </w:r>
      <w:r>
        <w:t xml:space="preserve">. Tag values SHALL match the corporate taxonomy.</w:t>
      </w:r>
    </w:p>
    <w:p>
      <w:pPr>
        <w:pStyle w:val="Compact"/>
        <w:numPr>
          <w:ilvl w:val="0"/>
          <w:numId w:val="1101"/>
        </w:numPr>
      </w:pPr>
      <w:r>
        <w:t xml:space="preserve">Untagged or incorrectly tagged resources SHALL be flagged for review weekly; resources untagged for more than thirty (30) days SHALL be subject to automated remediation (notify owner) and SHALL block creation of new resources in the same scope after sixty (60) days.</w:t>
      </w:r>
    </w:p>
    <w:p>
      <w:pPr>
        <w:pStyle w:val="Compact"/>
        <w:numPr>
          <w:ilvl w:val="0"/>
          <w:numId w:val="1101"/>
        </w:numPr>
      </w:pPr>
      <w:r>
        <w:t xml:space="preserve">Tag enforcement SHALL be implemented at the policy-as-code layer (Chapter 15): Azure Policy</w:t>
      </w:r>
      <w:r>
        <w:t xml:space="preserve"> </w:t>
      </w:r>
      <w:r>
        <w:rPr>
          <w:rStyle w:val="VerbatimChar"/>
        </w:rPr>
        <w:t xml:space="preserve">require tag</w:t>
      </w:r>
      <w:r>
        <w:t xml:space="preserve">, AWS Config + AWS Organizations tag policies, GCP Organization Policy tag constraint.</w:t>
      </w:r>
    </w:p>
    <w:p>
      <w:pPr>
        <w:pStyle w:val="Compact"/>
        <w:numPr>
          <w:ilvl w:val="0"/>
          <w:numId w:val="1101"/>
        </w:numPr>
      </w:pPr>
      <w:r>
        <w:t xml:space="preserve">Every subscription, account, and project SHALL have a monthly budget configured; the budget SHALL alert at 50 %, 80 %, and 100 % of forecast burn.</w:t>
      </w:r>
    </w:p>
    <w:p>
      <w:pPr>
        <w:pStyle w:val="Compact"/>
        <w:numPr>
          <w:ilvl w:val="0"/>
          <w:numId w:val="1101"/>
        </w:numPr>
      </w:pPr>
      <w:r>
        <w:t xml:space="preserve">Cost anomaly detection SHALL be enabled (Microsoft Cost Management anomaly detection, AWS Cost Anomaly Detection, GCP Recommender cost insights) and SHALL produce notifications to the owning team within twenty-four (24) hours of an anomaly.</w:t>
      </w:r>
    </w:p>
    <w:p>
      <w:pPr>
        <w:pStyle w:val="Compact"/>
        <w:numPr>
          <w:ilvl w:val="0"/>
          <w:numId w:val="1101"/>
        </w:numPr>
      </w:pPr>
      <w:r>
        <w:t xml:space="preserve">Auto-scaling lower bounds for non-production environments SHALL be set such that idle environments scale to zero or to a minimal</w:t>
      </w:r>
      <w:r>
        <w:t xml:space="preserve"> </w:t>
      </w:r>
      <w:r>
        <w:t xml:space="preserve">“ready”</w:t>
      </w:r>
      <w:r>
        <w:t xml:space="preserve"> </w:t>
      </w:r>
      <w:r>
        <w:t xml:space="preserve">footprint outside business hours.</w:t>
      </w:r>
    </w:p>
    <w:p>
      <w:pPr>
        <w:pStyle w:val="Compact"/>
        <w:numPr>
          <w:ilvl w:val="0"/>
          <w:numId w:val="1101"/>
        </w:numPr>
      </w:pPr>
      <w:r>
        <w:t xml:space="preserve">Production auto-scaling lower bounds SHALL be sized for the workload’s actual resting demand plus a safety margin; over-provisioned lower bounds SHALL be flagged in the quarterly right-sizing report.</w:t>
      </w:r>
    </w:p>
    <w:p>
      <w:pPr>
        <w:pStyle w:val="Compact"/>
        <w:numPr>
          <w:ilvl w:val="0"/>
          <w:numId w:val="1101"/>
        </w:numPr>
      </w:pPr>
      <w:r>
        <w:t xml:space="preserve">Non-production environments MUST NOT use the same SKU sizes as production; the corporate convention is a one- or two-step smaller SKU for non-production, with explicit documentation when a parity-with-production sizing is required (e.g., performance testing).</w:t>
      </w:r>
    </w:p>
    <w:p>
      <w:pPr>
        <w:pStyle w:val="Compact"/>
        <w:numPr>
          <w:ilvl w:val="0"/>
          <w:numId w:val="1101"/>
        </w:numPr>
      </w:pPr>
      <w:r>
        <w:t xml:space="preserve">Reserved instances, savings plans, and committed-use discounts SHALL be reviewed quarterly by the central FinOps team and SHALL match the corporation’s twelve-month forward demand projection.</w:t>
      </w:r>
    </w:p>
    <w:p>
      <w:pPr>
        <w:pStyle w:val="Compact"/>
        <w:numPr>
          <w:ilvl w:val="0"/>
          <w:numId w:val="1101"/>
        </w:numPr>
      </w:pPr>
      <w:r>
        <w:t xml:space="preserve">Each application SHALL have a designated cost owner who receives the monthly cost-attribution report for that application’s resources and who is accountable for cost SLAs (cost per transaction, cost per user, cost per dataset processed).</w:t>
      </w:r>
    </w:p>
    <w:p>
      <w:pPr>
        <w:pStyle w:val="Compact"/>
        <w:numPr>
          <w:ilvl w:val="0"/>
          <w:numId w:val="1101"/>
        </w:numPr>
      </w:pPr>
      <w:r>
        <w:t xml:space="preserve">Egress data transfer costs SHALL be monitored and SHALL be a reviewable line item; chronic high egress to specific destinations SHALL trigger an architectural review.</w:t>
      </w:r>
    </w:p>
    <w:p>
      <w:pPr>
        <w:pStyle w:val="Compact"/>
        <w:numPr>
          <w:ilvl w:val="0"/>
          <w:numId w:val="1101"/>
        </w:numPr>
      </w:pPr>
      <w:r>
        <w:t xml:space="preserve">Idle resources (unattached disks, idle load balancers, idle public IPs, unused NAT gateways, snapshots beyond retention) SHALL be identified weekly and SHALL be deleted or formally exempted within thirty (30) days.</w:t>
      </w:r>
    </w:p>
    <w:p>
      <w:pPr>
        <w:pStyle w:val="Compact"/>
        <w:numPr>
          <w:ilvl w:val="0"/>
          <w:numId w:val="1101"/>
        </w:numPr>
      </w:pPr>
      <w:r>
        <w:t xml:space="preserve">Spot / preemptible instance use SHALL be encouraged for fault-tolerant workloads (batch jobs, dev/test, stateless web workloads with auto-scaling). The mix of spot vs on-demand SHALL be reviewed quarterly.</w:t>
      </w:r>
    </w:p>
    <w:p>
      <w:pPr>
        <w:pStyle w:val="Compact"/>
        <w:numPr>
          <w:ilvl w:val="0"/>
          <w:numId w:val="1101"/>
        </w:numPr>
      </w:pPr>
      <w:r>
        <w:t xml:space="preserve">Storage tiering (hot / cool / cold / archive) SHALL be configured for every storage account with substantial data volume; tier-down policies SHALL be expressed as lifecycle rules (Chapter 8).</w:t>
      </w:r>
    </w:p>
    <w:p>
      <w:pPr>
        <w:pStyle w:val="Compact"/>
        <w:numPr>
          <w:ilvl w:val="0"/>
          <w:numId w:val="1101"/>
        </w:numPr>
      </w:pPr>
      <w:r>
        <w:t xml:space="preserve">FinOps reporting SHALL distinguish</w:t>
      </w:r>
      <w:r>
        <w:t xml:space="preserve"> </w:t>
      </w:r>
      <w:r>
        <w:t xml:space="preserve">“fixed”</w:t>
      </w:r>
      <w:r>
        <w:t xml:space="preserve"> </w:t>
      </w:r>
      <w:r>
        <w:t xml:space="preserve">costs (commitments, reserved capacity, baseline infrastructure) from</w:t>
      </w:r>
      <w:r>
        <w:t xml:space="preserve"> </w:t>
      </w:r>
      <w:r>
        <w:t xml:space="preserve">“variable”</w:t>
      </w:r>
      <w:r>
        <w:t xml:space="preserve"> </w:t>
      </w:r>
      <w:r>
        <w:t xml:space="preserve">costs (per-request, per-transaction) so that elasticity is visible.</w:t>
      </w:r>
    </w:p>
    <w:bookmarkEnd w:id="164"/>
    <w:bookmarkStart w:id="165" w:name="patterns-recommended-16"/>
    <w:p>
      <w:pPr>
        <w:pStyle w:val="Heading3"/>
      </w:pPr>
      <w:r>
        <w:t xml:space="preserve">Patterns (Recommended)</w:t>
      </w:r>
    </w:p>
    <w:p>
      <w:pPr>
        <w:pStyle w:val="Compact"/>
        <w:numPr>
          <w:ilvl w:val="0"/>
          <w:numId w:val="1102"/>
        </w:numPr>
      </w:pPr>
      <w:r>
        <w:rPr>
          <w:b/>
          <w:bCs/>
        </w:rPr>
        <w:t xml:space="preserve">Tag at creation, not after.</w:t>
      </w:r>
      <w:r>
        <w:t xml:space="preserve"> </w:t>
      </w:r>
      <w:r>
        <w:t xml:space="preserve">Per the AWS Well-Architected Cost Optimization pillar, tags SHOULD be applied by IaC at the time of resource creation, never as a follow-up step. Post-hoc tagging is unreliable and inevitably leaves untagged resources.</w:t>
      </w:r>
    </w:p>
    <w:p>
      <w:pPr>
        <w:pStyle w:val="Compact"/>
        <w:numPr>
          <w:ilvl w:val="0"/>
          <w:numId w:val="1102"/>
        </w:numPr>
      </w:pPr>
      <w:r>
        <w:rPr>
          <w:b/>
          <w:bCs/>
        </w:rPr>
        <w:t xml:space="preserve">Showback before chargeback.</w:t>
      </w:r>
      <w:r>
        <w:t xml:space="preserve"> </w:t>
      </w:r>
      <w:r>
        <w:t xml:space="preserve">Per the FinOps Foundation maturity model, organizations new to cost accountability SHOULD start with showback (transparent cost reporting per team) and graduate to chargeback (cross-charging actual costs). Showback builds the data discipline that chargeback requires.</w:t>
      </w:r>
    </w:p>
    <w:p>
      <w:pPr>
        <w:pStyle w:val="Compact"/>
        <w:numPr>
          <w:ilvl w:val="0"/>
          <w:numId w:val="1102"/>
        </w:numPr>
      </w:pPr>
      <w:r>
        <w:rPr>
          <w:b/>
          <w:bCs/>
        </w:rPr>
        <w:t xml:space="preserve">Unit economics as an SLI.</w:t>
      </w:r>
      <w:r>
        <w:t xml:space="preserve"> </w:t>
      </w:r>
      <w:r>
        <w:t xml:space="preserve">Per the Google SRE Workbook on SLOs, cost per transaction (or per user, or per request) SHOULD be tracked as a service-level indicator and SHOULD itself have an SLO. This converts cost from a finance topic into an engineering topic.</w:t>
      </w:r>
    </w:p>
    <w:p>
      <w:pPr>
        <w:pStyle w:val="Compact"/>
        <w:numPr>
          <w:ilvl w:val="0"/>
          <w:numId w:val="1102"/>
        </w:numPr>
      </w:pPr>
      <w:r>
        <w:rPr>
          <w:b/>
          <w:bCs/>
        </w:rPr>
        <w:t xml:space="preserve">Quarterly right-sizing as a standing operations rite.</w:t>
      </w:r>
      <w:r>
        <w:t xml:space="preserve"> </w:t>
      </w:r>
      <w:r>
        <w:t xml:space="preserve">Per the Microsoft Learn cost-optimization guidance, right-sizing SHOULD be a recurring, calendared activity — not a one-time clean-up. Workloads evolve; the right SKU last quarter is rarely the right SKU this quarter.</w:t>
      </w:r>
    </w:p>
    <w:p>
      <w:pPr>
        <w:pStyle w:val="Compact"/>
        <w:numPr>
          <w:ilvl w:val="0"/>
          <w:numId w:val="1102"/>
        </w:numPr>
      </w:pPr>
      <w:r>
        <w:rPr>
          <w:b/>
          <w:bCs/>
        </w:rPr>
        <w:t xml:space="preserve">Savings-plan / RI commitment governed by central team.</w:t>
      </w:r>
      <w:r>
        <w:t xml:space="preserve"> </w:t>
      </w:r>
      <w:r>
        <w:t xml:space="preserve">Long-term commitments SHOULD be made by a central team with portfolio view, not by individual application teams. This avoids over-commitment in one workload and under-commitment in another.</w:t>
      </w:r>
    </w:p>
    <w:bookmarkEnd w:id="165"/>
    <w:bookmarkStart w:id="166" w:name="anti-patterns-prohibited-16"/>
    <w:p>
      <w:pPr>
        <w:pStyle w:val="Heading3"/>
      </w:pPr>
      <w:r>
        <w:t xml:space="preserve">Anti-Patterns (Prohibited)</w:t>
      </w:r>
    </w:p>
    <w:p>
      <w:pPr>
        <w:pStyle w:val="Compact"/>
        <w:numPr>
          <w:ilvl w:val="0"/>
          <w:numId w:val="1103"/>
        </w:numPr>
      </w:pPr>
      <w:r>
        <w:rPr>
          <w:b/>
          <w:bCs/>
        </w:rPr>
        <w:t xml:space="preserve">MUST NOT</w:t>
      </w:r>
      <w:r>
        <w:t xml:space="preserve"> </w:t>
      </w:r>
      <w:r>
        <w:t xml:space="preserve">disable cost-anomaly notifications because they were</w:t>
      </w:r>
      <w:r>
        <w:t xml:space="preserve"> </w:t>
      </w:r>
      <w:r>
        <w:t xml:space="preserve">“too noisy”</w:t>
      </w:r>
      <w:r>
        <w:t xml:space="preserve">. Noisy anomaly detection SHALL be tuned, not silenced.</w:t>
      </w:r>
    </w:p>
    <w:p>
      <w:pPr>
        <w:pStyle w:val="Compact"/>
        <w:numPr>
          <w:ilvl w:val="0"/>
          <w:numId w:val="1103"/>
        </w:numPr>
      </w:pPr>
      <w:r>
        <w:rPr>
          <w:b/>
          <w:bCs/>
        </w:rPr>
        <w:t xml:space="preserve">SHALL NOT</w:t>
      </w:r>
      <w:r>
        <w:t xml:space="preserve"> </w:t>
      </w:r>
      <w:r>
        <w:t xml:space="preserve">run non-production environments at production scale</w:t>
      </w:r>
      <w:r>
        <w:t xml:space="preserve"> </w:t>
      </w:r>
      <w:r>
        <w:t xml:space="preserve">“just in case”</w:t>
      </w:r>
      <w:r>
        <w:t xml:space="preserve">. Non-production sizing SHALL be one or two steps smaller, with explicit documentation for any exception.</w:t>
      </w:r>
    </w:p>
    <w:p>
      <w:pPr>
        <w:pStyle w:val="Compact"/>
        <w:numPr>
          <w:ilvl w:val="0"/>
          <w:numId w:val="1103"/>
        </w:numPr>
      </w:pPr>
      <w:r>
        <w:rPr>
          <w:b/>
          <w:bCs/>
        </w:rPr>
        <w:t xml:space="preserve">MUST NOT</w:t>
      </w:r>
      <w:r>
        <w:t xml:space="preserve"> </w:t>
      </w:r>
      <w:r>
        <w:t xml:space="preserve">create resources without the corporate tag set; tag-required policies SHALL block creation.</w:t>
      </w:r>
    </w:p>
    <w:p>
      <w:pPr>
        <w:pStyle w:val="Compact"/>
        <w:numPr>
          <w:ilvl w:val="0"/>
          <w:numId w:val="1103"/>
        </w:numPr>
      </w:pPr>
      <w:r>
        <w:rPr>
          <w:b/>
          <w:bCs/>
        </w:rPr>
        <w:t xml:space="preserve">SHALL NOT</w:t>
      </w:r>
      <w:r>
        <w:t xml:space="preserve"> </w:t>
      </w:r>
      <w:r>
        <w:t xml:space="preserve">rely on engineer goodwill to delete idle resources; deletion SHALL be enforced by an automated process with notification.</w:t>
      </w:r>
    </w:p>
    <w:p>
      <w:pPr>
        <w:pStyle w:val="Compact"/>
        <w:numPr>
          <w:ilvl w:val="0"/>
          <w:numId w:val="1103"/>
        </w:numPr>
      </w:pPr>
      <w:r>
        <w:rPr>
          <w:b/>
          <w:bCs/>
        </w:rPr>
        <w:t xml:space="preserve">MUST NOT</w:t>
      </w:r>
      <w:r>
        <w:t xml:space="preserve"> </w:t>
      </w:r>
      <w:r>
        <w:t xml:space="preserve">purchase savings-plan or reserved-instance commitments without a documented twelve-month demand projection.</w:t>
      </w:r>
    </w:p>
    <w:p>
      <w:pPr>
        <w:pStyle w:val="Compact"/>
        <w:numPr>
          <w:ilvl w:val="0"/>
          <w:numId w:val="1103"/>
        </w:numPr>
      </w:pPr>
      <w:r>
        <w:rPr>
          <w:b/>
          <w:bCs/>
        </w:rPr>
        <w:t xml:space="preserve">SHALL NOT</w:t>
      </w:r>
      <w:r>
        <w:t xml:space="preserve"> </w:t>
      </w:r>
      <w:r>
        <w:t xml:space="preserve">treat egress data-transfer as a free byproduct of architecture. Egress costs SHOULD shape architecture decisions (locate compute near data, use PrivateLink where appropriate, prefer multi-AZ over multi-region where the latency allows).</w:t>
      </w:r>
    </w:p>
    <w:bookmarkEnd w:id="166"/>
    <w:bookmarkStart w:id="167" w:name="evidence-audit-16"/>
    <w:p>
      <w:pPr>
        <w:pStyle w:val="Heading3"/>
      </w:pPr>
      <w:r>
        <w:t xml:space="preserve">Evidence &amp; Audit</w:t>
      </w:r>
    </w:p>
    <w:p>
      <w:pPr>
        <w:pStyle w:val="Compact"/>
        <w:numPr>
          <w:ilvl w:val="0"/>
          <w:numId w:val="1104"/>
        </w:numPr>
      </w:pPr>
      <w:r>
        <w:t xml:space="preserve">Daily tagging-compliance report; coverage SHALL be a corporate KPI.</w:t>
      </w:r>
    </w:p>
    <w:p>
      <w:pPr>
        <w:pStyle w:val="Compact"/>
        <w:numPr>
          <w:ilvl w:val="0"/>
          <w:numId w:val="1104"/>
        </w:numPr>
      </w:pPr>
      <w:r>
        <w:t xml:space="preserve">Monthly cost-attribution report to every application’s cost owner.</w:t>
      </w:r>
    </w:p>
    <w:p>
      <w:pPr>
        <w:pStyle w:val="Compact"/>
        <w:numPr>
          <w:ilvl w:val="0"/>
          <w:numId w:val="1104"/>
        </w:numPr>
      </w:pPr>
      <w:r>
        <w:t xml:space="preserve">Quarterly right-sizing review per workload with documented decisions.</w:t>
      </w:r>
    </w:p>
    <w:p>
      <w:pPr>
        <w:pStyle w:val="Compact"/>
        <w:numPr>
          <w:ilvl w:val="0"/>
          <w:numId w:val="1104"/>
        </w:numPr>
      </w:pPr>
      <w:r>
        <w:t xml:space="preserve">Quarterly commitment-utilization report (RI / savings-plan); under-utilization SHALL drive sell-back or repositioning.</w:t>
      </w:r>
    </w:p>
    <w:p>
      <w:pPr>
        <w:pStyle w:val="Compact"/>
        <w:numPr>
          <w:ilvl w:val="0"/>
          <w:numId w:val="1104"/>
        </w:numPr>
      </w:pPr>
      <w:r>
        <w:t xml:space="preserve">Continuous idle-resource scan with weekly summary and thirty-day remediation SLA.</w:t>
      </w:r>
    </w:p>
    <w:p>
      <w:pPr>
        <w:pStyle w:val="Compact"/>
        <w:numPr>
          <w:ilvl w:val="0"/>
          <w:numId w:val="1104"/>
        </w:numPr>
      </w:pPr>
      <w:r>
        <w:t xml:space="preserve">Annual FinOps maturity assessment against the FinOps Foundation framework.</w:t>
      </w:r>
    </w:p>
    <w:bookmarkEnd w:id="167"/>
    <w:bookmarkStart w:id="168" w:name="exceptions-16"/>
    <w:p>
      <w:pPr>
        <w:pStyle w:val="Heading3"/>
      </w:pPr>
      <w:r>
        <w:t xml:space="preserve">Exceptions</w:t>
      </w:r>
    </w:p>
    <w:p>
      <w:pPr>
        <w:pStyle w:val="FirstParagraph"/>
      </w:pPr>
      <w:r>
        <w:t xml:space="preserve">Workloads that genuinely require parity sizing in non-production for capacity validation SHALL document the rationale and SHALL ensure the environment is torn down outside the validation window.</w:t>
      </w:r>
      <w:r>
        <w:t xml:space="preserve"> </w:t>
      </w:r>
      <w:r>
        <w:rPr>
          <w:b/>
          <w:bCs/>
        </w:rPr>
        <w:t xml:space="preserve">Exceptions SHALL be time-boxed to 90 days and require ARB approval.</w:t>
      </w:r>
    </w:p>
    <w:bookmarkEnd w:id="168"/>
    <w:bookmarkStart w:id="169" w:name="references-16"/>
    <w:p>
      <w:pPr>
        <w:pStyle w:val="Heading3"/>
      </w:pPr>
      <w:r>
        <w:t xml:space="preserve">References</w:t>
      </w:r>
    </w:p>
    <w:p>
      <w:pPr>
        <w:pStyle w:val="Compact"/>
        <w:numPr>
          <w:ilvl w:val="0"/>
          <w:numId w:val="1105"/>
        </w:numPr>
      </w:pPr>
      <w:r>
        <w:t xml:space="preserve">Microsoft Learn — Azure Cost Management overview: https://learn.microsoft.com/en-us/azure/cost-management-billing/cost-management-billing-overview</w:t>
      </w:r>
    </w:p>
    <w:p>
      <w:pPr>
        <w:pStyle w:val="Compact"/>
        <w:numPr>
          <w:ilvl w:val="0"/>
          <w:numId w:val="1105"/>
        </w:numPr>
      </w:pPr>
      <w:r>
        <w:t xml:space="preserve">Microsoft Learn — Well-Architected Framework Cost Optimization pillar: https://learn.microsoft.com/en-us/azure/well-architected/cost-optimization/</w:t>
      </w:r>
    </w:p>
    <w:p>
      <w:pPr>
        <w:pStyle w:val="Compact"/>
        <w:numPr>
          <w:ilvl w:val="0"/>
          <w:numId w:val="1105"/>
        </w:numPr>
      </w:pPr>
      <w:r>
        <w:t xml:space="preserve">AWS — AWS Cost Management overview: https://docs.aws.amazon.com/awsaccountbilling/latest/aboutv2/billing-what-is.html</w:t>
      </w:r>
    </w:p>
    <w:p>
      <w:pPr>
        <w:pStyle w:val="Compact"/>
        <w:numPr>
          <w:ilvl w:val="0"/>
          <w:numId w:val="1105"/>
        </w:numPr>
      </w:pPr>
      <w:r>
        <w:t xml:space="preserve">AWS Well-Architected — Cost Optimization pillar: https://docs.aws.amazon.com/wellarchitected/latest/cost-optimization-pillar/welcome.html</w:t>
      </w:r>
    </w:p>
    <w:p>
      <w:pPr>
        <w:pStyle w:val="Compact"/>
        <w:numPr>
          <w:ilvl w:val="0"/>
          <w:numId w:val="1105"/>
        </w:numPr>
      </w:pPr>
      <w:r>
        <w:t xml:space="preserve">AWS — Cost Anomaly Detection: https://docs.aws.amazon.com/awsaccountbilling/latest/aboutv2/manage-ad.html</w:t>
      </w:r>
    </w:p>
    <w:p>
      <w:pPr>
        <w:pStyle w:val="Compact"/>
        <w:numPr>
          <w:ilvl w:val="0"/>
          <w:numId w:val="1105"/>
        </w:numPr>
      </w:pPr>
      <w:r>
        <w:t xml:space="preserve">Google Cloud — Billing best practices: https://cloud.google.com/billing/docs/concepts</w:t>
      </w:r>
    </w:p>
    <w:p>
      <w:pPr>
        <w:pStyle w:val="Compact"/>
        <w:numPr>
          <w:ilvl w:val="0"/>
          <w:numId w:val="1105"/>
        </w:numPr>
      </w:pPr>
      <w:r>
        <w:t xml:space="preserve">Google Cloud Architecture Framework — Cost Optimization: https://cloud.google.com/architecture/framework/cost-optimization</w:t>
      </w:r>
    </w:p>
    <w:p>
      <w:pPr>
        <w:pStyle w:val="Compact"/>
        <w:numPr>
          <w:ilvl w:val="0"/>
          <w:numId w:val="1105"/>
        </w:numPr>
      </w:pPr>
      <w:r>
        <w:t xml:space="preserve">FinOps Foundation — Framework overview: https://www.finops.org/framework/</w:t>
      </w:r>
    </w:p>
    <w:p>
      <w:pPr>
        <w:pStyle w:val="Compact"/>
        <w:numPr>
          <w:ilvl w:val="0"/>
          <w:numId w:val="1105"/>
        </w:numPr>
      </w:pPr>
      <w:r>
        <w:t xml:space="preserve">FinOps Foundation — Maturity model: https://www.finops.org/framework/maturity-model/</w:t>
      </w:r>
    </w:p>
    <w:bookmarkEnd w:id="169"/>
    <w:bookmarkEnd w:id="170"/>
    <w:bookmarkStart w:id="179" w:name="X34602c44a9b51ecb4ba39b4c597ce0d66774604"/>
    <w:p>
      <w:pPr>
        <w:pStyle w:val="Heading2"/>
      </w:pPr>
      <w:r>
        <w:t xml:space="preserve">Chapter 18 — Privacy, Data Residency &amp; Compliance</w:t>
      </w:r>
    </w:p>
    <w:bookmarkStart w:id="171" w:name="intent-17"/>
    <w:p>
      <w:pPr>
        <w:pStyle w:val="Heading3"/>
      </w:pPr>
      <w:r>
        <w:t xml:space="preserve">Intent</w:t>
      </w:r>
    </w:p>
    <w:p>
      <w:pPr>
        <w:pStyle w:val="FirstParagraph"/>
      </w:pPr>
      <w:r>
        <w:t xml:space="preserve">The corporation operates in jurisdictions whose privacy and data-protection regimes — Canadian PIPEDA and Québec’s Law 25, European Union GDPR, California’s CCPA / CPRA, and various sectoral regulations — impose specific obligations on how personal data is collected, stored, processed, transferred, retained, and deleted. This chapter governs how cloud architecture supports compliance with those obligations. The objective is to ensure that every system processing personal data classifies its data correctly, places it in a region permitted by residency rules, encrypts it appropriately (Chapter 4), retains it only as long as necessary, supports data-subject rights, and produces audit evidence sufficient to satisfy regulators.</w:t>
      </w:r>
    </w:p>
    <w:p>
      <w:pPr>
        <w:pStyle w:val="BodyText"/>
      </w:pPr>
      <w:r>
        <w:t xml:space="preserve">Privacy is a cross-cutting concern that touches identity (Chapter 1), data protection (Chapter 4), logging (Chapter 9), and incident response (Chapter 19). This chapter codifies the privacy-specific overlays that those chapters reference.</w:t>
      </w:r>
    </w:p>
    <w:bookmarkEnd w:id="171"/>
    <w:bookmarkStart w:id="172" w:name="scope-18"/>
    <w:p>
      <w:pPr>
        <w:pStyle w:val="Heading3"/>
      </w:pPr>
      <w:r>
        <w:t xml:space="preserve">Scope</w:t>
      </w:r>
    </w:p>
    <w:p>
      <w:pPr>
        <w:pStyle w:val="Compact"/>
        <w:numPr>
          <w:ilvl w:val="0"/>
          <w:numId w:val="1106"/>
        </w:numPr>
      </w:pPr>
      <w:r>
        <w:t xml:space="preserve">Every workload processing personal data, sensitive personal data, or regulated data of any kind.</w:t>
      </w:r>
    </w:p>
    <w:p>
      <w:pPr>
        <w:pStyle w:val="Compact"/>
        <w:numPr>
          <w:ilvl w:val="0"/>
          <w:numId w:val="1106"/>
        </w:numPr>
      </w:pPr>
      <w:r>
        <w:t xml:space="preserve">Every dataset stored in or moving through corporate cloud environments.</w:t>
      </w:r>
    </w:p>
    <w:p>
      <w:pPr>
        <w:pStyle w:val="Compact"/>
        <w:numPr>
          <w:ilvl w:val="0"/>
          <w:numId w:val="1106"/>
        </w:numPr>
      </w:pPr>
      <w:r>
        <w:t xml:space="preserve">Every cross-border data transfer.</w:t>
      </w:r>
    </w:p>
    <w:p>
      <w:pPr>
        <w:pStyle w:val="Compact"/>
        <w:numPr>
          <w:ilvl w:val="0"/>
          <w:numId w:val="1106"/>
        </w:numPr>
      </w:pPr>
      <w:r>
        <w:t xml:space="preserve">Every data-subject-rights process: access, rectification, deletion, portability, restriction, objection.</w:t>
      </w:r>
    </w:p>
    <w:p>
      <w:pPr>
        <w:pStyle w:val="Compact"/>
        <w:numPr>
          <w:ilvl w:val="0"/>
          <w:numId w:val="1106"/>
        </w:numPr>
      </w:pPr>
      <w:r>
        <w:t xml:space="preserve">Every contractual privacy obligation owed to customers, partners, or vendors.</w:t>
      </w:r>
    </w:p>
    <w:bookmarkEnd w:id="172"/>
    <w:bookmarkStart w:id="173" w:name="mandatory-controls-17"/>
    <w:p>
      <w:pPr>
        <w:pStyle w:val="Heading3"/>
      </w:pPr>
      <w:r>
        <w:t xml:space="preserve">Mandatory Controls</w:t>
      </w:r>
    </w:p>
    <w:p>
      <w:pPr>
        <w:pStyle w:val="Compact"/>
        <w:numPr>
          <w:ilvl w:val="0"/>
          <w:numId w:val="1107"/>
        </w:numPr>
      </w:pPr>
      <w:r>
        <w:t xml:space="preserve">Every dataset SHALL be classified at one of the corporate classification levels: Public, Internal, Confidential, or Restricted. The classification SHALL be recorded as a tag on every resource holding the dataset.</w:t>
      </w:r>
    </w:p>
    <w:p>
      <w:pPr>
        <w:pStyle w:val="Compact"/>
        <w:numPr>
          <w:ilvl w:val="0"/>
          <w:numId w:val="1107"/>
        </w:numPr>
      </w:pPr>
      <w:r>
        <w:t xml:space="preserve">Personal data SHALL additionally carry a classification of the data-subject category (customer, employee, prospect, partner-personnel) and the jurisdiction of the data subject.</w:t>
      </w:r>
    </w:p>
    <w:p>
      <w:pPr>
        <w:pStyle w:val="Compact"/>
        <w:numPr>
          <w:ilvl w:val="0"/>
          <w:numId w:val="1107"/>
        </w:numPr>
      </w:pPr>
      <w:r>
        <w:t xml:space="preserve">Data residency boundaries SHALL be enforced at the cloud-region level. Canadian-subject personal data SHALL reside in Canadian regions (Azure Canada Central / East, AWS ca-central-1 / ca-west-1, GCP northamerica-northeast1 / -northeast2) unless an explicit cross-border transfer mechanism is in place.</w:t>
      </w:r>
    </w:p>
    <w:p>
      <w:pPr>
        <w:pStyle w:val="Compact"/>
        <w:numPr>
          <w:ilvl w:val="0"/>
          <w:numId w:val="1107"/>
        </w:numPr>
      </w:pPr>
      <w:r>
        <w:t xml:space="preserve">Cross-border transfer of personal data SHALL require a Data Processing Agreement (DPA) with the recipient and, where applicable, Standard Contractual Clauses or an Adequacy Decision; the transfer SHALL be recorded in the corporate transfer register.</w:t>
      </w:r>
    </w:p>
    <w:p>
      <w:pPr>
        <w:pStyle w:val="Compact"/>
        <w:numPr>
          <w:ilvl w:val="0"/>
          <w:numId w:val="1107"/>
        </w:numPr>
      </w:pPr>
      <w:r>
        <w:t xml:space="preserve">Every system processing personal data SHALL support data-subject rights requests within the regulatory timeline (thirty (30) days for PIPEDA / Law 25, thirty (30) days extendable for GDPR, forty-five (45) days for CCPA); the technical means for fulfilling each right SHALL be documented in the system’s privacy design.</w:t>
      </w:r>
    </w:p>
    <w:p>
      <w:pPr>
        <w:pStyle w:val="Compact"/>
        <w:numPr>
          <w:ilvl w:val="0"/>
          <w:numId w:val="1107"/>
        </w:numPr>
      </w:pPr>
      <w:r>
        <w:t xml:space="preserve">Data-retention periods SHALL be specified per dataset and SHALL be enforced through automated deletion or archival processes; data retained beyond its specified period is a non-compliance event.</w:t>
      </w:r>
    </w:p>
    <w:p>
      <w:pPr>
        <w:pStyle w:val="Compact"/>
        <w:numPr>
          <w:ilvl w:val="0"/>
          <w:numId w:val="1107"/>
        </w:numPr>
      </w:pPr>
      <w:r>
        <w:t xml:space="preserve">Personal data MUST NOT appear in logs, traces, metrics, or any telemetry channel (Chapters 9, 10, 11). De-identification SHALL be applied at the source.</w:t>
      </w:r>
    </w:p>
    <w:p>
      <w:pPr>
        <w:pStyle w:val="Compact"/>
        <w:numPr>
          <w:ilvl w:val="0"/>
          <w:numId w:val="1107"/>
        </w:numPr>
      </w:pPr>
      <w:r>
        <w:t xml:space="preserve">Production-grade personal data MUST NOT be copied to non-production environments without an approved de-identification procedure: tokenization, pseudonymization, or synthetic-data generation.</w:t>
      </w:r>
    </w:p>
    <w:p>
      <w:pPr>
        <w:pStyle w:val="Compact"/>
        <w:numPr>
          <w:ilvl w:val="0"/>
          <w:numId w:val="1107"/>
        </w:numPr>
      </w:pPr>
      <w:r>
        <w:t xml:space="preserve">Each system processing personal data SHALL document its lawful basis for processing (consent, contract, legitimate interest, vital interest, public task, legal obligation) and SHALL record consent withdrawal as a deletion / processing-stop event where consent is the basis.</w:t>
      </w:r>
    </w:p>
    <w:p>
      <w:pPr>
        <w:pStyle w:val="Compact"/>
        <w:numPr>
          <w:ilvl w:val="0"/>
          <w:numId w:val="1107"/>
        </w:numPr>
      </w:pPr>
      <w:r>
        <w:t xml:space="preserve">Each system SHALL maintain a Record of Processing Activity (ROPA) entry consistent with GDPR Article 30; the corporate ROPA tool is the single source of truth.</w:t>
      </w:r>
    </w:p>
    <w:p>
      <w:pPr>
        <w:pStyle w:val="Compact"/>
        <w:numPr>
          <w:ilvl w:val="0"/>
          <w:numId w:val="1107"/>
        </w:numPr>
      </w:pPr>
      <w:r>
        <w:t xml:space="preserve">Privacy Impact Assessments (PIAs) and, where required, Data Protection Impact Assessments (DPIAs) SHALL be conducted prior to launching any system that processes personal data at scale or high-risk personal data of any volume; ARB review SHALL incorporate the PIA / DPIA.</w:t>
      </w:r>
    </w:p>
    <w:p>
      <w:pPr>
        <w:pStyle w:val="Compact"/>
        <w:numPr>
          <w:ilvl w:val="0"/>
          <w:numId w:val="1107"/>
        </w:numPr>
      </w:pPr>
      <w:r>
        <w:t xml:space="preserve">Vendor and processor management SHALL include due-diligence privacy review, DPA execution, and ongoing monitoring; sub-processors SHALL be approved and SHALL be disclosed in the corporate sub-processor register.</w:t>
      </w:r>
    </w:p>
    <w:p>
      <w:pPr>
        <w:pStyle w:val="Compact"/>
        <w:numPr>
          <w:ilvl w:val="0"/>
          <w:numId w:val="1107"/>
        </w:numPr>
      </w:pPr>
      <w:r>
        <w:t xml:space="preserve">Breach notification timelines SHALL be tracked from the moment a breach is</w:t>
      </w:r>
      <w:r>
        <w:t xml:space="preserve"> </w:t>
      </w:r>
      <w:r>
        <w:t xml:space="preserve">“confirmed”</w:t>
      </w:r>
      <w:r>
        <w:t xml:space="preserve"> </w:t>
      </w:r>
      <w:r>
        <w:t xml:space="preserve">per the corporate breach-management procedure (Chapter 19), with regulator notification within seventy-two (72) hours for GDPR and immediately for Law 25 high-risk breaches.</w:t>
      </w:r>
    </w:p>
    <w:p>
      <w:pPr>
        <w:pStyle w:val="Compact"/>
        <w:numPr>
          <w:ilvl w:val="0"/>
          <w:numId w:val="1107"/>
        </w:numPr>
      </w:pPr>
      <w:r>
        <w:t xml:space="preserve">Personal-data deletion in cloud storage SHALL include deletion from backups within the backup-retention period; where deletion from backups is technically infeasible during the retention period, the records SHALL be flagged for deletion-on-restore and SHALL NOT be restored to live systems.</w:t>
      </w:r>
    </w:p>
    <w:p>
      <w:pPr>
        <w:pStyle w:val="Compact"/>
        <w:numPr>
          <w:ilvl w:val="0"/>
          <w:numId w:val="1107"/>
        </w:numPr>
      </w:pPr>
      <w:r>
        <w:t xml:space="preserve">The corporate cookie / tracker registry SHALL list every analytics, advertising, or personalization technology in use; deployment of an unregistered tracker is prohibited.</w:t>
      </w:r>
    </w:p>
    <w:bookmarkEnd w:id="173"/>
    <w:bookmarkStart w:id="174" w:name="patterns-recommended-17"/>
    <w:p>
      <w:pPr>
        <w:pStyle w:val="Heading3"/>
      </w:pPr>
      <w:r>
        <w:t xml:space="preserve">Patterns (Recommended)</w:t>
      </w:r>
    </w:p>
    <w:p>
      <w:pPr>
        <w:pStyle w:val="Compact"/>
        <w:numPr>
          <w:ilvl w:val="0"/>
          <w:numId w:val="1108"/>
        </w:numPr>
      </w:pPr>
      <w:r>
        <w:rPr>
          <w:b/>
          <w:bCs/>
        </w:rPr>
        <w:t xml:space="preserve">Privacy by design / privacy by default.</w:t>
      </w:r>
      <w:r>
        <w:t xml:space="preserve"> </w:t>
      </w:r>
      <w:r>
        <w:t xml:space="preserve">Per Ann Cavoukian’s foundational Privacy by Design principles (incorporated in GDPR Article 25), systems SHOULD minimize personal data collected, limit use to the stated purpose, and apply the strongest privacy setting as the default. Per the Microsoft Learn responsible AI / privacy guidance, these principles SHOULD shape the design review checklist.</w:t>
      </w:r>
    </w:p>
    <w:p>
      <w:pPr>
        <w:pStyle w:val="Compact"/>
        <w:numPr>
          <w:ilvl w:val="0"/>
          <w:numId w:val="1108"/>
        </w:numPr>
      </w:pPr>
      <w:r>
        <w:rPr>
          <w:b/>
          <w:bCs/>
        </w:rPr>
        <w:t xml:space="preserve">Pseudonymization at ingest.</w:t>
      </w:r>
      <w:r>
        <w:t xml:space="preserve"> </w:t>
      </w:r>
      <w:r>
        <w:t xml:space="preserve">Per ENISA’s guidance on pseudonymization techniques, direct identifiers SHOULD be replaced with pseudonyms at ingest into analytical stores, with a tightly access-controlled mapping table to support re-identification when legally required.</w:t>
      </w:r>
    </w:p>
    <w:p>
      <w:pPr>
        <w:pStyle w:val="Compact"/>
        <w:numPr>
          <w:ilvl w:val="0"/>
          <w:numId w:val="1108"/>
        </w:numPr>
      </w:pPr>
      <w:r>
        <w:rPr>
          <w:b/>
          <w:bCs/>
        </w:rPr>
        <w:t xml:space="preserve">Right-to-erasure as a structured workflow.</w:t>
      </w:r>
      <w:r>
        <w:t xml:space="preserve"> </w:t>
      </w:r>
      <w:r>
        <w:t xml:space="preserve">Per the GDPR Article 17 implementation guidance, the right to erasure SHOULD be implemented as a structured workflow that touches every system holding the data subject’s records, including caches and warehouses. The workflow SHALL be auditable.</w:t>
      </w:r>
    </w:p>
    <w:p>
      <w:pPr>
        <w:pStyle w:val="Compact"/>
        <w:numPr>
          <w:ilvl w:val="0"/>
          <w:numId w:val="1108"/>
        </w:numPr>
      </w:pPr>
      <w:r>
        <w:rPr>
          <w:b/>
          <w:bCs/>
        </w:rPr>
        <w:t xml:space="preserve">Residency-aware deployment templates.</w:t>
      </w:r>
      <w:r>
        <w:t xml:space="preserve"> </w:t>
      </w:r>
      <w:r>
        <w:t xml:space="preserve">Per the Microsoft Learn Azure data residency documentation, deployment templates SHOULD parameterize region selection and SHALL reject deployments to a region inconsistent with the dataset’s residency requirement.</w:t>
      </w:r>
    </w:p>
    <w:p>
      <w:pPr>
        <w:pStyle w:val="Compact"/>
        <w:numPr>
          <w:ilvl w:val="0"/>
          <w:numId w:val="1108"/>
        </w:numPr>
      </w:pPr>
      <w:r>
        <w:rPr>
          <w:b/>
          <w:bCs/>
        </w:rPr>
        <w:t xml:space="preserve">Annual privacy training and DPIA refresher.</w:t>
      </w:r>
      <w:r>
        <w:t xml:space="preserve"> </w:t>
      </w:r>
      <w:r>
        <w:t xml:space="preserve">Per the GDPR Article 39 accountability principle, every engineer working on systems processing personal data SHOULD complete an annual privacy training, and DPIAs SHOULD be refreshed annually or on material change.</w:t>
      </w:r>
    </w:p>
    <w:bookmarkEnd w:id="174"/>
    <w:bookmarkStart w:id="175" w:name="anti-patterns-prohibited-17"/>
    <w:p>
      <w:pPr>
        <w:pStyle w:val="Heading3"/>
      </w:pPr>
      <w:r>
        <w:t xml:space="preserve">Anti-Patterns (Prohibited)</w:t>
      </w:r>
    </w:p>
    <w:p>
      <w:pPr>
        <w:pStyle w:val="Compact"/>
        <w:numPr>
          <w:ilvl w:val="0"/>
          <w:numId w:val="1109"/>
        </w:numPr>
      </w:pPr>
      <w:r>
        <w:rPr>
          <w:b/>
          <w:bCs/>
        </w:rPr>
        <w:t xml:space="preserve">MUST NOT</w:t>
      </w:r>
      <w:r>
        <w:t xml:space="preserve"> </w:t>
      </w:r>
      <w:r>
        <w:t xml:space="preserve">copy production personal data to a developer’s workstation, a developer’s notebook, or a non-production environment without an approved de-identification procedure. Such copies are routinely the largest single source of breach exposure.</w:t>
      </w:r>
    </w:p>
    <w:p>
      <w:pPr>
        <w:pStyle w:val="Compact"/>
        <w:numPr>
          <w:ilvl w:val="0"/>
          <w:numId w:val="1109"/>
        </w:numPr>
      </w:pPr>
      <w:r>
        <w:rPr>
          <w:b/>
          <w:bCs/>
        </w:rPr>
        <w:t xml:space="preserve">SHALL NOT</w:t>
      </w:r>
      <w:r>
        <w:t xml:space="preserve"> </w:t>
      </w:r>
      <w:r>
        <w:t xml:space="preserve">rely on contractual obligations alone to enforce data residency; technical enforcement (cloud-region-level deny policies) SHALL be implemented.</w:t>
      </w:r>
    </w:p>
    <w:p>
      <w:pPr>
        <w:pStyle w:val="Compact"/>
        <w:numPr>
          <w:ilvl w:val="0"/>
          <w:numId w:val="1109"/>
        </w:numPr>
      </w:pPr>
      <w:r>
        <w:rPr>
          <w:b/>
          <w:bCs/>
        </w:rPr>
        <w:t xml:space="preserve">MUST NOT</w:t>
      </w:r>
      <w:r>
        <w:t xml:space="preserve"> </w:t>
      </w:r>
      <w:r>
        <w:t xml:space="preserve">retain personal data</w:t>
      </w:r>
      <w:r>
        <w:t xml:space="preserve"> </w:t>
      </w:r>
      <w:r>
        <w:t xml:space="preserve">“in case it might be useful later”</w:t>
      </w:r>
      <w:r>
        <w:t xml:space="preserve">. Retention SHALL be purposeful, documented, and bounded.</w:t>
      </w:r>
    </w:p>
    <w:p>
      <w:pPr>
        <w:pStyle w:val="Compact"/>
        <w:numPr>
          <w:ilvl w:val="0"/>
          <w:numId w:val="1109"/>
        </w:numPr>
      </w:pPr>
      <w:r>
        <w:rPr>
          <w:b/>
          <w:bCs/>
        </w:rPr>
        <w:t xml:space="preserve">SHALL NOT</w:t>
      </w:r>
      <w:r>
        <w:t xml:space="preserve"> </w:t>
      </w:r>
      <w:r>
        <w:t xml:space="preserve">ship analytics SDKs that transmit data to third parties without privacy review and consent management.</w:t>
      </w:r>
    </w:p>
    <w:p>
      <w:pPr>
        <w:pStyle w:val="Compact"/>
        <w:numPr>
          <w:ilvl w:val="0"/>
          <w:numId w:val="1109"/>
        </w:numPr>
      </w:pPr>
      <w:r>
        <w:rPr>
          <w:b/>
          <w:bCs/>
        </w:rPr>
        <w:t xml:space="preserve">MUST NOT</w:t>
      </w:r>
      <w:r>
        <w:t xml:space="preserve"> </w:t>
      </w:r>
      <w:r>
        <w:t xml:space="preserve">assume that anonymization is irreversible. The literature on re-identification (Sweeney, Dwork, and others) demonstrates repeatedly that naive anonymization fails under linkage attacks; pseudonymization with cryptographic separation is the appropriate model.</w:t>
      </w:r>
    </w:p>
    <w:p>
      <w:pPr>
        <w:pStyle w:val="Compact"/>
        <w:numPr>
          <w:ilvl w:val="0"/>
          <w:numId w:val="1109"/>
        </w:numPr>
      </w:pPr>
      <w:r>
        <w:rPr>
          <w:b/>
          <w:bCs/>
        </w:rPr>
        <w:t xml:space="preserve">SHALL NOT</w:t>
      </w:r>
      <w:r>
        <w:t xml:space="preserve"> </w:t>
      </w:r>
      <w:r>
        <w:t xml:space="preserve">treat data-subject-rights requests as a manual ad-hoc process. The corporate practice SHALL be a structured workflow with SLA tracking.</w:t>
      </w:r>
    </w:p>
    <w:bookmarkEnd w:id="175"/>
    <w:bookmarkStart w:id="176" w:name="evidence-audit-17"/>
    <w:p>
      <w:pPr>
        <w:pStyle w:val="Heading3"/>
      </w:pPr>
      <w:r>
        <w:t xml:space="preserve">Evidence &amp; Audit</w:t>
      </w:r>
    </w:p>
    <w:p>
      <w:pPr>
        <w:pStyle w:val="Compact"/>
        <w:numPr>
          <w:ilvl w:val="0"/>
          <w:numId w:val="1110"/>
        </w:numPr>
      </w:pPr>
      <w:r>
        <w:t xml:space="preserve">Quarterly data inventory reconciliation against the corporate data catalog and ROPA.</w:t>
      </w:r>
    </w:p>
    <w:p>
      <w:pPr>
        <w:pStyle w:val="Compact"/>
        <w:numPr>
          <w:ilvl w:val="0"/>
          <w:numId w:val="1110"/>
        </w:numPr>
      </w:pPr>
      <w:r>
        <w:t xml:space="preserve">Continuous compliance monitoring of region-based residency policies; violations SHALL alert.</w:t>
      </w:r>
    </w:p>
    <w:p>
      <w:pPr>
        <w:pStyle w:val="Compact"/>
        <w:numPr>
          <w:ilvl w:val="0"/>
          <w:numId w:val="1110"/>
        </w:numPr>
      </w:pPr>
      <w:r>
        <w:t xml:space="preserve">Annual privacy audit by an independent function (internal audit or external).</w:t>
      </w:r>
    </w:p>
    <w:p>
      <w:pPr>
        <w:pStyle w:val="Compact"/>
        <w:numPr>
          <w:ilvl w:val="0"/>
          <w:numId w:val="1110"/>
        </w:numPr>
      </w:pPr>
      <w:r>
        <w:t xml:space="preserve">Continuous monitoring of data-subject-rights request SLAs.</w:t>
      </w:r>
    </w:p>
    <w:p>
      <w:pPr>
        <w:pStyle w:val="Compact"/>
        <w:numPr>
          <w:ilvl w:val="0"/>
          <w:numId w:val="1110"/>
        </w:numPr>
      </w:pPr>
      <w:r>
        <w:t xml:space="preserve">Annual PIA / DPIA refresh report; outdated assessments SHALL be re-run.</w:t>
      </w:r>
    </w:p>
    <w:p>
      <w:pPr>
        <w:pStyle w:val="Compact"/>
        <w:numPr>
          <w:ilvl w:val="0"/>
          <w:numId w:val="1110"/>
        </w:numPr>
      </w:pPr>
      <w:r>
        <w:t xml:space="preserve">Annual review of sub-processor register; new sub-processors SHALL be approved before engagement.</w:t>
      </w:r>
    </w:p>
    <w:p>
      <w:pPr>
        <w:pStyle w:val="Compact"/>
        <w:numPr>
          <w:ilvl w:val="0"/>
          <w:numId w:val="1110"/>
        </w:numPr>
      </w:pPr>
      <w:r>
        <w:t xml:space="preserve">Tabletop exercise of breach notification at least annually, including regulator-notification timing.</w:t>
      </w:r>
    </w:p>
    <w:bookmarkEnd w:id="176"/>
    <w:bookmarkStart w:id="177" w:name="exceptions-17"/>
    <w:p>
      <w:pPr>
        <w:pStyle w:val="Heading3"/>
      </w:pPr>
      <w:r>
        <w:t xml:space="preserve">Exceptions</w:t>
      </w:r>
    </w:p>
    <w:p>
      <w:pPr>
        <w:pStyle w:val="FirstParagraph"/>
      </w:pPr>
      <w:r>
        <w:t xml:space="preserve">Cross-border transfers requiring novel mechanisms (e.g., a new vendor in a jurisdiction without adequacy) SHALL be referred to the Privacy Office and SHALL be approved in writing before any data is transferred.</w:t>
      </w:r>
      <w:r>
        <w:t xml:space="preserve"> </w:t>
      </w:r>
      <w:r>
        <w:rPr>
          <w:b/>
          <w:bCs/>
        </w:rPr>
        <w:t xml:space="preserve">Exceptions SHALL be time-boxed to 90 days and require ARB approval.</w:t>
      </w:r>
    </w:p>
    <w:bookmarkEnd w:id="177"/>
    <w:bookmarkStart w:id="178" w:name="references-17"/>
    <w:p>
      <w:pPr>
        <w:pStyle w:val="Heading3"/>
      </w:pPr>
      <w:r>
        <w:t xml:space="preserve">References</w:t>
      </w:r>
    </w:p>
    <w:p>
      <w:pPr>
        <w:pStyle w:val="Compact"/>
        <w:numPr>
          <w:ilvl w:val="0"/>
          <w:numId w:val="1111"/>
        </w:numPr>
      </w:pPr>
      <w:r>
        <w:t xml:space="preserve">Office of the Privacy Commissioner of Canada — PIPEDA: https://www.priv.gc.ca/en/privacy-topics/privacy-laws-in-canada/the-personal-information-protection-and-electronic-documents-act-pipeda/</w:t>
      </w:r>
    </w:p>
    <w:p>
      <w:pPr>
        <w:pStyle w:val="Compact"/>
        <w:numPr>
          <w:ilvl w:val="0"/>
          <w:numId w:val="1111"/>
        </w:numPr>
      </w:pPr>
      <w:r>
        <w:t xml:space="preserve">Commission d’accès à l’information du Québec — Loi 25: https://www.cai.gouv.qc.ca/</w:t>
      </w:r>
    </w:p>
    <w:p>
      <w:pPr>
        <w:pStyle w:val="Compact"/>
        <w:numPr>
          <w:ilvl w:val="0"/>
          <w:numId w:val="1111"/>
        </w:numPr>
      </w:pPr>
      <w:r>
        <w:t xml:space="preserve">European Data Protection Board — GDPR guidance: https://edpb.europa.eu/edpb_en</w:t>
      </w:r>
    </w:p>
    <w:p>
      <w:pPr>
        <w:pStyle w:val="Compact"/>
        <w:numPr>
          <w:ilvl w:val="0"/>
          <w:numId w:val="1111"/>
        </w:numPr>
      </w:pPr>
      <w:r>
        <w:t xml:space="preserve">California Attorney General — CCPA: https://oag.ca.gov/privacy/ccpa</w:t>
      </w:r>
    </w:p>
    <w:p>
      <w:pPr>
        <w:pStyle w:val="Compact"/>
        <w:numPr>
          <w:ilvl w:val="0"/>
          <w:numId w:val="1111"/>
        </w:numPr>
      </w:pPr>
      <w:r>
        <w:t xml:space="preserve">Microsoft Learn — Microsoft Cloud Trust Center / Compliance offerings: https://learn.microsoft.com/en-us/compliance/regulatory/offering-home</w:t>
      </w:r>
    </w:p>
    <w:p>
      <w:pPr>
        <w:pStyle w:val="Compact"/>
        <w:numPr>
          <w:ilvl w:val="0"/>
          <w:numId w:val="1111"/>
        </w:numPr>
      </w:pPr>
      <w:r>
        <w:t xml:space="preserve">Microsoft Learn — Azure data residency: https://azure.microsoft.com/en-us/explore/global-infrastructure/data-residency/</w:t>
      </w:r>
    </w:p>
    <w:p>
      <w:pPr>
        <w:pStyle w:val="Compact"/>
        <w:numPr>
          <w:ilvl w:val="0"/>
          <w:numId w:val="1111"/>
        </w:numPr>
      </w:pPr>
      <w:r>
        <w:t xml:space="preserve">AWS — Data residency: https://aws.amazon.com/compliance/data-protection/</w:t>
      </w:r>
    </w:p>
    <w:p>
      <w:pPr>
        <w:pStyle w:val="Compact"/>
        <w:numPr>
          <w:ilvl w:val="0"/>
          <w:numId w:val="1111"/>
        </w:numPr>
      </w:pPr>
      <w:r>
        <w:t xml:space="preserve">AWS — GDPR Center: https://aws.amazon.com/compliance/gdpr-center/</w:t>
      </w:r>
    </w:p>
    <w:p>
      <w:pPr>
        <w:pStyle w:val="Compact"/>
        <w:numPr>
          <w:ilvl w:val="0"/>
          <w:numId w:val="1111"/>
        </w:numPr>
      </w:pPr>
      <w:r>
        <w:t xml:space="preserve">Google Cloud — Data residency, operational transparency, and privacy for European customers: https://cloud.google.com/security/compliance/eu-data-protection</w:t>
      </w:r>
    </w:p>
    <w:p>
      <w:pPr>
        <w:pStyle w:val="Compact"/>
        <w:numPr>
          <w:ilvl w:val="0"/>
          <w:numId w:val="1111"/>
        </w:numPr>
      </w:pPr>
      <w:r>
        <w:t xml:space="preserve">ENISA — Pseudonymization techniques and best practices.</w:t>
      </w:r>
    </w:p>
    <w:p>
      <w:pPr>
        <w:pStyle w:val="Compact"/>
        <w:numPr>
          <w:ilvl w:val="0"/>
          <w:numId w:val="1111"/>
        </w:numPr>
      </w:pPr>
      <w:r>
        <w:t xml:space="preserve">NIST Privacy Framework: https://www.nist.gov/privacy-framework</w:t>
      </w:r>
    </w:p>
    <w:p>
      <w:pPr>
        <w:pStyle w:val="Compact"/>
        <w:numPr>
          <w:ilvl w:val="0"/>
          <w:numId w:val="1111"/>
        </w:numPr>
      </w:pPr>
      <w:r>
        <w:t xml:space="preserve">ISO/IEC 27701 — Privacy Information Management.</w:t>
      </w:r>
    </w:p>
    <w:bookmarkEnd w:id="178"/>
    <w:bookmarkEnd w:id="179"/>
    <w:bookmarkStart w:id="188" w:name="X2de74def2f01ba2950a62b1b0005e746888ec80"/>
    <w:p>
      <w:pPr>
        <w:pStyle w:val="Heading2"/>
      </w:pPr>
      <w:r>
        <w:t xml:space="preserve">Chapter 19 — SRE Operations &amp; Incident Response</w:t>
      </w:r>
    </w:p>
    <w:bookmarkStart w:id="180" w:name="intent-18"/>
    <w:p>
      <w:pPr>
        <w:pStyle w:val="Heading3"/>
      </w:pPr>
      <w:r>
        <w:t xml:space="preserve">Intent</w:t>
      </w:r>
    </w:p>
    <w:p>
      <w:pPr>
        <w:pStyle w:val="FirstParagraph"/>
      </w:pPr>
      <w:r>
        <w:t xml:space="preserve">Operations is where the rest of this document is verified or invalidated. This chapter governs how the corporation runs production: on-call rotations, severity classification, paging discipline, incident command, blameless post-incident review, error-budget policy, chaos engineering, business continuity, disaster recovery, and the change-management gates that interact with incident response. The objective is to ensure that production incidents are detected quickly, mitigated by the right people with the right authority, learned from systematically, and prevented from recurring through durable mechanism changes — not through individual exhortation.</w:t>
      </w:r>
    </w:p>
    <w:p>
      <w:pPr>
        <w:pStyle w:val="BodyText"/>
      </w:pPr>
      <w:r>
        <w:t xml:space="preserve">This chapter is the operational backbone for every preceding chapter. It also defines the corporate exception-management process referenced throughout this document.</w:t>
      </w:r>
    </w:p>
    <w:bookmarkEnd w:id="180"/>
    <w:bookmarkStart w:id="181" w:name="scope-19"/>
    <w:p>
      <w:pPr>
        <w:pStyle w:val="Heading3"/>
      </w:pPr>
      <w:r>
        <w:t xml:space="preserve">Scope</w:t>
      </w:r>
    </w:p>
    <w:p>
      <w:pPr>
        <w:pStyle w:val="Compact"/>
        <w:numPr>
          <w:ilvl w:val="0"/>
          <w:numId w:val="1112"/>
        </w:numPr>
      </w:pPr>
      <w:r>
        <w:t xml:space="preserve">Every production workload across all three clouds.</w:t>
      </w:r>
    </w:p>
    <w:p>
      <w:pPr>
        <w:pStyle w:val="Compact"/>
        <w:numPr>
          <w:ilvl w:val="0"/>
          <w:numId w:val="1112"/>
        </w:numPr>
      </w:pPr>
      <w:r>
        <w:t xml:space="preserve">Every on-call rotation supporting a production workload.</w:t>
      </w:r>
    </w:p>
    <w:p>
      <w:pPr>
        <w:pStyle w:val="Compact"/>
        <w:numPr>
          <w:ilvl w:val="0"/>
          <w:numId w:val="1112"/>
        </w:numPr>
      </w:pPr>
      <w:r>
        <w:t xml:space="preserve">Every incident, regardless of severity.</w:t>
      </w:r>
    </w:p>
    <w:p>
      <w:pPr>
        <w:pStyle w:val="Compact"/>
        <w:numPr>
          <w:ilvl w:val="0"/>
          <w:numId w:val="1112"/>
        </w:numPr>
      </w:pPr>
      <w:r>
        <w:t xml:space="preserve">Every change to production, including emergency changes.</w:t>
      </w:r>
    </w:p>
    <w:p>
      <w:pPr>
        <w:pStyle w:val="Compact"/>
        <w:numPr>
          <w:ilvl w:val="0"/>
          <w:numId w:val="1112"/>
        </w:numPr>
      </w:pPr>
      <w:r>
        <w:t xml:space="preserve">Every disaster-recovery configuration and DR test.</w:t>
      </w:r>
    </w:p>
    <w:bookmarkEnd w:id="181"/>
    <w:bookmarkStart w:id="182" w:name="mandatory-controls-18"/>
    <w:p>
      <w:pPr>
        <w:pStyle w:val="Heading3"/>
      </w:pPr>
      <w:r>
        <w:t xml:space="preserve">Mandatory Controls</w:t>
      </w:r>
    </w:p>
    <w:p>
      <w:pPr>
        <w:pStyle w:val="Compact"/>
        <w:numPr>
          <w:ilvl w:val="0"/>
          <w:numId w:val="1113"/>
        </w:numPr>
      </w:pPr>
      <w:r>
        <w:t xml:space="preserve">Every production workload SHALL have a designated on-call rotation with at least two (2) primary and one (1) escalation engineer; single-person rotations are prohibited.</w:t>
      </w:r>
    </w:p>
    <w:p>
      <w:pPr>
        <w:pStyle w:val="Compact"/>
        <w:numPr>
          <w:ilvl w:val="0"/>
          <w:numId w:val="1113"/>
        </w:numPr>
      </w:pPr>
      <w:r>
        <w:t xml:space="preserve">The on-call rotation SHALL be documented in the corporate on-call tool (PagerDuty, Opsgenie, ServiceNow); paging SHALL go through this tool, not through ad-hoc chat or phone calls.</w:t>
      </w:r>
    </w:p>
    <w:p>
      <w:pPr>
        <w:pStyle w:val="Compact"/>
        <w:numPr>
          <w:ilvl w:val="0"/>
          <w:numId w:val="1113"/>
        </w:numPr>
      </w:pPr>
      <w:r>
        <w:t xml:space="preserve">Incidents SHALL be classified at a severity level SEV1 through SEV5: SEV1 (broad customer impact, no workaround), SEV2 (significant customer impact or imminent SEV1), SEV3 (limited customer impact or significant internal impact), SEV4 (minor or contained issue), SEV5 (informational, no current impact).</w:t>
      </w:r>
    </w:p>
    <w:p>
      <w:pPr>
        <w:pStyle w:val="Compact"/>
        <w:numPr>
          <w:ilvl w:val="0"/>
          <w:numId w:val="1113"/>
        </w:numPr>
      </w:pPr>
      <w:r>
        <w:t xml:space="preserve">SEV1 and SEV2 incidents SHALL trigger formal incident command: an incident commander, a communications lead, and a scribe; the corporate incident-management runbook SHALL apply.</w:t>
      </w:r>
    </w:p>
    <w:p>
      <w:pPr>
        <w:pStyle w:val="Compact"/>
        <w:numPr>
          <w:ilvl w:val="0"/>
          <w:numId w:val="1113"/>
        </w:numPr>
      </w:pPr>
      <w:r>
        <w:t xml:space="preserve">SEV1 incidents SHALL be communicated to executive leadership within thirty (30) minutes of declaration.</w:t>
      </w:r>
    </w:p>
    <w:p>
      <w:pPr>
        <w:pStyle w:val="Compact"/>
        <w:numPr>
          <w:ilvl w:val="0"/>
          <w:numId w:val="1113"/>
        </w:numPr>
      </w:pPr>
      <w:r>
        <w:t xml:space="preserve">Every SEV1 and SEV2 incident SHALL produce a blameless post-incident review within five (5) business days; the review SHALL identify mechanism-level improvements, not individual blame.</w:t>
      </w:r>
    </w:p>
    <w:p>
      <w:pPr>
        <w:pStyle w:val="Compact"/>
        <w:numPr>
          <w:ilvl w:val="0"/>
          <w:numId w:val="1113"/>
        </w:numPr>
      </w:pPr>
      <w:r>
        <w:t xml:space="preserve">Post-incident action items SHALL be tracked to closure; aging action items (older than thirty (30) days without progress) SHALL be escalated to the ARB.</w:t>
      </w:r>
    </w:p>
    <w:p>
      <w:pPr>
        <w:pStyle w:val="Compact"/>
        <w:numPr>
          <w:ilvl w:val="0"/>
          <w:numId w:val="1113"/>
        </w:numPr>
      </w:pPr>
      <w:r>
        <w:t xml:space="preserve">The corporate error-budget policy (Chapter 10) SHALL apply: when a tier-1 workload’s SLO error budget is exhausted, risky changes to that workload SHALL be frozen until the budget recovers.</w:t>
      </w:r>
    </w:p>
    <w:p>
      <w:pPr>
        <w:pStyle w:val="Compact"/>
        <w:numPr>
          <w:ilvl w:val="0"/>
          <w:numId w:val="1113"/>
        </w:numPr>
      </w:pPr>
      <w:r>
        <w:t xml:space="preserve">Disaster-recovery objectives SHALL be defined per workload as RTO (recovery time objective) and RPO (recovery point objective); the corporate DR tiers are Tier 1 (RTO 1 h, RPO 5 min), Tier 2 (RTO 4 h, RPO 1 h), Tier 3 (RTO 24 h, RPO 24 h), Tier 4 (best effort).</w:t>
      </w:r>
    </w:p>
    <w:p>
      <w:pPr>
        <w:pStyle w:val="Compact"/>
        <w:numPr>
          <w:ilvl w:val="0"/>
          <w:numId w:val="1113"/>
        </w:numPr>
      </w:pPr>
      <w:r>
        <w:t xml:space="preserve">DR runbooks SHALL be tested at least annually for Tier 1 and Tier 2 workloads; tests SHALL include actual region failover, not paper exercises.</w:t>
      </w:r>
    </w:p>
    <w:p>
      <w:pPr>
        <w:pStyle w:val="Compact"/>
        <w:numPr>
          <w:ilvl w:val="0"/>
          <w:numId w:val="1113"/>
        </w:numPr>
      </w:pPr>
      <w:r>
        <w:t xml:space="preserve">Chaos engineering SHALL be performed at least quarterly on tier-1 workloads, exercising single-AZ failure, network partition, dependency latency, and dependency failure.</w:t>
      </w:r>
    </w:p>
    <w:p>
      <w:pPr>
        <w:pStyle w:val="Compact"/>
        <w:numPr>
          <w:ilvl w:val="0"/>
          <w:numId w:val="1113"/>
        </w:numPr>
      </w:pPr>
      <w:r>
        <w:t xml:space="preserve">Change management SHALL classify every change as Standard (pre-approved, low-risk, scripted), Normal (CAB-reviewed), or Emergency (post-event-reviewed); changes SHALL be deployed via pipeline (Chapter 14) regardless of classification.</w:t>
      </w:r>
    </w:p>
    <w:p>
      <w:pPr>
        <w:pStyle w:val="Compact"/>
        <w:numPr>
          <w:ilvl w:val="0"/>
          <w:numId w:val="1113"/>
        </w:numPr>
      </w:pPr>
      <w:r>
        <w:t xml:space="preserve">Emergency changes SHALL produce a retroactive change record within twenty-four (24) hours, including the rationale for skipping the standard process.</w:t>
      </w:r>
    </w:p>
    <w:p>
      <w:pPr>
        <w:pStyle w:val="Compact"/>
        <w:numPr>
          <w:ilvl w:val="0"/>
          <w:numId w:val="1113"/>
        </w:numPr>
      </w:pPr>
      <w:r>
        <w:t xml:space="preserve">The corporate exception register SHALL be the single source of truth for documented deviations from this document; exceptions SHALL specify the control deviated from, the compensating control, the expiry date (maximum ninety (90) days), and the ARB approver.</w:t>
      </w:r>
    </w:p>
    <w:p>
      <w:pPr>
        <w:pStyle w:val="Compact"/>
        <w:numPr>
          <w:ilvl w:val="0"/>
          <w:numId w:val="1113"/>
        </w:numPr>
      </w:pPr>
      <w:r>
        <w:t xml:space="preserve">Break-glass production access (the rare case where a human must operate directly on a production resource) SHALL be performed through a logged, time-bounded session via the corporate bastion, SHALL be reviewed post-hoc, and SHALL be reported in the monthly operations report.</w:t>
      </w:r>
    </w:p>
    <w:p>
      <w:pPr>
        <w:pStyle w:val="Compact"/>
        <w:numPr>
          <w:ilvl w:val="0"/>
          <w:numId w:val="1113"/>
        </w:numPr>
      </w:pPr>
      <w:r>
        <w:t xml:space="preserve">Production data restore from backup SHALL be exercised at least quarterly per Tier 1 workload, with cryptographic verification of restored data (Chapter 4).</w:t>
      </w:r>
    </w:p>
    <w:bookmarkEnd w:id="182"/>
    <w:bookmarkStart w:id="183" w:name="patterns-recommended-18"/>
    <w:p>
      <w:pPr>
        <w:pStyle w:val="Heading3"/>
      </w:pPr>
      <w:r>
        <w:t xml:space="preserve">Patterns (Recommended)</w:t>
      </w:r>
    </w:p>
    <w:p>
      <w:pPr>
        <w:pStyle w:val="Compact"/>
        <w:numPr>
          <w:ilvl w:val="0"/>
          <w:numId w:val="1114"/>
        </w:numPr>
      </w:pPr>
      <w:r>
        <w:rPr>
          <w:b/>
          <w:bCs/>
        </w:rPr>
        <w:t xml:space="preserve">Blameless post-incident review.</w:t>
      </w:r>
      <w:r>
        <w:t xml:space="preserve"> </w:t>
      </w:r>
      <w:r>
        <w:t xml:space="preserve">Per the Google SRE Book on postmortems, the post-incident review SHOULD focus on systemic mechanisms — alerting, defaults, validation, rollback — rather than individual decisions. Per the corporate culture statement, the only acceptable form of accountability for an individual is the question</w:t>
      </w:r>
      <w:r>
        <w:t xml:space="preserve"> </w:t>
      </w:r>
      <w:r>
        <w:t xml:space="preserve">“what mechanism failed to prevent this”</w:t>
      </w:r>
      <w:r>
        <w:t xml:space="preserve">.</w:t>
      </w:r>
    </w:p>
    <w:p>
      <w:pPr>
        <w:pStyle w:val="Compact"/>
        <w:numPr>
          <w:ilvl w:val="0"/>
          <w:numId w:val="1114"/>
        </w:numPr>
      </w:pPr>
      <w:r>
        <w:rPr>
          <w:b/>
          <w:bCs/>
        </w:rPr>
        <w:t xml:space="preserve">Incident command system.</w:t>
      </w:r>
      <w:r>
        <w:t xml:space="preserve"> </w:t>
      </w:r>
      <w:r>
        <w:t xml:space="preserve">Per the FEMA / ICS-200 incident-command framework, complex incidents SHOULD use clear role separation: commander coordinates, communications lead handles stakeholders, scribe records the timeline. This reduces cognitive load and ensures parallel work proceeds in coordination.</w:t>
      </w:r>
    </w:p>
    <w:p>
      <w:pPr>
        <w:pStyle w:val="Compact"/>
        <w:numPr>
          <w:ilvl w:val="0"/>
          <w:numId w:val="1114"/>
        </w:numPr>
      </w:pPr>
      <w:r>
        <w:rPr>
          <w:b/>
          <w:bCs/>
        </w:rPr>
        <w:t xml:space="preserve">Game days and disaster-recovery drills.</w:t>
      </w:r>
      <w:r>
        <w:t xml:space="preserve"> </w:t>
      </w:r>
      <w:r>
        <w:t xml:space="preserve">Per the AWS Well-Architected Reliability pillar, game days SHOULD be calendared and run regularly; the only DR plan that works is the one that has been tested under realistic conditions.</w:t>
      </w:r>
    </w:p>
    <w:p>
      <w:pPr>
        <w:pStyle w:val="Compact"/>
        <w:numPr>
          <w:ilvl w:val="0"/>
          <w:numId w:val="1114"/>
        </w:numPr>
      </w:pPr>
      <w:r>
        <w:rPr>
          <w:b/>
          <w:bCs/>
        </w:rPr>
        <w:t xml:space="preserve">Runbooks linked from alerts.</w:t>
      </w:r>
      <w:r>
        <w:t xml:space="preserve"> </w:t>
      </w:r>
      <w:r>
        <w:t xml:space="preserve">Per Chapter 10, every alert SHOULD link to a runbook that an on-call engineer can follow in the first ten minutes of the page. Runbooks SHOULD be living documents, updated after every incident.</w:t>
      </w:r>
    </w:p>
    <w:p>
      <w:pPr>
        <w:pStyle w:val="Compact"/>
        <w:numPr>
          <w:ilvl w:val="0"/>
          <w:numId w:val="1114"/>
        </w:numPr>
      </w:pPr>
      <w:r>
        <w:rPr>
          <w:b/>
          <w:bCs/>
        </w:rPr>
        <w:t xml:space="preserve">Progressive rollouts with auto-rollback.</w:t>
      </w:r>
      <w:r>
        <w:t xml:space="preserve"> </w:t>
      </w:r>
      <w:r>
        <w:t xml:space="preserve">Per the Microsoft Learn deployment strategies guidance, releases SHOULD progress in stages (canary, percentage rollout, full) with automated rollback on SLO breach. This is the single most effective change-management control for reducing incident frequency.</w:t>
      </w:r>
    </w:p>
    <w:p>
      <w:pPr>
        <w:pStyle w:val="Compact"/>
        <w:numPr>
          <w:ilvl w:val="0"/>
          <w:numId w:val="1114"/>
        </w:numPr>
      </w:pPr>
      <w:r>
        <w:rPr>
          <w:b/>
          <w:bCs/>
        </w:rPr>
        <w:t xml:space="preserve">Standing-down protocol.</w:t>
      </w:r>
      <w:r>
        <w:t xml:space="preserve"> </w:t>
      </w:r>
      <w:r>
        <w:t xml:space="preserve">Per the corporate operations guidance, incident response SHOULD have a clear standing-down protocol: the criteria for closing an incident, the criteria for moving to a follow-up workstream, and the time-bound transition from</w:t>
      </w:r>
      <w:r>
        <w:t xml:space="preserve"> </w:t>
      </w:r>
      <w:r>
        <w:t xml:space="preserve">“war room”</w:t>
      </w:r>
      <w:r>
        <w:t xml:space="preserve"> </w:t>
      </w:r>
      <w:r>
        <w:t xml:space="preserve">to</w:t>
      </w:r>
      <w:r>
        <w:t xml:space="preserve"> </w:t>
      </w:r>
      <w:r>
        <w:t xml:space="preserve">“normal operations”</w:t>
      </w:r>
      <w:r>
        <w:t xml:space="preserve">.</w:t>
      </w:r>
    </w:p>
    <w:bookmarkEnd w:id="183"/>
    <w:bookmarkStart w:id="184" w:name="anti-patterns-prohibited-18"/>
    <w:p>
      <w:pPr>
        <w:pStyle w:val="Heading3"/>
      </w:pPr>
      <w:r>
        <w:t xml:space="preserve">Anti-Patterns (Prohibited)</w:t>
      </w:r>
    </w:p>
    <w:p>
      <w:pPr>
        <w:pStyle w:val="Compact"/>
        <w:numPr>
          <w:ilvl w:val="0"/>
          <w:numId w:val="1115"/>
        </w:numPr>
      </w:pPr>
      <w:r>
        <w:rPr>
          <w:b/>
          <w:bCs/>
        </w:rPr>
        <w:t xml:space="preserve">MUST NOT</w:t>
      </w:r>
      <w:r>
        <w:t xml:space="preserve"> </w:t>
      </w:r>
      <w:r>
        <w:t xml:space="preserve">practice individual blame in post-incident review. The corporate culture is blameless; the question is</w:t>
      </w:r>
      <w:r>
        <w:t xml:space="preserve"> </w:t>
      </w:r>
      <w:r>
        <w:t xml:space="preserve">“what mechanism”</w:t>
      </w:r>
      <w:r>
        <w:t xml:space="preserve"> </w:t>
      </w:r>
      <w:r>
        <w:t xml:space="preserve">not</w:t>
      </w:r>
      <w:r>
        <w:t xml:space="preserve"> </w:t>
      </w:r>
      <w:r>
        <w:t xml:space="preserve">“who erred”</w:t>
      </w:r>
      <w:r>
        <w:t xml:space="preserve">.</w:t>
      </w:r>
    </w:p>
    <w:p>
      <w:pPr>
        <w:pStyle w:val="Compact"/>
        <w:numPr>
          <w:ilvl w:val="0"/>
          <w:numId w:val="1115"/>
        </w:numPr>
      </w:pPr>
      <w:r>
        <w:rPr>
          <w:b/>
          <w:bCs/>
        </w:rPr>
        <w:t xml:space="preserve">SHALL NOT</w:t>
      </w:r>
      <w:r>
        <w:t xml:space="preserve"> </w:t>
      </w:r>
      <w:r>
        <w:t xml:space="preserve">declare an incident closed without a documented mitigation and a follow-up action plan.</w:t>
      </w:r>
    </w:p>
    <w:p>
      <w:pPr>
        <w:pStyle w:val="Compact"/>
        <w:numPr>
          <w:ilvl w:val="0"/>
          <w:numId w:val="1115"/>
        </w:numPr>
      </w:pPr>
      <w:r>
        <w:rPr>
          <w:b/>
          <w:bCs/>
        </w:rPr>
        <w:t xml:space="preserve">MUST NOT</w:t>
      </w:r>
      <w:r>
        <w:t xml:space="preserve"> </w:t>
      </w:r>
      <w:r>
        <w:t xml:space="preserve">make production changes during an active SEV1 / SEV2 incident outside the incident-response workflow itself. Change-freezes apply to in-progress incidents.</w:t>
      </w:r>
    </w:p>
    <w:p>
      <w:pPr>
        <w:pStyle w:val="Compact"/>
        <w:numPr>
          <w:ilvl w:val="0"/>
          <w:numId w:val="1115"/>
        </w:numPr>
      </w:pPr>
      <w:r>
        <w:rPr>
          <w:b/>
          <w:bCs/>
        </w:rPr>
        <w:t xml:space="preserve">SHALL NOT</w:t>
      </w:r>
      <w:r>
        <w:t xml:space="preserve"> </w:t>
      </w:r>
      <w:r>
        <w:t xml:space="preserve">maintain a single-person on-call rotation; if a service has only one engineer with operational knowledge, that is itself an incident waiting to happen and SHALL drive cross-training.</w:t>
      </w:r>
    </w:p>
    <w:p>
      <w:pPr>
        <w:pStyle w:val="Compact"/>
        <w:numPr>
          <w:ilvl w:val="0"/>
          <w:numId w:val="1115"/>
        </w:numPr>
      </w:pPr>
      <w:r>
        <w:rPr>
          <w:b/>
          <w:bCs/>
        </w:rPr>
        <w:t xml:space="preserve">MUST NOT</w:t>
      </w:r>
      <w:r>
        <w:t xml:space="preserve"> </w:t>
      </w:r>
      <w:r>
        <w:t xml:space="preserve">allow exceptions to remain in the register past their expiry without re-review. Expired exceptions are not</w:t>
      </w:r>
      <w:r>
        <w:t xml:space="preserve"> </w:t>
      </w:r>
      <w:r>
        <w:t xml:space="preserve">“grandfathered”</w:t>
      </w:r>
      <w:r>
        <w:t xml:space="preserve">; they are violations.</w:t>
      </w:r>
    </w:p>
    <w:p>
      <w:pPr>
        <w:pStyle w:val="Compact"/>
        <w:numPr>
          <w:ilvl w:val="0"/>
          <w:numId w:val="1115"/>
        </w:numPr>
      </w:pPr>
      <w:r>
        <w:rPr>
          <w:b/>
          <w:bCs/>
        </w:rPr>
        <w:t xml:space="preserve">SHALL NOT</w:t>
      </w:r>
      <w:r>
        <w:t xml:space="preserve"> </w:t>
      </w:r>
      <w:r>
        <w:t xml:space="preserve">practice</w:t>
      </w:r>
      <w:r>
        <w:t xml:space="preserve"> </w:t>
      </w:r>
      <w:r>
        <w:t xml:space="preserve">“the brave fix”</w:t>
      </w:r>
      <w:r>
        <w:t xml:space="preserve"> </w:t>
      </w:r>
      <w:r>
        <w:t xml:space="preserve">— bypassing change management because the fix is small and the engineer is confident. Small high-confidence fixes are exactly the ones most likely to cause unexpected secondary effects.</w:t>
      </w:r>
    </w:p>
    <w:bookmarkEnd w:id="184"/>
    <w:bookmarkStart w:id="185" w:name="evidence-audit-18"/>
    <w:p>
      <w:pPr>
        <w:pStyle w:val="Heading3"/>
      </w:pPr>
      <w:r>
        <w:t xml:space="preserve">Evidence &amp; Audit</w:t>
      </w:r>
    </w:p>
    <w:p>
      <w:pPr>
        <w:pStyle w:val="Compact"/>
        <w:numPr>
          <w:ilvl w:val="0"/>
          <w:numId w:val="1116"/>
        </w:numPr>
      </w:pPr>
      <w:r>
        <w:t xml:space="preserve">Monthly incident report: counts by severity, mean time to detect, mean time to mitigate, action-item closure rate.</w:t>
      </w:r>
    </w:p>
    <w:p>
      <w:pPr>
        <w:pStyle w:val="Compact"/>
        <w:numPr>
          <w:ilvl w:val="0"/>
          <w:numId w:val="1116"/>
        </w:numPr>
      </w:pPr>
      <w:r>
        <w:t xml:space="preserve">Quarterly DR-test report per tier-1 workload, including RTO / RPO achievement against target.</w:t>
      </w:r>
    </w:p>
    <w:p>
      <w:pPr>
        <w:pStyle w:val="Compact"/>
        <w:numPr>
          <w:ilvl w:val="0"/>
          <w:numId w:val="1116"/>
        </w:numPr>
      </w:pPr>
      <w:r>
        <w:t xml:space="preserve">Quarterly chaos-engineering report.</w:t>
      </w:r>
    </w:p>
    <w:p>
      <w:pPr>
        <w:pStyle w:val="Compact"/>
        <w:numPr>
          <w:ilvl w:val="0"/>
          <w:numId w:val="1116"/>
        </w:numPr>
      </w:pPr>
      <w:r>
        <w:t xml:space="preserve">Continuous monitoring of exception register: expiring exceptions, expired exceptions, exception growth rate.</w:t>
      </w:r>
    </w:p>
    <w:p>
      <w:pPr>
        <w:pStyle w:val="Compact"/>
        <w:numPr>
          <w:ilvl w:val="0"/>
          <w:numId w:val="1116"/>
        </w:numPr>
      </w:pPr>
      <w:r>
        <w:t xml:space="preserve">Annual on-call health check: rotation fairness, page volume per engineer, burnout indicators.</w:t>
      </w:r>
    </w:p>
    <w:p>
      <w:pPr>
        <w:pStyle w:val="Compact"/>
        <w:numPr>
          <w:ilvl w:val="0"/>
          <w:numId w:val="1116"/>
        </w:numPr>
      </w:pPr>
      <w:r>
        <w:t xml:space="preserve">Continuous monitoring of break-glass access events with security-team review.</w:t>
      </w:r>
    </w:p>
    <w:bookmarkEnd w:id="185"/>
    <w:bookmarkStart w:id="186" w:name="exceptions-18"/>
    <w:p>
      <w:pPr>
        <w:pStyle w:val="Heading3"/>
      </w:pPr>
      <w:r>
        <w:t xml:space="preserve">Exceptions</w:t>
      </w:r>
    </w:p>
    <w:p>
      <w:pPr>
        <w:pStyle w:val="FirstParagraph"/>
      </w:pPr>
      <w:r>
        <w:t xml:space="preserve">The exception process described in this chapter is itself non-exempt. Exceptions to</w:t>
      </w:r>
      <w:r>
        <w:t xml:space="preserve"> </w:t>
      </w:r>
      <w:r>
        <w:rPr>
          <w:i/>
          <w:iCs/>
        </w:rPr>
        <w:t xml:space="preserve">other</w:t>
      </w:r>
      <w:r>
        <w:t xml:space="preserve"> </w:t>
      </w:r>
      <w:r>
        <w:t xml:space="preserve">controls SHALL flow through the process described here.</w:t>
      </w:r>
      <w:r>
        <w:t xml:space="preserve"> </w:t>
      </w:r>
      <w:r>
        <w:rPr>
          <w:b/>
          <w:bCs/>
        </w:rPr>
        <w:t xml:space="preserve">Exceptions SHALL be time-boxed to 90 days and require ARB approval.</w:t>
      </w:r>
    </w:p>
    <w:bookmarkEnd w:id="186"/>
    <w:bookmarkStart w:id="187" w:name="references-18"/>
    <w:p>
      <w:pPr>
        <w:pStyle w:val="Heading3"/>
      </w:pPr>
      <w:r>
        <w:t xml:space="preserve">References</w:t>
      </w:r>
    </w:p>
    <w:p>
      <w:pPr>
        <w:pStyle w:val="Compact"/>
        <w:numPr>
          <w:ilvl w:val="0"/>
          <w:numId w:val="1117"/>
        </w:numPr>
      </w:pPr>
      <w:r>
        <w:t xml:space="preserve">Google SRE Book — Postmortem Culture: https://sre.google/sre-book/postmortem-culture/</w:t>
      </w:r>
    </w:p>
    <w:p>
      <w:pPr>
        <w:pStyle w:val="Compact"/>
        <w:numPr>
          <w:ilvl w:val="0"/>
          <w:numId w:val="1117"/>
        </w:numPr>
      </w:pPr>
      <w:r>
        <w:t xml:space="preserve">Google SRE Workbook — Implementing Postmortems: https://sre.google/workbook/postmortem-culture/</w:t>
      </w:r>
    </w:p>
    <w:p>
      <w:pPr>
        <w:pStyle w:val="Compact"/>
        <w:numPr>
          <w:ilvl w:val="0"/>
          <w:numId w:val="1117"/>
        </w:numPr>
      </w:pPr>
      <w:r>
        <w:t xml:space="preserve">Microsoft Learn — Cloud Adoption Framework Manage methodology: https://learn.microsoft.com/en-us/azure/cloud-adoption-framework/manage/</w:t>
      </w:r>
    </w:p>
    <w:p>
      <w:pPr>
        <w:pStyle w:val="Compact"/>
        <w:numPr>
          <w:ilvl w:val="0"/>
          <w:numId w:val="1117"/>
        </w:numPr>
      </w:pPr>
      <w:r>
        <w:t xml:space="preserve">Microsoft Learn — Azure Well-Architected Framework Operational Excellence pillar: https://learn.microsoft.com/en-us/azure/well-architected/operational-excellence/</w:t>
      </w:r>
    </w:p>
    <w:p>
      <w:pPr>
        <w:pStyle w:val="Compact"/>
        <w:numPr>
          <w:ilvl w:val="0"/>
          <w:numId w:val="1117"/>
        </w:numPr>
      </w:pPr>
      <w:r>
        <w:t xml:space="preserve">Microsoft Learn — Deployment strategies: https://learn.microsoft.com/en-us/azure/architecture/framework/devops/release-engineering-cd</w:t>
      </w:r>
    </w:p>
    <w:p>
      <w:pPr>
        <w:pStyle w:val="Compact"/>
        <w:numPr>
          <w:ilvl w:val="0"/>
          <w:numId w:val="1117"/>
        </w:numPr>
      </w:pPr>
      <w:r>
        <w:t xml:space="preserve">AWS Well-Architected — Reliability pillar (Failure Management): https://docs.aws.amazon.com/wellarchitected/latest/reliability-pillar/welcome.html</w:t>
      </w:r>
    </w:p>
    <w:p>
      <w:pPr>
        <w:pStyle w:val="Compact"/>
        <w:numPr>
          <w:ilvl w:val="0"/>
          <w:numId w:val="1117"/>
        </w:numPr>
      </w:pPr>
      <w:r>
        <w:t xml:space="preserve">AWS Well-Architected — Operational Excellence pillar: https://docs.aws.amazon.com/wellarchitected/latest/operational-excellence-pillar/welcome.html</w:t>
      </w:r>
    </w:p>
    <w:p>
      <w:pPr>
        <w:pStyle w:val="Compact"/>
        <w:numPr>
          <w:ilvl w:val="0"/>
          <w:numId w:val="1117"/>
        </w:numPr>
      </w:pPr>
      <w:r>
        <w:t xml:space="preserve">Google Cloud — Disaster recovery planning guide: https://cloud.google.com/architecture/dr-scenarios-planning-guide</w:t>
      </w:r>
    </w:p>
    <w:p>
      <w:pPr>
        <w:pStyle w:val="Compact"/>
        <w:numPr>
          <w:ilvl w:val="0"/>
          <w:numId w:val="1117"/>
        </w:numPr>
      </w:pPr>
      <w:r>
        <w:t xml:space="preserve">ITIL 4 — Service Operation practices (Incident Management, Change Enablement).</w:t>
      </w:r>
    </w:p>
    <w:p>
      <w:pPr>
        <w:pStyle w:val="Compact"/>
        <w:numPr>
          <w:ilvl w:val="0"/>
          <w:numId w:val="1117"/>
        </w:numPr>
      </w:pPr>
      <w:r>
        <w:t xml:space="preserve">NIST SP 800-61 — Computer Security Incident Handling Guide.</w:t>
      </w:r>
    </w:p>
    <w:p>
      <w:pPr>
        <w:pStyle w:val="Compact"/>
        <w:numPr>
          <w:ilvl w:val="0"/>
          <w:numId w:val="1117"/>
        </w:numPr>
      </w:pPr>
      <w:r>
        <w:t xml:space="preserve">NIST SP 800-34 — Contingency Planning Guide for Federal Information Systems.</w:t>
      </w:r>
    </w:p>
    <w:bookmarkEnd w:id="187"/>
    <w:bookmarkEnd w:id="188"/>
    <w:bookmarkStart w:id="197" w:name="Xe38111d3afac1d99c0027bb222d1af07ecb02f2"/>
    <w:p>
      <w:pPr>
        <w:pStyle w:val="Heading2"/>
      </w:pPr>
      <w:r>
        <w:t xml:space="preserve">Chapter 20 — Microsoft SFI (Secure Future Initiative) Alignment</w:t>
      </w:r>
    </w:p>
    <w:bookmarkStart w:id="189" w:name="intent-19"/>
    <w:p>
      <w:pPr>
        <w:pStyle w:val="Heading3"/>
      </w:pPr>
      <w:r>
        <w:t xml:space="preserve">Intent</w:t>
      </w:r>
    </w:p>
    <w:p>
      <w:pPr>
        <w:pStyle w:val="FirstParagraph"/>
      </w:pPr>
      <w:r>
        <w:t xml:space="preserve">The Microsoft Secure Future Initiative (SFI) articulates an engineering-wide approach to security organized around three pillars — Secure by Design, Secure by Default, and Secure Operations — and a set of engineering principles intended to make those pillars actionable: protect identities and secrets, protect tenants and isolate production systems, protect networks, protect engineering systems, monitor and detect threats, accelerate response and remediation. This chapter governs how the corporation aligns its engineering practice with the SFI principles and translates them into auditable controls that are consistent with this document.</w:t>
      </w:r>
    </w:p>
    <w:p>
      <w:pPr>
        <w:pStyle w:val="BodyText"/>
      </w:pPr>
      <w:r>
        <w:t xml:space="preserve">The chapter exists for two reasons. First, the corporation operates a substantial Microsoft estate and many of its customer-facing services depend on Microsoft platforms; aligning with SFI reduces friction at every integration point and gives the corporation a defensible posture when answering customer security questionnaires. Second, the SFI principles, while published by a single vendor, are an excellent forcing function — they crystallize industry consensus and translate it into checkpoints that engineering organizations of any provenance can adopt.</w:t>
      </w:r>
    </w:p>
    <w:p>
      <w:pPr>
        <w:pStyle w:val="BodyText"/>
      </w:pPr>
      <w:r>
        <w:t xml:space="preserve">This chapter does not duplicate the controls of earlier chapters; instead it maps each SFI principle to the chapters that enforce it and adds any controls that are SFI-specific and not already covered elsewhere.</w:t>
      </w:r>
    </w:p>
    <w:bookmarkEnd w:id="189"/>
    <w:bookmarkStart w:id="190" w:name="scope-20"/>
    <w:p>
      <w:pPr>
        <w:pStyle w:val="Heading3"/>
      </w:pPr>
      <w:r>
        <w:t xml:space="preserve">Scope</w:t>
      </w:r>
    </w:p>
    <w:p>
      <w:pPr>
        <w:pStyle w:val="Compact"/>
        <w:numPr>
          <w:ilvl w:val="0"/>
          <w:numId w:val="1118"/>
        </w:numPr>
      </w:pPr>
      <w:r>
        <w:t xml:space="preserve">All engineering systems operated by the corporation that interface with Microsoft platforms.</w:t>
      </w:r>
    </w:p>
    <w:p>
      <w:pPr>
        <w:pStyle w:val="Compact"/>
        <w:numPr>
          <w:ilvl w:val="0"/>
          <w:numId w:val="1118"/>
        </w:numPr>
      </w:pPr>
      <w:r>
        <w:t xml:space="preserve">All workloads hosted on Microsoft Azure.</w:t>
      </w:r>
    </w:p>
    <w:p>
      <w:pPr>
        <w:pStyle w:val="Compact"/>
        <w:numPr>
          <w:ilvl w:val="0"/>
          <w:numId w:val="1118"/>
        </w:numPr>
      </w:pPr>
      <w:r>
        <w:t xml:space="preserve">All software supply chain practices used to produce corporate artifacts (which the SFI engineering-systems principle directly addresses).</w:t>
      </w:r>
    </w:p>
    <w:p>
      <w:pPr>
        <w:pStyle w:val="Compact"/>
        <w:numPr>
          <w:ilvl w:val="0"/>
          <w:numId w:val="1118"/>
        </w:numPr>
      </w:pPr>
      <w:r>
        <w:t xml:space="preserve">All identity systems anchored in Microsoft Entra ID (corporate or customer-facing).</w:t>
      </w:r>
    </w:p>
    <w:bookmarkEnd w:id="190"/>
    <w:bookmarkStart w:id="191" w:name="mandatory-controls-19"/>
    <w:p>
      <w:pPr>
        <w:pStyle w:val="Heading3"/>
      </w:pPr>
      <w:r>
        <w:t xml:space="preserve">Mandatory Controls</w:t>
      </w:r>
    </w:p>
    <w:p>
      <w:pPr>
        <w:pStyle w:val="Compact"/>
        <w:numPr>
          <w:ilvl w:val="0"/>
          <w:numId w:val="1119"/>
        </w:numPr>
      </w:pPr>
      <w:r>
        <w:t xml:space="preserve">The corporation SHALL maintain a documented mapping from each SFI principle to the chapters and controls of this document that enforce it; the mapping SHALL be reviewed at least annually for completeness.</w:t>
      </w:r>
    </w:p>
    <w:p>
      <w:pPr>
        <w:pStyle w:val="Compact"/>
        <w:numPr>
          <w:ilvl w:val="0"/>
          <w:numId w:val="1119"/>
        </w:numPr>
      </w:pPr>
      <w:r>
        <w:t xml:space="preserve">Identity hardening (SFI Principle: Protect Identities and Secrets) SHALL be performed in accordance with Chapter 1 (Identity &amp; Access Management) and Chapter 3 (Secrets, Keys &amp; Certificates) — no long-lived credentials, phishing-resistant MFA, workload identity federation, and PIM-based just-in-time elevation.</w:t>
      </w:r>
    </w:p>
    <w:p>
      <w:pPr>
        <w:pStyle w:val="Compact"/>
        <w:numPr>
          <w:ilvl w:val="0"/>
          <w:numId w:val="1119"/>
        </w:numPr>
      </w:pPr>
      <w:r>
        <w:t xml:space="preserve">Tenant separation (SFI Principle: Protect Tenants and Isolate Production Systems) SHALL be enforced through the corporate landing-zone topology (Chapter 15): production isolated in dedicated subscriptions / accounts / projects, with cross-tenant access only via federated identity and explicit consent.</w:t>
      </w:r>
    </w:p>
    <w:p>
      <w:pPr>
        <w:pStyle w:val="Compact"/>
        <w:numPr>
          <w:ilvl w:val="0"/>
          <w:numId w:val="1119"/>
        </w:numPr>
      </w:pPr>
      <w:r>
        <w:t xml:space="preserve">Network protection (SFI Principle: Protect Networks) SHALL be implemented per Chapter 2 (Network Architecture &amp; Edge Protection) — no public direct endpoints, hub-and-spoke topology, mandatory WAF, inspected egress.</w:t>
      </w:r>
    </w:p>
    <w:p>
      <w:pPr>
        <w:pStyle w:val="Compact"/>
        <w:numPr>
          <w:ilvl w:val="0"/>
          <w:numId w:val="1119"/>
        </w:numPr>
      </w:pPr>
      <w:r>
        <w:t xml:space="preserve">Engineering-systems integrity (SFI Principle: Protect Engineering Systems) SHALL be enforced per Chapter 14 (CI/CD &amp; Software Supply Chain Security) — SLSA Level 3, signed provenance, SBOM, OIDC federation, branch protection, no human production push.</w:t>
      </w:r>
    </w:p>
    <w:p>
      <w:pPr>
        <w:pStyle w:val="Compact"/>
        <w:numPr>
          <w:ilvl w:val="0"/>
          <w:numId w:val="1119"/>
        </w:numPr>
      </w:pPr>
      <w:r>
        <w:t xml:space="preserve">Threat detection and monitoring (SFI Principle: Monitor and Detect Threats) SHALL be implemented per Chapter 9 (Logging) and Chapter 10 (Monitoring) — central SIEM, structured logs, audit-log immutability, SLO-based alerting.</w:t>
      </w:r>
    </w:p>
    <w:p>
      <w:pPr>
        <w:pStyle w:val="Compact"/>
        <w:numPr>
          <w:ilvl w:val="0"/>
          <w:numId w:val="1119"/>
        </w:numPr>
      </w:pPr>
      <w:r>
        <w:t xml:space="preserve">Response acceleration (SFI Principle: Accelerate Response and Remediation) SHALL be implemented per Chapter 19 (SRE &amp; Incident Response) — defined severity matrix, incident command, blameless post-incident review, action-item tracking.</w:t>
      </w:r>
    </w:p>
    <w:p>
      <w:pPr>
        <w:pStyle w:val="Compact"/>
        <w:numPr>
          <w:ilvl w:val="0"/>
          <w:numId w:val="1119"/>
        </w:numPr>
      </w:pPr>
      <w:r>
        <w:t xml:space="preserve">The corporation SHALL participate in Microsoft’s security disclosure and shared-signal channels where applicable, ingesting Microsoft security advisories into the corporate threat-intelligence platform.</w:t>
      </w:r>
    </w:p>
    <w:p>
      <w:pPr>
        <w:pStyle w:val="Compact"/>
        <w:numPr>
          <w:ilvl w:val="0"/>
          <w:numId w:val="1119"/>
        </w:numPr>
      </w:pPr>
      <w:r>
        <w:t xml:space="preserve">Secure-by-default settings (the SFI cross-cutting pillar) SHALL be the</w:t>
      </w:r>
      <w:r>
        <w:t xml:space="preserve"> </w:t>
      </w:r>
      <w:r>
        <w:rPr>
          <w:i/>
          <w:iCs/>
        </w:rPr>
        <w:t xml:space="preserve">as-deployed</w:t>
      </w:r>
      <w:r>
        <w:t xml:space="preserve"> </w:t>
      </w:r>
      <w:r>
        <w:t xml:space="preserve">state of every corporate landing zone; engineers SHOULD NOT have to take action to enable a baseline control — they SHOULD have to take action to</w:t>
      </w:r>
      <w:r>
        <w:t xml:space="preserve"> </w:t>
      </w:r>
      <w:r>
        <w:rPr>
          <w:i/>
          <w:iCs/>
        </w:rPr>
        <w:t xml:space="preserve">opt out of</w:t>
      </w:r>
      <w:r>
        <w:t xml:space="preserve"> </w:t>
      </w:r>
      <w:r>
        <w:t xml:space="preserve">a baseline control, and that opt-out SHALL flow through the exception process (Chapter 19).</w:t>
      </w:r>
    </w:p>
    <w:p>
      <w:pPr>
        <w:pStyle w:val="Compact"/>
        <w:numPr>
          <w:ilvl w:val="0"/>
          <w:numId w:val="1119"/>
        </w:numPr>
      </w:pPr>
      <w:r>
        <w:t xml:space="preserve">Secure-by-design review (the SFI cross-cutting pillar) SHALL be performed at architecture review time using the corporate threat-model template; designs SHALL articulate threats, mitigations, and residual risk explicitly.</w:t>
      </w:r>
    </w:p>
    <w:p>
      <w:pPr>
        <w:pStyle w:val="Compact"/>
        <w:numPr>
          <w:ilvl w:val="0"/>
          <w:numId w:val="1119"/>
        </w:numPr>
      </w:pPr>
      <w:r>
        <w:t xml:space="preserve">Continuous-validation (SFI emphasis on engineering rigor) SHALL be performed through automated compliance scanning of cloud configurations (Microsoft Defender for Cloud, AWS Security Hub, GCP Security Command Center).</w:t>
      </w:r>
    </w:p>
    <w:p>
      <w:pPr>
        <w:pStyle w:val="Compact"/>
        <w:numPr>
          <w:ilvl w:val="0"/>
          <w:numId w:val="1119"/>
        </w:numPr>
      </w:pPr>
      <w:r>
        <w:t xml:space="preserve">The corporation SHALL track its own progress against an internal SFI-aligned maturity model and SHALL report progress to executive leadership quarterly.</w:t>
      </w:r>
    </w:p>
    <w:p>
      <w:pPr>
        <w:pStyle w:val="Compact"/>
        <w:numPr>
          <w:ilvl w:val="0"/>
          <w:numId w:val="1119"/>
        </w:numPr>
      </w:pPr>
      <w:r>
        <w:t xml:space="preserve">Engineering teams SHALL receive annual security training that incorporates SFI-aligned concepts: threat modeling, secure coding, identity hygiene, supply-chain awareness.</w:t>
      </w:r>
    </w:p>
    <w:p>
      <w:pPr>
        <w:pStyle w:val="Compact"/>
        <w:numPr>
          <w:ilvl w:val="0"/>
          <w:numId w:val="1119"/>
        </w:numPr>
      </w:pPr>
      <w:r>
        <w:t xml:space="preserve">Vendor and partner integrations SHALL undergo SFI-aligned security review; vendors providing services that interface with Microsoft customer-data flows SHALL satisfy the corporate equivalent of Microsoft’s Supplier Security and Privacy Assurance program.</w:t>
      </w:r>
    </w:p>
    <w:p>
      <w:pPr>
        <w:pStyle w:val="Compact"/>
        <w:numPr>
          <w:ilvl w:val="0"/>
          <w:numId w:val="1119"/>
        </w:numPr>
      </w:pPr>
      <w:r>
        <w:t xml:space="preserve">The corporation SHALL maintain a security exception register that is auditable end-to-end (Chapter 19) so that SFI-aligned secure-by-default expectations can be reconciled against the universe of accepted deviations.</w:t>
      </w:r>
    </w:p>
    <w:bookmarkEnd w:id="191"/>
    <w:bookmarkStart w:id="192" w:name="patterns-recommended-19"/>
    <w:p>
      <w:pPr>
        <w:pStyle w:val="Heading3"/>
      </w:pPr>
      <w:r>
        <w:t xml:space="preserve">Patterns (Recommended)</w:t>
      </w:r>
    </w:p>
    <w:p>
      <w:pPr>
        <w:pStyle w:val="Compact"/>
        <w:numPr>
          <w:ilvl w:val="0"/>
          <w:numId w:val="1120"/>
        </w:numPr>
      </w:pPr>
      <w:r>
        <w:rPr>
          <w:b/>
          <w:bCs/>
        </w:rPr>
        <w:t xml:space="preserve">Single-tenant Entra ID for workforce, multi-tenant for customer-facing.</w:t>
      </w:r>
      <w:r>
        <w:t xml:space="preserve"> </w:t>
      </w:r>
      <w:r>
        <w:t xml:space="preserve">Per the Microsoft Learn Entra ID multi-tenant guidance, workforce identity SHOULD live in a corporate single tenant with strict Conditional Access; customer-facing workloads SHOULD use a separate Entra ID tenant or Entra External ID configuration so that workforce and customer trust boundaries are decoupled.</w:t>
      </w:r>
    </w:p>
    <w:p>
      <w:pPr>
        <w:pStyle w:val="Compact"/>
        <w:numPr>
          <w:ilvl w:val="0"/>
          <w:numId w:val="1120"/>
        </w:numPr>
      </w:pPr>
      <w:r>
        <w:rPr>
          <w:b/>
          <w:bCs/>
        </w:rPr>
        <w:t xml:space="preserve">Conditional Access as the default authorization gate.</w:t>
      </w:r>
      <w:r>
        <w:t xml:space="preserve"> </w:t>
      </w:r>
      <w:r>
        <w:t xml:space="preserve">Per the Microsoft Learn Conditional Access deployment guide, Conditional Access policies SHOULD enforce device compliance, risk-level evaluation, and session controls uniformly across all SaaS and corporate applications.</w:t>
      </w:r>
    </w:p>
    <w:p>
      <w:pPr>
        <w:pStyle w:val="Compact"/>
        <w:numPr>
          <w:ilvl w:val="0"/>
          <w:numId w:val="1120"/>
        </w:numPr>
      </w:pPr>
      <w:r>
        <w:rPr>
          <w:b/>
          <w:bCs/>
        </w:rPr>
        <w:t xml:space="preserve">Defender for Cloud as the corporate baseline scanner.</w:t>
      </w:r>
      <w:r>
        <w:t xml:space="preserve"> </w:t>
      </w:r>
      <w:r>
        <w:t xml:space="preserve">Per the Microsoft Learn Defender for Cloud overview, the corporate Azure estate SHOULD be continuously evaluated against the Microsoft Cloud Security Benchmark; findings SHOULD flow into the corporate vulnerability-management process.</w:t>
      </w:r>
    </w:p>
    <w:p>
      <w:pPr>
        <w:pStyle w:val="Compact"/>
        <w:numPr>
          <w:ilvl w:val="0"/>
          <w:numId w:val="1120"/>
        </w:numPr>
      </w:pPr>
      <w:r>
        <w:rPr>
          <w:b/>
          <w:bCs/>
        </w:rPr>
        <w:t xml:space="preserve">Secure-by-default landing zones.</w:t>
      </w:r>
      <w:r>
        <w:t xml:space="preserve"> </w:t>
      </w:r>
      <w:r>
        <w:t xml:space="preserve">Per the Microsoft Learn Azure landing zones documentation, new subscriptions SHOULD be provisioned through a landing-zone bootstrap that pre-applies the corporate baseline — secure-by-default in the literal sense.</w:t>
      </w:r>
    </w:p>
    <w:p>
      <w:pPr>
        <w:pStyle w:val="Compact"/>
        <w:numPr>
          <w:ilvl w:val="0"/>
          <w:numId w:val="1120"/>
        </w:numPr>
      </w:pPr>
      <w:r>
        <w:rPr>
          <w:b/>
          <w:bCs/>
        </w:rPr>
        <w:t xml:space="preserve">Active threat modeling at design time.</w:t>
      </w:r>
      <w:r>
        <w:t xml:space="preserve"> </w:t>
      </w:r>
      <w:r>
        <w:t xml:space="preserve">Per the Microsoft Learn threat modeling guidance and the SDL (Security Development Lifecycle), designs SHOULD be reviewed using STRIDE or an equivalent framework, and the threat model SHALL be a living artifact that travels with the system.</w:t>
      </w:r>
    </w:p>
    <w:p>
      <w:pPr>
        <w:pStyle w:val="Compact"/>
        <w:numPr>
          <w:ilvl w:val="0"/>
          <w:numId w:val="1120"/>
        </w:numPr>
      </w:pPr>
      <w:r>
        <w:rPr>
          <w:b/>
          <w:bCs/>
        </w:rPr>
        <w:t xml:space="preserve">Shared-signal incident communication.</w:t>
      </w:r>
      <w:r>
        <w:t xml:space="preserve"> </w:t>
      </w:r>
      <w:r>
        <w:t xml:space="preserve">Per the Microsoft Security Response Center disclosure channels, the corporation SHOULD monitor Microsoft security advisories and SHALL incorporate them into incident-triage workflows.</w:t>
      </w:r>
    </w:p>
    <w:bookmarkEnd w:id="192"/>
    <w:bookmarkStart w:id="193" w:name="anti-patterns-prohibited-19"/>
    <w:p>
      <w:pPr>
        <w:pStyle w:val="Heading3"/>
      </w:pPr>
      <w:r>
        <w:t xml:space="preserve">Anti-Patterns (Prohibited)</w:t>
      </w:r>
    </w:p>
    <w:p>
      <w:pPr>
        <w:pStyle w:val="Compact"/>
        <w:numPr>
          <w:ilvl w:val="0"/>
          <w:numId w:val="1121"/>
        </w:numPr>
      </w:pPr>
      <w:r>
        <w:rPr>
          <w:b/>
          <w:bCs/>
        </w:rPr>
        <w:t xml:space="preserve">MUST NOT</w:t>
      </w:r>
      <w:r>
        <w:t xml:space="preserve"> </w:t>
      </w:r>
      <w:r>
        <w:t xml:space="preserve">treat SFI alignment as a one-time project. SFI is a continuous engineering posture; declaring</w:t>
      </w:r>
      <w:r>
        <w:t xml:space="preserve"> </w:t>
      </w:r>
      <w:r>
        <w:t xml:space="preserve">“we are SFI-aligned”</w:t>
      </w:r>
      <w:r>
        <w:t xml:space="preserve"> </w:t>
      </w:r>
      <w:r>
        <w:t xml:space="preserve">and stopping is the canonical failure mode and SHALL NOT occur in the corporation.</w:t>
      </w:r>
    </w:p>
    <w:p>
      <w:pPr>
        <w:pStyle w:val="Compact"/>
        <w:numPr>
          <w:ilvl w:val="0"/>
          <w:numId w:val="1121"/>
        </w:numPr>
      </w:pPr>
      <w:r>
        <w:rPr>
          <w:b/>
          <w:bCs/>
        </w:rPr>
        <w:t xml:space="preserve">SHALL NOT</w:t>
      </w:r>
      <w:r>
        <w:t xml:space="preserve"> </w:t>
      </w:r>
      <w:r>
        <w:t xml:space="preserve">disable Microsoft Cloud Security Benchmark scanning on production subscriptions. Where a finding is judged not applicable, the finding SHALL be marked exempt with rationale, not suppressed.</w:t>
      </w:r>
    </w:p>
    <w:p>
      <w:pPr>
        <w:pStyle w:val="Compact"/>
        <w:numPr>
          <w:ilvl w:val="0"/>
          <w:numId w:val="1121"/>
        </w:numPr>
      </w:pPr>
      <w:r>
        <w:rPr>
          <w:b/>
          <w:bCs/>
        </w:rPr>
        <w:t xml:space="preserve">MUST NOT</w:t>
      </w:r>
      <w:r>
        <w:t xml:space="preserve"> </w:t>
      </w:r>
      <w:r>
        <w:t xml:space="preserve">allow secure-by-default settings to be silently weakened during routine engineering work. Weakening of a baseline control SHALL flow through the exception process.</w:t>
      </w:r>
    </w:p>
    <w:p>
      <w:pPr>
        <w:pStyle w:val="Compact"/>
        <w:numPr>
          <w:ilvl w:val="0"/>
          <w:numId w:val="1121"/>
        </w:numPr>
      </w:pPr>
      <w:r>
        <w:rPr>
          <w:b/>
          <w:bCs/>
        </w:rPr>
        <w:t xml:space="preserve">SHALL NOT</w:t>
      </w:r>
      <w:r>
        <w:t xml:space="preserve"> </w:t>
      </w:r>
      <w:r>
        <w:t xml:space="preserve">treat Conditional Access as solely an IT-administrative concern; engineering teams whose workloads consume Entra-issued tokens SHALL participate in Conditional Access design.</w:t>
      </w:r>
    </w:p>
    <w:p>
      <w:pPr>
        <w:pStyle w:val="Compact"/>
        <w:numPr>
          <w:ilvl w:val="0"/>
          <w:numId w:val="1121"/>
        </w:numPr>
      </w:pPr>
      <w:r>
        <w:rPr>
          <w:b/>
          <w:bCs/>
        </w:rPr>
        <w:t xml:space="preserve">MUST NOT</w:t>
      </w:r>
      <w:r>
        <w:t xml:space="preserve"> </w:t>
      </w:r>
      <w:r>
        <w:t xml:space="preserve">integrate a vendor whose security posture has not been reviewed against the corporate equivalent of SSPA. Vendor risk is a first-class concern of SFI alignment.</w:t>
      </w:r>
    </w:p>
    <w:p>
      <w:pPr>
        <w:pStyle w:val="Compact"/>
        <w:numPr>
          <w:ilvl w:val="0"/>
          <w:numId w:val="1121"/>
        </w:numPr>
      </w:pPr>
      <w:r>
        <w:rPr>
          <w:b/>
          <w:bCs/>
        </w:rPr>
        <w:t xml:space="preserve">SHALL NOT</w:t>
      </w:r>
      <w:r>
        <w:t xml:space="preserve"> </w:t>
      </w:r>
      <w:r>
        <w:t xml:space="preserve">allow customer-facing identity flows to share a tenant with workforce-administrative identities. The blast-radius isolation between customer and workforce identities is fundamental.</w:t>
      </w:r>
    </w:p>
    <w:bookmarkEnd w:id="193"/>
    <w:bookmarkStart w:id="194" w:name="evidence-audit-19"/>
    <w:p>
      <w:pPr>
        <w:pStyle w:val="Heading3"/>
      </w:pPr>
      <w:r>
        <w:t xml:space="preserve">Evidence &amp; Audit</w:t>
      </w:r>
    </w:p>
    <w:p>
      <w:pPr>
        <w:pStyle w:val="Compact"/>
        <w:numPr>
          <w:ilvl w:val="0"/>
          <w:numId w:val="1122"/>
        </w:numPr>
      </w:pPr>
      <w:r>
        <w:t xml:space="preserve">Annual SFI-alignment review by an internal security council, with a documented gap report and remediation roadmap.</w:t>
      </w:r>
    </w:p>
    <w:p>
      <w:pPr>
        <w:pStyle w:val="Compact"/>
        <w:numPr>
          <w:ilvl w:val="0"/>
          <w:numId w:val="1122"/>
        </w:numPr>
      </w:pPr>
      <w:r>
        <w:t xml:space="preserve">Quarterly Microsoft Cloud Security Benchmark compliance report for every production Azure subscription.</w:t>
      </w:r>
    </w:p>
    <w:p>
      <w:pPr>
        <w:pStyle w:val="Compact"/>
        <w:numPr>
          <w:ilvl w:val="0"/>
          <w:numId w:val="1122"/>
        </w:numPr>
      </w:pPr>
      <w:r>
        <w:t xml:space="preserve">Continuous monitoring of identity-hardening controls (PIM activation rates, MFA enforcement, Conditional Access coverage).</w:t>
      </w:r>
    </w:p>
    <w:p>
      <w:pPr>
        <w:pStyle w:val="Compact"/>
        <w:numPr>
          <w:ilvl w:val="0"/>
          <w:numId w:val="1122"/>
        </w:numPr>
      </w:pPr>
      <w:r>
        <w:t xml:space="preserve">Annual threat-modeling refresh for every tier-1 workload, with the threat model checked into the workload’s repository.</w:t>
      </w:r>
    </w:p>
    <w:p>
      <w:pPr>
        <w:pStyle w:val="Compact"/>
        <w:numPr>
          <w:ilvl w:val="0"/>
          <w:numId w:val="1122"/>
        </w:numPr>
      </w:pPr>
      <w:r>
        <w:t xml:space="preserve">Continuous monitoring of secure-by-default drift in landing zones; drift SHALL produce a remediation ticket.</w:t>
      </w:r>
    </w:p>
    <w:p>
      <w:pPr>
        <w:pStyle w:val="Compact"/>
        <w:numPr>
          <w:ilvl w:val="0"/>
          <w:numId w:val="1122"/>
        </w:numPr>
      </w:pPr>
      <w:r>
        <w:t xml:space="preserve">Vendor security review register, updated annually per vendor.</w:t>
      </w:r>
    </w:p>
    <w:bookmarkEnd w:id="194"/>
    <w:bookmarkStart w:id="195" w:name="exceptions-19"/>
    <w:p>
      <w:pPr>
        <w:pStyle w:val="Heading3"/>
      </w:pPr>
      <w:r>
        <w:t xml:space="preserve">Exceptions</w:t>
      </w:r>
    </w:p>
    <w:p>
      <w:pPr>
        <w:pStyle w:val="FirstParagraph"/>
      </w:pPr>
      <w:r>
        <w:t xml:space="preserve">Exceptions to the controls in this chapter SHALL be filed through the corporate exception process (Chapter 19); SFI-alignment gaps SHALL additionally be reported to the security council.</w:t>
      </w:r>
      <w:r>
        <w:t xml:space="preserve"> </w:t>
      </w:r>
      <w:r>
        <w:rPr>
          <w:b/>
          <w:bCs/>
        </w:rPr>
        <w:t xml:space="preserve">Exceptions SHALL be time-boxed to 90 days and require ARB approval.</w:t>
      </w:r>
    </w:p>
    <w:bookmarkEnd w:id="195"/>
    <w:bookmarkStart w:id="196" w:name="references-19"/>
    <w:p>
      <w:pPr>
        <w:pStyle w:val="Heading3"/>
      </w:pPr>
      <w:r>
        <w:t xml:space="preserve">References</w:t>
      </w:r>
    </w:p>
    <w:p>
      <w:pPr>
        <w:pStyle w:val="Compact"/>
        <w:numPr>
          <w:ilvl w:val="0"/>
          <w:numId w:val="1123"/>
        </w:numPr>
      </w:pPr>
      <w:r>
        <w:t xml:space="preserve">Microsoft Secure Future Initiative — public overview: https://www.microsoft.com/en-us/trust-center/security/secure-future-initiative</w:t>
      </w:r>
    </w:p>
    <w:p>
      <w:pPr>
        <w:pStyle w:val="Compact"/>
        <w:numPr>
          <w:ilvl w:val="0"/>
          <w:numId w:val="1123"/>
        </w:numPr>
      </w:pPr>
      <w:r>
        <w:t xml:space="preserve">Microsoft Security Blog — Secure Future Initiative announcements: https://www.microsoft.com/en-us/security/blog/topic/secure-future-initiative/</w:t>
      </w:r>
    </w:p>
    <w:p>
      <w:pPr>
        <w:pStyle w:val="Compact"/>
        <w:numPr>
          <w:ilvl w:val="0"/>
          <w:numId w:val="1123"/>
        </w:numPr>
      </w:pPr>
      <w:r>
        <w:t xml:space="preserve">Microsoft Learn — Microsoft Cloud Security Benchmark: https://learn.microsoft.com/en-us/security/benchmark/azure/overview</w:t>
      </w:r>
    </w:p>
    <w:p>
      <w:pPr>
        <w:pStyle w:val="Compact"/>
        <w:numPr>
          <w:ilvl w:val="0"/>
          <w:numId w:val="1123"/>
        </w:numPr>
      </w:pPr>
      <w:r>
        <w:t xml:space="preserve">Microsoft Learn — Defender for Cloud overview: https://learn.microsoft.com/en-us/azure/defender-for-cloud/defender-for-cloud-introduction</w:t>
      </w:r>
    </w:p>
    <w:p>
      <w:pPr>
        <w:pStyle w:val="Compact"/>
        <w:numPr>
          <w:ilvl w:val="0"/>
          <w:numId w:val="1123"/>
        </w:numPr>
      </w:pPr>
      <w:r>
        <w:t xml:space="preserve">Microsoft Learn — Conditional Access overview: https://learn.microsoft.com/en-us/entra/identity/conditional-access/overview</w:t>
      </w:r>
    </w:p>
    <w:p>
      <w:pPr>
        <w:pStyle w:val="Compact"/>
        <w:numPr>
          <w:ilvl w:val="0"/>
          <w:numId w:val="1123"/>
        </w:numPr>
      </w:pPr>
      <w:r>
        <w:t xml:space="preserve">Microsoft Learn — Microsoft Entra multi-tenant: https://learn.microsoft.com/en-us/entra/identity-platform/single-and-multi-tenant-apps</w:t>
      </w:r>
    </w:p>
    <w:p>
      <w:pPr>
        <w:pStyle w:val="Compact"/>
        <w:numPr>
          <w:ilvl w:val="0"/>
          <w:numId w:val="1123"/>
        </w:numPr>
      </w:pPr>
      <w:r>
        <w:t xml:space="preserve">Microsoft Learn — Security Development Lifecycle (SDL): https://www.microsoft.com/en-us/securityengineering/sdl</w:t>
      </w:r>
    </w:p>
    <w:p>
      <w:pPr>
        <w:pStyle w:val="Compact"/>
        <w:numPr>
          <w:ilvl w:val="0"/>
          <w:numId w:val="1123"/>
        </w:numPr>
      </w:pPr>
      <w:r>
        <w:t xml:space="preserve">Microsoft Learn — Azure landing zones: https://learn.microsoft.com/en-us/azure/cloud-adoption-framework/ready/landing-zone/</w:t>
      </w:r>
    </w:p>
    <w:p>
      <w:pPr>
        <w:pStyle w:val="Compact"/>
        <w:numPr>
          <w:ilvl w:val="0"/>
          <w:numId w:val="1123"/>
        </w:numPr>
      </w:pPr>
      <w:r>
        <w:t xml:space="preserve">Microsoft Security Response Center: https://www.microsoft.com/en-us/msrc</w:t>
      </w:r>
    </w:p>
    <w:p>
      <w:pPr>
        <w:pStyle w:val="Compact"/>
        <w:numPr>
          <w:ilvl w:val="0"/>
          <w:numId w:val="1123"/>
        </w:numPr>
      </w:pPr>
      <w:r>
        <w:t xml:space="preserve">Microsoft Supplier Security and Privacy Assurance (SSPA) program: https://www.microsoft.com/en-us/procurement/sspa.aspx</w:t>
      </w:r>
    </w:p>
    <w:bookmarkEnd w:id="196"/>
    <w:bookmarkEnd w:id="197"/>
    <w:bookmarkStart w:id="213" w:name="appendix-a-consolidated-control-index"/>
    <w:p>
      <w:pPr>
        <w:pStyle w:val="Heading2"/>
      </w:pPr>
      <w:r>
        <w:t xml:space="preserve">Appendix A — Consolidated Control Index</w:t>
      </w:r>
    </w:p>
    <w:p>
      <w:pPr>
        <w:pStyle w:val="FirstParagraph"/>
      </w:pPr>
      <w:r>
        <w:t xml:space="preserve">This appendix provides a single-table view of every mandatory control in this document, suitable for direct ingestion into the corporate compliance-management platform and for use as a checklist during Architecture Review Board engagements. Controls are identified by chapter and ordinal within the chapter (for example,</w:t>
      </w:r>
      <w:r>
        <w:t xml:space="preserve"> </w:t>
      </w:r>
      <w:r>
        <w:rPr>
          <w:rStyle w:val="VerbatimChar"/>
        </w:rPr>
        <w:t xml:space="preserve">Ch01-C03</w:t>
      </w:r>
      <w:r>
        <w:t xml:space="preserve"> </w:t>
      </w:r>
      <w:r>
        <w:t xml:space="preserve">denotes Chapter 1, Mandatory Control 3). Each row describes the control’s enforcement modality (Design Time, Build Time, Deploy Time, Run Time, or Audit), the cloud(s) to which the control applies, the evidence artifact expected at audit, and the chapter section that contains the full normative text.</w:t>
      </w:r>
    </w:p>
    <w:p>
      <w:pPr>
        <w:pStyle w:val="BodyText"/>
      </w:pPr>
      <w:r>
        <w:t xml:space="preserve">The appendix is normative: the controls it summarizes carry the same SHALL / MUST weight as in the chapters of origin. Where this appendix is silent and the chapter is not, the chapter prevails.</w:t>
      </w:r>
    </w:p>
    <w:bookmarkStart w:id="198" w:name="enforcement-modality-definitions"/>
    <w:p>
      <w:pPr>
        <w:pStyle w:val="Heading3"/>
      </w:pPr>
      <w:r>
        <w:t xml:space="preserve">Enforcement Modality Definitions</w:t>
      </w:r>
    </w:p>
    <w:p>
      <w:pPr>
        <w:pStyle w:val="Compact"/>
        <w:numPr>
          <w:ilvl w:val="0"/>
          <w:numId w:val="1124"/>
        </w:numPr>
      </w:pPr>
      <w:r>
        <w:rPr>
          <w:b/>
          <w:bCs/>
        </w:rPr>
        <w:t xml:space="preserve">Design Time (DT)</w:t>
      </w:r>
      <w:r>
        <w:t xml:space="preserve"> </w:t>
      </w:r>
      <w:r>
        <w:t xml:space="preserve">— verified at architecture review or in design documents prior to first deployment.</w:t>
      </w:r>
    </w:p>
    <w:p>
      <w:pPr>
        <w:pStyle w:val="Compact"/>
        <w:numPr>
          <w:ilvl w:val="0"/>
          <w:numId w:val="1124"/>
        </w:numPr>
      </w:pPr>
      <w:r>
        <w:rPr>
          <w:b/>
          <w:bCs/>
        </w:rPr>
        <w:t xml:space="preserve">Build Time (BT)</w:t>
      </w:r>
      <w:r>
        <w:t xml:space="preserve"> </w:t>
      </w:r>
      <w:r>
        <w:t xml:space="preserve">— verified in continuous integration: pre-commit hook, pull-request status check, build-system step.</w:t>
      </w:r>
    </w:p>
    <w:p>
      <w:pPr>
        <w:pStyle w:val="Compact"/>
        <w:numPr>
          <w:ilvl w:val="0"/>
          <w:numId w:val="1124"/>
        </w:numPr>
      </w:pPr>
      <w:r>
        <w:rPr>
          <w:b/>
          <w:bCs/>
        </w:rPr>
        <w:t xml:space="preserve">Deploy Time (DP)</w:t>
      </w:r>
      <w:r>
        <w:t xml:space="preserve"> </w:t>
      </w:r>
      <w:r>
        <w:t xml:space="preserve">— verified at deployment: pipeline gate, admission controller, organization-policy assertion.</w:t>
      </w:r>
    </w:p>
    <w:p>
      <w:pPr>
        <w:pStyle w:val="Compact"/>
        <w:numPr>
          <w:ilvl w:val="0"/>
          <w:numId w:val="1124"/>
        </w:numPr>
      </w:pPr>
      <w:r>
        <w:rPr>
          <w:b/>
          <w:bCs/>
        </w:rPr>
        <w:t xml:space="preserve">Run Time (RT)</w:t>
      </w:r>
      <w:r>
        <w:t xml:space="preserve"> </w:t>
      </w:r>
      <w:r>
        <w:t xml:space="preserve">— verified continuously while the workload is in production: configuration scanning, behavior monitoring, alerting.</w:t>
      </w:r>
    </w:p>
    <w:p>
      <w:pPr>
        <w:pStyle w:val="Compact"/>
        <w:numPr>
          <w:ilvl w:val="0"/>
          <w:numId w:val="1124"/>
        </w:numPr>
      </w:pPr>
      <w:r>
        <w:rPr>
          <w:b/>
          <w:bCs/>
        </w:rPr>
        <w:t xml:space="preserve">Audit (AU)</w:t>
      </w:r>
      <w:r>
        <w:t xml:space="preserve"> </w:t>
      </w:r>
      <w:r>
        <w:t xml:space="preserve">— verified periodically by an audit process: quarterly review, annual attestation, external assessment.</w:t>
      </w:r>
    </w:p>
    <w:bookmarkEnd w:id="198"/>
    <w:bookmarkStart w:id="199" w:name="cross-cloud-mapping-convention"/>
    <w:p>
      <w:pPr>
        <w:pStyle w:val="Heading3"/>
      </w:pPr>
      <w:r>
        <w:t xml:space="preserve">Cross-Cloud Mapping Convention</w:t>
      </w:r>
    </w:p>
    <w:p>
      <w:pPr>
        <w:pStyle w:val="FirstParagraph"/>
      </w:pPr>
      <w:r>
        <w:t xml:space="preserve">For each control, the table indicates whether the control is implemented natively on Azure (A), AWS (W), GCP (G), or all three (A/W/G). Some controls have only a partial implementation on a particular cloud; in those cases the entry notes the gap and the chapter discusses the compensating practice.</w:t>
      </w:r>
    </w:p>
    <w:bookmarkEnd w:id="199"/>
    <w:bookmarkStart w:id="200" w:name="Xb889759c5aded2038c7c61afa0c48e3f0751fc8"/>
    <w:p>
      <w:pPr>
        <w:pStyle w:val="Heading3"/>
      </w:pPr>
      <w:r>
        <w:t xml:space="preserve">Control Index — Identity and Network (Chapters 1–2)</w:t>
      </w:r>
    </w:p>
    <w:p>
      <w:pPr>
        <w:pStyle w:val="FirstParagraph"/>
      </w:pPr>
      <w:r>
        <w:t xml:space="preserve">The Identity and Network chapters carry the largest number of controls because together they form the corporate trust substrate. The high concentration of controls in these chapters is intentional: a defect here has wide blast radius, and the design-review and run-time verification effort is correspondingly high. The corporate compliance team SHALL review the chapter-1 and chapter-2 controls at every quarterly ARB session and SHALL produce a status dashboard available to all engineering leads.</w:t>
      </w:r>
    </w:p>
    <w:p>
      <w:pPr>
        <w:pStyle w:val="BodyText"/>
      </w:pPr>
      <w:r>
        <w:t xml:space="preserve">Identity controls span the lifecycle from provisioning (federated identity issuance, conditional access policy attachment) through usage (PIM activation, MFA challenge, sign-in risk evaluation) through deprovisioning (joiner-mover-leaver coordination, orphaned-principal cleanup). Network controls span topology (hub-and-spoke design), ingress (WAF, edge termination), east-west (private link, network policy), and egress (firewall, FQDN allow-list, inspection).</w:t>
      </w:r>
    </w:p>
    <w:bookmarkEnd w:id="200"/>
    <w:bookmarkStart w:id="201" w:name="Xa74d4f946f5db09a57f6e9ccd39965fdb21f7e4"/>
    <w:p>
      <w:pPr>
        <w:pStyle w:val="Heading3"/>
      </w:pPr>
      <w:r>
        <w:t xml:space="preserve">Control Index — Data, Secrets, and Containerization (Chapters 3–5)</w:t>
      </w:r>
    </w:p>
    <w:p>
      <w:pPr>
        <w:pStyle w:val="FirstParagraph"/>
      </w:pPr>
      <w:r>
        <w:t xml:space="preserve">These three chapters together define how data flows from rest into use and back, how the cryptographic material protecting that data is managed, and how the executable artifacts that process the data are constructed. They are tightly coupled: a defect in any one of them undermines the others. The chapter-3 controls on key custody, the chapter-4 controls on encryption-at-rest with customer-managed keys, and the chapter-5 controls on minimal-image construction and SBOM generation form a continuous chain of integrity from build artifact through deployed workload to encrypted persisted state.</w:t>
      </w:r>
    </w:p>
    <w:bookmarkEnd w:id="201"/>
    <w:bookmarkStart w:id="202" w:name="Xbdd21c7b89022536f91dab554d807e714da1a46"/>
    <w:p>
      <w:pPr>
        <w:pStyle w:val="Heading3"/>
      </w:pPr>
      <w:r>
        <w:t xml:space="preserve">Control Index — Kubernetes, Compute, Storage (Chapters 6–8)</w:t>
      </w:r>
    </w:p>
    <w:p>
      <w:pPr>
        <w:pStyle w:val="FirstParagraph"/>
      </w:pPr>
      <w:r>
        <w:t xml:space="preserve">Chapter 6 controls focus on the cluster substrate and admission discipline. Chapter 7 controls codify the managed-first principle and the cross-paradigm consistency requirements. Chapter 8 controls codify the</w:t>
      </w:r>
      <w:r>
        <w:t xml:space="preserve"> </w:t>
      </w:r>
      <w:r>
        <w:t xml:space="preserve">“managed database, private endpoint, encrypted with CMK, regularly backed up and restore-tested”</w:t>
      </w:r>
      <w:r>
        <w:t xml:space="preserve"> </w:t>
      </w:r>
      <w:r>
        <w:t xml:space="preserve">pattern across the relational, key-value, document, and object storage paradigms.</w:t>
      </w:r>
    </w:p>
    <w:bookmarkEnd w:id="202"/>
    <w:bookmarkStart w:id="203" w:name="control-index-observability-chapters-911"/>
    <w:p>
      <w:pPr>
        <w:pStyle w:val="Heading3"/>
      </w:pPr>
      <w:r>
        <w:t xml:space="preserve">Control Index — Observability (Chapters 9–11)</w:t>
      </w:r>
    </w:p>
    <w:p>
      <w:pPr>
        <w:pStyle w:val="FirstParagraph"/>
      </w:pPr>
      <w:r>
        <w:t xml:space="preserve">Logging, monitoring, and tracing are sister disciplines. The chapter-9 controls ensure that the immutable audit trail exists; the chapter-10 controls ensure that the right humans receive the right signal at the right time; the chapter-11 controls ensure that the cross-service request flows can be reconstructed. Compliance with chapter-11 (OpenTelemetry instrumentation, W3C trace-context propagation) is a precondition for the most useful chapter-9 query patterns and the most useful chapter-10 dashboards.</w:t>
      </w:r>
    </w:p>
    <w:bookmarkEnd w:id="203"/>
    <w:bookmarkStart w:id="204" w:name="X56f4736d94b58a1ebec20432cd2c619fee5b68b"/>
    <w:p>
      <w:pPr>
        <w:pStyle w:val="Heading3"/>
      </w:pPr>
      <w:r>
        <w:t xml:space="preserve">Control Index — Application and Pipeline (Chapters 12–14)</w:t>
      </w:r>
    </w:p>
    <w:p>
      <w:pPr>
        <w:pStyle w:val="FirstParagraph"/>
      </w:pPr>
      <w:r>
        <w:t xml:space="preserve">Chapter 12 controls codify the error-handling and idempotency contracts. Chapter 13 controls codify the timeout / retry / circuit-breaker discipline. Chapter 14 controls codify the supply-chain integrity discipline. These three chapters together define the corporate posture against a wide range of operational and adversarial failure modes: cascading failure (chapter 13), debug-information leakage (chapter 12), and supply-chain compromise (chapter 14).</w:t>
      </w:r>
    </w:p>
    <w:bookmarkEnd w:id="204"/>
    <w:bookmarkStart w:id="205" w:name="X5a88c15746c5dbafc0639c8a3e5fa39236c670c"/>
    <w:p>
      <w:pPr>
        <w:pStyle w:val="Heading3"/>
      </w:pPr>
      <w:r>
        <w:t xml:space="preserve">Control Index — Platform Discipline (Chapters 15–17)</w:t>
      </w:r>
    </w:p>
    <w:p>
      <w:pPr>
        <w:pStyle w:val="FirstParagraph"/>
      </w:pPr>
      <w:r>
        <w:t xml:space="preserve">Infrastructure-as-Code, service-to-service communication, and FinOps controls together define how the corporate platform is operated. The chapter-15 controls eliminate console drift; the chapter-16 controls codify how services discover, authenticate, and contract with each other; the chapter-17 controls make cost a first-class engineering property.</w:t>
      </w:r>
    </w:p>
    <w:bookmarkEnd w:id="205"/>
    <w:bookmarkStart w:id="206" w:name="Xe951b284a4371f5641b6073e7185c433747a203"/>
    <w:p>
      <w:pPr>
        <w:pStyle w:val="Heading3"/>
      </w:pPr>
      <w:r>
        <w:t xml:space="preserve">Control Index — Privacy and Operations (Chapters 18–19)</w:t>
      </w:r>
    </w:p>
    <w:p>
      <w:pPr>
        <w:pStyle w:val="FirstParagraph"/>
      </w:pPr>
      <w:r>
        <w:t xml:space="preserve">Chapter 18 controls translate the corporation’s privacy and data-residency obligations into technical requirements. Chapter 19 controls codify how the corporation operates production: on-call discipline, severity classification, post-incident review, disaster-recovery testing, change management.</w:t>
      </w:r>
    </w:p>
    <w:bookmarkEnd w:id="206"/>
    <w:bookmarkStart w:id="207" w:name="X7cac6407cb6715bd35175233bff9ee9e5b74c4b"/>
    <w:p>
      <w:pPr>
        <w:pStyle w:val="Heading3"/>
      </w:pPr>
      <w:r>
        <w:t xml:space="preserve">Control Index — Strategic Alignment (Chapter 20)</w:t>
      </w:r>
    </w:p>
    <w:p>
      <w:pPr>
        <w:pStyle w:val="FirstParagraph"/>
      </w:pPr>
      <w:r>
        <w:t xml:space="preserve">Chapter 20 controls anchor the corporate practice to a published industry framework (Microsoft SFI) without duplicating earlier controls; the chapter focuses on the meta-controls (mapping, training, vendor review, secure-by-default landing zones, threat modeling).</w:t>
      </w:r>
    </w:p>
    <w:bookmarkEnd w:id="207"/>
    <w:bookmarkStart w:id="208" w:name="audit-evidence-catalog"/>
    <w:p>
      <w:pPr>
        <w:pStyle w:val="Heading3"/>
      </w:pPr>
      <w:r>
        <w:t xml:space="preserve">Audit Evidence Catalog</w:t>
      </w:r>
    </w:p>
    <w:p>
      <w:pPr>
        <w:pStyle w:val="FirstParagraph"/>
      </w:pPr>
      <w:r>
        <w:t xml:space="preserve">Every mandatory control SHALL be discoverable in the corporate evidence catalog. The catalog SHALL record, per control, the artifact type (configuration export, log query result, IaC source, signed attestation), the responsible team, the production frequency, the storage location, and the retention period. The catalog SHALL be queryable by auditors and SHALL serve as the corpus from which compliance reports are produced.</w:t>
      </w:r>
    </w:p>
    <w:bookmarkEnd w:id="208"/>
    <w:bookmarkStart w:id="209" w:name="control-adoption-roadmap"/>
    <w:p>
      <w:pPr>
        <w:pStyle w:val="Heading3"/>
      </w:pPr>
      <w:r>
        <w:t xml:space="preserve">Control Adoption Roadmap</w:t>
      </w:r>
    </w:p>
    <w:p>
      <w:pPr>
        <w:pStyle w:val="FirstParagraph"/>
      </w:pPr>
      <w:r>
        <w:t xml:space="preserve">New controls SHALL be introduced through a documented adoption roadmap with an effective date, a measurement plan, and an exception window for in-flight workloads. The roadmap SHALL be communicated through the engineering all-hands cadence at least sixty (60) days prior to the effective date. Controls that materially alter run-time behavior (e.g., new admission-controller rules in Kubernetes) SHALL be deployed in audit-only mode for a minimum of fourteen (14) days before transitioning to enforce mode.</w:t>
      </w:r>
    </w:p>
    <w:bookmarkEnd w:id="209"/>
    <w:bookmarkStart w:id="210" w:name="control-sunset-process"/>
    <w:p>
      <w:pPr>
        <w:pStyle w:val="Heading3"/>
      </w:pPr>
      <w:r>
        <w:t xml:space="preserve">Control Sunset Process</w:t>
      </w:r>
    </w:p>
    <w:p>
      <w:pPr>
        <w:pStyle w:val="FirstParagraph"/>
      </w:pPr>
      <w:r>
        <w:t xml:space="preserve">A control SHALL be retired only by the ARB and only when the underlying risk no longer exists or is addressed by a superseding control. The retirement SHALL be communicated in the same channels as adoption and SHALL specify the date after which compliance reports will cease to track the control. Historical evidence pertaining to retired controls SHALL be retained for the same period as the data the controls protected.</w:t>
      </w:r>
    </w:p>
    <w:bookmarkEnd w:id="210"/>
    <w:bookmarkStart w:id="211" w:name="reference-sample-control-identifiers"/>
    <w:p>
      <w:pPr>
        <w:pStyle w:val="Heading3"/>
      </w:pPr>
      <w:r>
        <w:t xml:space="preserve">Reference — Sample Control Identifiers</w:t>
      </w:r>
    </w:p>
    <w:p>
      <w:pPr>
        <w:pStyle w:val="FirstParagraph"/>
      </w:pPr>
      <w:r>
        <w:t xml:space="preserve">For illustration, the following sample identifiers exemplify the cross-reference convention used throughout this document:</w:t>
      </w:r>
    </w:p>
    <w:p>
      <w:pPr>
        <w:pStyle w:val="Compact"/>
        <w:numPr>
          <w:ilvl w:val="0"/>
          <w:numId w:val="1125"/>
        </w:numPr>
      </w:pPr>
      <w:r>
        <w:rPr>
          <w:rStyle w:val="VerbatimChar"/>
        </w:rPr>
        <w:t xml:space="preserve">Ch01-C02</w:t>
      </w:r>
      <w:r>
        <w:t xml:space="preserve"> </w:t>
      </w:r>
      <w:r>
        <w:t xml:space="preserve">— Phishing-resistant MFA enforced on every interactive sign-in.</w:t>
      </w:r>
    </w:p>
    <w:p>
      <w:pPr>
        <w:pStyle w:val="Compact"/>
        <w:numPr>
          <w:ilvl w:val="0"/>
          <w:numId w:val="1125"/>
        </w:numPr>
      </w:pPr>
      <w:r>
        <w:rPr>
          <w:rStyle w:val="VerbatimChar"/>
        </w:rPr>
        <w:t xml:space="preserve">Ch02-C01</w:t>
      </w:r>
      <w:r>
        <w:t xml:space="preserve"> </w:t>
      </w:r>
      <w:r>
        <w:t xml:space="preserve">— All public ingress traverses a managed WAF in prevention mode.</w:t>
      </w:r>
    </w:p>
    <w:p>
      <w:pPr>
        <w:pStyle w:val="Compact"/>
        <w:numPr>
          <w:ilvl w:val="0"/>
          <w:numId w:val="1125"/>
        </w:numPr>
      </w:pPr>
      <w:r>
        <w:rPr>
          <w:rStyle w:val="VerbatimChar"/>
        </w:rPr>
        <w:t xml:space="preserve">Ch03-C04</w:t>
      </w:r>
      <w:r>
        <w:t xml:space="preserve"> </w:t>
      </w:r>
      <w:r>
        <w:t xml:space="preserve">— CMK required for all data classified Internal or higher.</w:t>
      </w:r>
    </w:p>
    <w:p>
      <w:pPr>
        <w:pStyle w:val="Compact"/>
        <w:numPr>
          <w:ilvl w:val="0"/>
          <w:numId w:val="1125"/>
        </w:numPr>
      </w:pPr>
      <w:r>
        <w:rPr>
          <w:rStyle w:val="VerbatimChar"/>
        </w:rPr>
        <w:t xml:space="preserve">Ch04-C05</w:t>
      </w:r>
      <w:r>
        <w:t xml:space="preserve"> </w:t>
      </w:r>
      <w:r>
        <w:t xml:space="preserve">— East-west service traffic encrypted with mTLS.</w:t>
      </w:r>
    </w:p>
    <w:p>
      <w:pPr>
        <w:pStyle w:val="Compact"/>
        <w:numPr>
          <w:ilvl w:val="0"/>
          <w:numId w:val="1125"/>
        </w:numPr>
      </w:pPr>
      <w:r>
        <w:rPr>
          <w:rStyle w:val="VerbatimChar"/>
        </w:rPr>
        <w:t xml:space="preserve">Ch05-C02</w:t>
      </w:r>
      <w:r>
        <w:t xml:space="preserve"> </w:t>
      </w:r>
      <w:r>
        <w:t xml:space="preserve">—</w:t>
      </w:r>
      <w:r>
        <w:t xml:space="preserve"> </w:t>
      </w:r>
      <w:r>
        <w:rPr>
          <w:rStyle w:val="VerbatimChar"/>
        </w:rPr>
        <w:t xml:space="preserve">:latest</w:t>
      </w:r>
      <w:r>
        <w:t xml:space="preserve"> </w:t>
      </w:r>
      <w:r>
        <w:t xml:space="preserve">tag prohibited in any environment.</w:t>
      </w:r>
    </w:p>
    <w:p>
      <w:pPr>
        <w:pStyle w:val="Compact"/>
        <w:numPr>
          <w:ilvl w:val="0"/>
          <w:numId w:val="1125"/>
        </w:numPr>
      </w:pPr>
      <w:r>
        <w:rPr>
          <w:rStyle w:val="VerbatimChar"/>
        </w:rPr>
        <w:t xml:space="preserve">Ch06-C02</w:t>
      </w:r>
      <w:r>
        <w:t xml:space="preserve"> </w:t>
      </w:r>
      <w:r>
        <w:t xml:space="preserve">— Pod Security Standard</w:t>
      </w:r>
      <w:r>
        <w:t xml:space="preserve"> </w:t>
      </w:r>
      <w:r>
        <w:rPr>
          <w:rStyle w:val="VerbatimChar"/>
        </w:rPr>
        <w:t xml:space="preserve">restricted</w:t>
      </w:r>
      <w:r>
        <w:t xml:space="preserve"> </w:t>
      </w:r>
      <w:r>
        <w:t xml:space="preserve">enforced in production namespaces.</w:t>
      </w:r>
    </w:p>
    <w:p>
      <w:pPr>
        <w:pStyle w:val="Compact"/>
        <w:numPr>
          <w:ilvl w:val="0"/>
          <w:numId w:val="1125"/>
        </w:numPr>
      </w:pPr>
      <w:r>
        <w:rPr>
          <w:rStyle w:val="VerbatimChar"/>
        </w:rPr>
        <w:t xml:space="preserve">Ch09-C06</w:t>
      </w:r>
      <w:r>
        <w:t xml:space="preserve"> </w:t>
      </w:r>
      <w:r>
        <w:t xml:space="preserve">— Control-plane logs exported to tamper-evident archive for seven (7) years.</w:t>
      </w:r>
    </w:p>
    <w:p>
      <w:pPr>
        <w:pStyle w:val="Compact"/>
        <w:numPr>
          <w:ilvl w:val="0"/>
          <w:numId w:val="1125"/>
        </w:numPr>
      </w:pPr>
      <w:r>
        <w:rPr>
          <w:rStyle w:val="VerbatimChar"/>
        </w:rPr>
        <w:t xml:space="preserve">Ch11-C02</w:t>
      </w:r>
      <w:r>
        <w:t xml:space="preserve"> </w:t>
      </w:r>
      <w:r>
        <w:t xml:space="preserve">— W3C Trace Context propagation mandatory.</w:t>
      </w:r>
    </w:p>
    <w:p>
      <w:pPr>
        <w:pStyle w:val="Compact"/>
        <w:numPr>
          <w:ilvl w:val="0"/>
          <w:numId w:val="1125"/>
        </w:numPr>
      </w:pPr>
      <w:r>
        <w:rPr>
          <w:rStyle w:val="VerbatimChar"/>
        </w:rPr>
        <w:t xml:space="preserve">Ch14-C10</w:t>
      </w:r>
      <w:r>
        <w:t xml:space="preserve"> </w:t>
      </w:r>
      <w:r>
        <w:t xml:space="preserve">— No human pushes to production; all production deployment via pipeline.</w:t>
      </w:r>
    </w:p>
    <w:p>
      <w:pPr>
        <w:pStyle w:val="Compact"/>
        <w:numPr>
          <w:ilvl w:val="0"/>
          <w:numId w:val="1125"/>
        </w:numPr>
      </w:pPr>
      <w:r>
        <w:rPr>
          <w:rStyle w:val="VerbatimChar"/>
        </w:rPr>
        <w:t xml:space="preserve">Ch18-C03</w:t>
      </w:r>
      <w:r>
        <w:t xml:space="preserve"> </w:t>
      </w:r>
      <w:r>
        <w:t xml:space="preserve">— Data residency enforced at the cloud-region level.</w:t>
      </w:r>
    </w:p>
    <w:bookmarkEnd w:id="211"/>
    <w:bookmarkStart w:id="212" w:name="continuous-improvement"/>
    <w:p>
      <w:pPr>
        <w:pStyle w:val="Heading3"/>
      </w:pPr>
      <w:r>
        <w:t xml:space="preserve">Continuous Improvement</w:t>
      </w:r>
    </w:p>
    <w:p>
      <w:pPr>
        <w:pStyle w:val="FirstParagraph"/>
      </w:pPr>
      <w:r>
        <w:t xml:space="preserve">This appendix SHALL evolve alongside the chapters; revisions to chapters SHALL trigger corresponding revisions to the index. The corporate compliance team SHALL be the editorial owner of this appendix and SHALL be consulted whenever a chapter is materially amended.</w:t>
      </w:r>
    </w:p>
    <w:bookmarkEnd w:id="212"/>
    <w:bookmarkEnd w:id="213"/>
    <w:bookmarkStart w:id="219" w:name="appendix-b-reference-architectures"/>
    <w:p>
      <w:pPr>
        <w:pStyle w:val="Heading2"/>
      </w:pPr>
      <w:r>
        <w:t xml:space="preserve">Appendix B — Reference Architectures</w:t>
      </w:r>
    </w:p>
    <w:p>
      <w:pPr>
        <w:pStyle w:val="FirstParagraph"/>
      </w:pPr>
      <w:r>
        <w:t xml:space="preserve">This appendix provides three canonical reference architectures — one per primary cloud — for the corporation’s most common workload class: a web-facing transactional application with a relational primary store, asynchronous events to downstream consumers, and authenticated user access. The reference architectures are normative starting points: a new workload of this class SHALL begin from the appropriate reference architecture and SHALL document any deviation in its architecture decision record. The reference architectures embody every chapter’s mandatory controls; deviations require explicit justification.</w:t>
      </w:r>
    </w:p>
    <w:p>
      <w:pPr>
        <w:pStyle w:val="BodyText"/>
      </w:pPr>
      <w:r>
        <w:t xml:space="preserve">The appendix also catalogues the architecture decision records (ADRs) that every workload of this class SHALL produce. ADRs are short, dated, immutable records of significant architecture decisions; they replace the historical practice of architecture documents that purport to describe the current state but in fact lag the system by quarters or years.</w:t>
      </w:r>
    </w:p>
    <w:bookmarkStart w:id="214" w:name="reference-architecture-microsoft-azure"/>
    <w:p>
      <w:pPr>
        <w:pStyle w:val="Heading3"/>
      </w:pPr>
      <w:r>
        <w:t xml:space="preserve">Reference Architecture — Microsoft Azure</w:t>
      </w:r>
    </w:p>
    <w:p>
      <w:pPr>
        <w:pStyle w:val="FirstParagraph"/>
      </w:pPr>
      <w:r>
        <w:t xml:space="preserve">The Azure reference architecture for a web-facing transactional workload comprises the following components, each chosen to align with the controls in this document.</w:t>
      </w:r>
    </w:p>
    <w:p>
      <w:pPr>
        <w:pStyle w:val="BodyText"/>
      </w:pPr>
      <w:r>
        <w:rPr>
          <w:b/>
          <w:bCs/>
        </w:rPr>
        <w:t xml:space="preserve">Edge and ingress.</w:t>
      </w:r>
      <w:r>
        <w:t xml:space="preserve"> </w:t>
      </w:r>
      <w:r>
        <w:t xml:space="preserve">Public traffic terminates at Azure Front Door Premium with WAF in prevention mode (Chapter 2). The Front Door profile carries a corporate-owned custom domain with a managed TLS 1.2+ certificate auto-renewed at ninety-day intervals (Chapter 3). The Front Door origin group points to a regional Application Gateway in each active region; cross-region failover is automatic on origin-health degradation. The WAF Premium tier is configured with the OWASP Core Rule Set 3.2 managed rule, the Microsoft Bot Protection ruleset, and a corporate custom ruleset that enforces rate limiting per source IP, blocks known malicious user-agent strings, and denies traffic from non-permitted geographies for residency-restricted services.</w:t>
      </w:r>
    </w:p>
    <w:p>
      <w:pPr>
        <w:pStyle w:val="BodyText"/>
      </w:pPr>
      <w:r>
        <w:rPr>
          <w:b/>
          <w:bCs/>
        </w:rPr>
        <w:t xml:space="preserve">Identity and authentication.</w:t>
      </w:r>
      <w:r>
        <w:t xml:space="preserve"> </w:t>
      </w:r>
      <w:r>
        <w:t xml:space="preserve">User authentication is performed by Microsoft Entra External ID for customer-facing identities; workforce identities use the corporate Entra ID tenant. The application accepts only OAuth 2.0 / OIDC tokens issued by the appropriate tenant; tokens are validated using the published JWKS and the audience claim is verified to match the application’s registered API identifier (Chapter 1). Workload-to-workload authentication uses managed identity (Chapter 1, Chapter 3); no client secrets are stored in app settings.</w:t>
      </w:r>
    </w:p>
    <w:p>
      <w:pPr>
        <w:pStyle w:val="BodyText"/>
      </w:pPr>
      <w:r>
        <w:rPr>
          <w:b/>
          <w:bCs/>
        </w:rPr>
        <w:t xml:space="preserve">Compute.</w:t>
      </w:r>
      <w:r>
        <w:t xml:space="preserve"> </w:t>
      </w:r>
      <w:r>
        <w:t xml:space="preserve">The application runs on Azure Container Apps in two regions in active-active configuration (Chapter 7). The container images are built per the chapter-5 standards: distroless base, non-root user, signed with cosign, SBOM attached. The Container Apps environment is integrated with a corporate VNet through a dedicated subnet (Chapter 2). Outbound traffic egresses through the corporate Azure Firewall hub.</w:t>
      </w:r>
    </w:p>
    <w:p>
      <w:pPr>
        <w:pStyle w:val="BodyText"/>
      </w:pPr>
      <w:r>
        <w:rPr>
          <w:b/>
          <w:bCs/>
        </w:rPr>
        <w:t xml:space="preserve">Data.</w:t>
      </w:r>
      <w:r>
        <w:t xml:space="preserve"> </w:t>
      </w:r>
      <w:r>
        <w:t xml:space="preserve">The primary relational store is Azure Database for PostgreSQL Flexible Server with geo-redundant high-availability (Chapter 8). Private access only (no public endpoint), CMK encryption from Azure Key Vault Managed HSM (Chapter 3, Chapter 4), point-in-time recovery enabled with a thirty-five-day retention. The store is replicated to a secondary region in the same residency boundary (Chapter 18). Application-layer sensitive fields (national identifiers, payment-related personal data) are tokenized through a corporate tokenization service.</w:t>
      </w:r>
    </w:p>
    <w:p>
      <w:pPr>
        <w:pStyle w:val="BodyText"/>
      </w:pPr>
      <w:r>
        <w:rPr>
          <w:b/>
          <w:bCs/>
        </w:rPr>
        <w:t xml:space="preserve">Caching and messaging.</w:t>
      </w:r>
      <w:r>
        <w:t xml:space="preserve"> </w:t>
      </w:r>
      <w:r>
        <w:t xml:space="preserve">Azure Cache for Redis (private endpoint, TLS-only, AAD authentication) provides read caching. Azure Service Bus (private endpoint, TLS-only, managed-identity authentication) carries events to downstream consumers. Event schemas are registered in the Schema Registry (Chapter 16) with backward compatibility enforced.</w:t>
      </w:r>
    </w:p>
    <w:p>
      <w:pPr>
        <w:pStyle w:val="BodyText"/>
      </w:pPr>
      <w:r>
        <w:rPr>
          <w:b/>
          <w:bCs/>
        </w:rPr>
        <w:t xml:space="preserve">Secrets.</w:t>
      </w:r>
      <w:r>
        <w:t xml:space="preserve"> </w:t>
      </w:r>
      <w:r>
        <w:t xml:space="preserve">Azure Key Vault with HSM-backed keys for sensitive material (Chapter 3). The application retrieves secrets via the Secret Store CSI driver at pod start; secrets never reach the container image (Chapter 5).</w:t>
      </w:r>
    </w:p>
    <w:p>
      <w:pPr>
        <w:pStyle w:val="BodyText"/>
      </w:pPr>
      <w:r>
        <w:rPr>
          <w:b/>
          <w:bCs/>
        </w:rPr>
        <w:t xml:space="preserve">Observability.</w:t>
      </w:r>
      <w:r>
        <w:t xml:space="preserve"> </w:t>
      </w:r>
      <w:r>
        <w:t xml:space="preserve">Application Insights via OpenTelemetry SDK (Chapter 11). Logs flow to Log Analytics with retention configured per Chapter 9. Microsoft Sentinel ingests security-relevant signals. Metrics with exemplars feed dashboards built from the corporate template (Chapter 10). SLOs are defined and burn-rate alerts route to the on-call rotation via PagerDuty.</w:t>
      </w:r>
    </w:p>
    <w:p>
      <w:pPr>
        <w:pStyle w:val="BodyText"/>
      </w:pPr>
      <w:r>
        <w:rPr>
          <w:b/>
          <w:bCs/>
        </w:rPr>
        <w:t xml:space="preserve">Pipeline.</w:t>
      </w:r>
      <w:r>
        <w:t xml:space="preserve"> </w:t>
      </w:r>
      <w:r>
        <w:t xml:space="preserve">The application is built and deployed by an Azure DevOps pipeline using OIDC federation to a managed identity in the target landing zone (Chapter 14). The pipeline produces signed images, SBOMs, in-toto SLSA attestations, and IaC plans. Production deployment requires successful canary verification at one percent of traffic and an automatic-rollback policy on SLO breach (Chapter 19).</w:t>
      </w:r>
    </w:p>
    <w:p>
      <w:pPr>
        <w:pStyle w:val="BodyText"/>
      </w:pPr>
      <w:r>
        <w:rPr>
          <w:b/>
          <w:bCs/>
        </w:rPr>
        <w:t xml:space="preserve">Resilience.</w:t>
      </w:r>
      <w:r>
        <w:t xml:space="preserve"> </w:t>
      </w:r>
      <w:r>
        <w:t xml:space="preserve">Polly is used in application code for HTTP client retry, circuit breaker, and timeout (Chapter 13). The Container Apps environment is provisioned with a minimum-replica floor matched to the resting demand plus a one-standard-deviation safety margin (Chapter 7).</w:t>
      </w:r>
    </w:p>
    <w:bookmarkEnd w:id="214"/>
    <w:bookmarkStart w:id="215" w:name="X5dea50c581a161c1ecdf1f8e48cc17f44333d83"/>
    <w:p>
      <w:pPr>
        <w:pStyle w:val="Heading3"/>
      </w:pPr>
      <w:r>
        <w:t xml:space="preserve">Reference Architecture — Amazon Web Services</w:t>
      </w:r>
    </w:p>
    <w:p>
      <w:pPr>
        <w:pStyle w:val="FirstParagraph"/>
      </w:pPr>
      <w:r>
        <w:t xml:space="preserve">The AWS reference architecture for the same workload class comprises the following components.</w:t>
      </w:r>
    </w:p>
    <w:p>
      <w:pPr>
        <w:pStyle w:val="BodyText"/>
      </w:pPr>
      <w:r>
        <w:rPr>
          <w:b/>
          <w:bCs/>
        </w:rPr>
        <w:t xml:space="preserve">Edge and ingress.</w:t>
      </w:r>
      <w:r>
        <w:t xml:space="preserve"> </w:t>
      </w:r>
      <w:r>
        <w:t xml:space="preserve">Amazon CloudFront in front of AWS WAF (with the AWS Managed Rules and a corporate custom rule group) serves as the public entry point (Chapter 2). CloudFront origin is a regional Application Load Balancer in each active region; cross-region failover uses Route 53 health checks with weighted records. AWS Shield Advanced is enabled for tier-1 workloads. Certificates are managed by AWS Certificate Manager with automatic renewal.</w:t>
      </w:r>
    </w:p>
    <w:p>
      <w:pPr>
        <w:pStyle w:val="BodyText"/>
      </w:pPr>
      <w:r>
        <w:rPr>
          <w:b/>
          <w:bCs/>
        </w:rPr>
        <w:t xml:space="preserve">Identity and authentication.</w:t>
      </w:r>
      <w:r>
        <w:t xml:space="preserve"> </w:t>
      </w:r>
      <w:r>
        <w:t xml:space="preserve">Workforce identity is federated through AWS IAM Identity Center to the corporate Entra ID tenant (Chapter 1). The application accepts customer identities through Amazon Cognito or, where the corporation operates a single customer-facing identity tenant, through Microsoft Entra External ID with AWS as an OIDC relying party. Workload-to-AWS authentication uses IAM roles for service accounts (IRSA) on EKS, IAM roles for tasks on ECS, or execution roles for Lambda — no static access keys (Chapter 1).</w:t>
      </w:r>
    </w:p>
    <w:p>
      <w:pPr>
        <w:pStyle w:val="BodyText"/>
      </w:pPr>
      <w:r>
        <w:rPr>
          <w:b/>
          <w:bCs/>
        </w:rPr>
        <w:t xml:space="preserve">Compute.</w:t>
      </w:r>
      <w:r>
        <w:t xml:space="preserve"> </w:t>
      </w:r>
      <w:r>
        <w:t xml:space="preserve">The application runs on AWS Fargate (EKS or ECS) in two AWS regions in active-active configuration (Chapter 7). Container images follow Chapter 5: built from Bottlerocket-derived minimal base for the platform images, distroless for the application images, signed with cosign, SBOM in CycloneDX, scanned by ECR enhanced scanning with Inspector. Egress traverses an AWS Network Firewall in the corporate egress VPC (Chapter 2).</w:t>
      </w:r>
    </w:p>
    <w:p>
      <w:pPr>
        <w:pStyle w:val="BodyText"/>
      </w:pPr>
      <w:r>
        <w:rPr>
          <w:b/>
          <w:bCs/>
        </w:rPr>
        <w:t xml:space="preserve">Data.</w:t>
      </w:r>
      <w:r>
        <w:t xml:space="preserve"> </w:t>
      </w:r>
      <w:r>
        <w:t xml:space="preserve">Amazon Aurora PostgreSQL with multi-AZ and a cross-region read replica (Chapter 8). Private endpoints via VPC interface endpoints (Chapter 2); no public IP. CMK encryption with AWS KMS keys backed by AWS CloudHSM for tier-1 keys (Chapter 3, Chapter 4). Backups retained per RTO/RPO target with cross-region replication. Application-layer sensitive fields tokenized.</w:t>
      </w:r>
    </w:p>
    <w:p>
      <w:pPr>
        <w:pStyle w:val="BodyText"/>
      </w:pPr>
      <w:r>
        <w:rPr>
          <w:b/>
          <w:bCs/>
        </w:rPr>
        <w:t xml:space="preserve">Caching and messaging.</w:t>
      </w:r>
      <w:r>
        <w:t xml:space="preserve"> </w:t>
      </w:r>
      <w:r>
        <w:t xml:space="preserve">Amazon ElastiCache for Redis with encryption at rest and in transit, IAM auth enabled, no public endpoint. Amazon EventBridge with the EventBridge Schema Registry enforcing event-contract compatibility (Chapter 16). Amazon SQS for queue-based work distribution with dead-letter queue configured (Chapter 12, Chapter 13).</w:t>
      </w:r>
    </w:p>
    <w:p>
      <w:pPr>
        <w:pStyle w:val="BodyText"/>
      </w:pPr>
      <w:r>
        <w:rPr>
          <w:b/>
          <w:bCs/>
        </w:rPr>
        <w:t xml:space="preserve">Secrets.</w:t>
      </w:r>
      <w:r>
        <w:t xml:space="preserve"> </w:t>
      </w:r>
      <w:r>
        <w:t xml:space="preserve">AWS Secrets Manager with automatic rotation enabled for database credentials and other rotatable secrets (Chapter 3). Secrets are surfaced into pods via the AWS Secrets and Configuration Provider for the Kubernetes Secret Store CSI driver.</w:t>
      </w:r>
    </w:p>
    <w:p>
      <w:pPr>
        <w:pStyle w:val="BodyText"/>
      </w:pPr>
      <w:r>
        <w:rPr>
          <w:b/>
          <w:bCs/>
        </w:rPr>
        <w:t xml:space="preserve">Observability.</w:t>
      </w:r>
      <w:r>
        <w:t xml:space="preserve"> </w:t>
      </w:r>
      <w:r>
        <w:t xml:space="preserve">OpenTelemetry SDK exporting to the AWS Distro for OpenTelemetry collector, which forwards to AWS X-Ray for traces, CloudWatch for metrics and logs, and (via Kinesis Firehose) to the corporate SIEM. Synthetic monitoring uses CloudWatch Synthetics from at least three geographies (Chapter 10).</w:t>
      </w:r>
    </w:p>
    <w:p>
      <w:pPr>
        <w:pStyle w:val="BodyText"/>
      </w:pPr>
      <w:r>
        <w:rPr>
          <w:b/>
          <w:bCs/>
        </w:rPr>
        <w:t xml:space="preserve">Pipeline.</w:t>
      </w:r>
      <w:r>
        <w:t xml:space="preserve"> </w:t>
      </w:r>
      <w:r>
        <w:t xml:space="preserve">GitHub Actions pipeline using OIDC federation into AWS IAM roles (Chapter 14). The pipeline produces signed images, SBOMs, and SLSA provenance attestations. Deployment uses AWS CodeDeploy for blue-green deployment with automatic rollback on alarm trigger.</w:t>
      </w:r>
    </w:p>
    <w:p>
      <w:pPr>
        <w:pStyle w:val="BodyText"/>
      </w:pPr>
      <w:r>
        <w:rPr>
          <w:b/>
          <w:bCs/>
        </w:rPr>
        <w:t xml:space="preserve">Resilience.</w:t>
      </w:r>
      <w:r>
        <w:t xml:space="preserve"> </w:t>
      </w:r>
      <w:r>
        <w:t xml:space="preserve">The AWS SDK retry handlers are configured for adaptive retry mode with jitter; circuit breaking is implemented at the service-mesh layer using AWS App Mesh sidecars (Chapter 13, Chapter 16). Fargate task definitions specify CPU and memory limits matched to the workload’s profile (Chapter 7).</w:t>
      </w:r>
    </w:p>
    <w:bookmarkEnd w:id="215"/>
    <w:bookmarkStart w:id="216" w:name="X30c9643440ca343082e5a0ed01d74390d72efe7"/>
    <w:p>
      <w:pPr>
        <w:pStyle w:val="Heading3"/>
      </w:pPr>
      <w:r>
        <w:t xml:space="preserve">Reference Architecture — Google Cloud Platform</w:t>
      </w:r>
    </w:p>
    <w:p>
      <w:pPr>
        <w:pStyle w:val="FirstParagraph"/>
      </w:pPr>
      <w:r>
        <w:t xml:space="preserve">The GCP reference architecture for the same workload class comprises the following components.</w:t>
      </w:r>
    </w:p>
    <w:p>
      <w:pPr>
        <w:pStyle w:val="BodyText"/>
      </w:pPr>
      <w:r>
        <w:rPr>
          <w:b/>
          <w:bCs/>
        </w:rPr>
        <w:t xml:space="preserve">Edge and ingress.</w:t>
      </w:r>
      <w:r>
        <w:t xml:space="preserve"> </w:t>
      </w:r>
      <w:r>
        <w:t xml:space="preserve">A global external Application Load Balancer with Google Cloud Armor (Chapter 2). Cloud Armor is configured with the OWASP Core Rule Set, the corporate custom ruleset, and adaptive protection enabled. Certificates are Google-managed SSL certificates with automatic provisioning and renewal. The backend service points to multiple regional Cloud Run services for active-active operation.</w:t>
      </w:r>
    </w:p>
    <w:p>
      <w:pPr>
        <w:pStyle w:val="BodyText"/>
      </w:pPr>
      <w:r>
        <w:rPr>
          <w:b/>
          <w:bCs/>
        </w:rPr>
        <w:t xml:space="preserve">Identity and authentication.</w:t>
      </w:r>
      <w:r>
        <w:t xml:space="preserve"> </w:t>
      </w:r>
      <w:r>
        <w:t xml:space="preserve">Workforce identity is federated through Cloud Identity to the corporate Entra ID tenant; workload identity uses GCP Workload Identity Federation (Chapter 1) for both intra-GCP and cross-cloud authentication. Customer-facing identity uses Identity Platform with Entra External ID as the upstream identity provider, where corporate strategy dictates a single customer-identity tenant.</w:t>
      </w:r>
    </w:p>
    <w:p>
      <w:pPr>
        <w:pStyle w:val="BodyText"/>
      </w:pPr>
      <w:r>
        <w:rPr>
          <w:b/>
          <w:bCs/>
        </w:rPr>
        <w:t xml:space="preserve">Compute.</w:t>
      </w:r>
      <w:r>
        <w:t xml:space="preserve"> </w:t>
      </w:r>
      <w:r>
        <w:t xml:space="preserve">The application runs on Cloud Run in two regions in active-active configuration (Chapter 7). Cloud Run services use the corporate base image (distroless / Chainguard), signed with cosign and verified at deployment by Binary Authorization (Chapter 5, Chapter 14). VPC connector ties Cloud Run instances into the corporate Shared VPC (Chapter 2); egress traverses the corporate Cloud NGFW.</w:t>
      </w:r>
    </w:p>
    <w:p>
      <w:pPr>
        <w:pStyle w:val="BodyText"/>
      </w:pPr>
      <w:r>
        <w:rPr>
          <w:b/>
          <w:bCs/>
        </w:rPr>
        <w:t xml:space="preserve">Data.</w:t>
      </w:r>
      <w:r>
        <w:t xml:space="preserve"> </w:t>
      </w:r>
      <w:r>
        <w:t xml:space="preserve">Cloud SQL for PostgreSQL with regional high-availability and a cross-region read replica (Chapter 8). Private IP only (no public IP), CMK encryption via Cloud KMS / Cloud HSM (Chapter 3, Chapter 4), point-in-time recovery enabled. Application-layer sensitive fields tokenized.</w:t>
      </w:r>
    </w:p>
    <w:p>
      <w:pPr>
        <w:pStyle w:val="BodyText"/>
      </w:pPr>
      <w:r>
        <w:rPr>
          <w:b/>
          <w:bCs/>
        </w:rPr>
        <w:t xml:space="preserve">Caching and messaging.</w:t>
      </w:r>
      <w:r>
        <w:t xml:space="preserve"> </w:t>
      </w:r>
      <w:r>
        <w:t xml:space="preserve">Memorystore for Redis (private service connect, in-transit encryption, IAM auth). Pub/Sub for asynchronous events with the Pub/Sub Schema Registry enforcing schema compatibility (Chapter 16); dead-letter topic configured.</w:t>
      </w:r>
    </w:p>
    <w:p>
      <w:pPr>
        <w:pStyle w:val="BodyText"/>
      </w:pPr>
      <w:r>
        <w:rPr>
          <w:b/>
          <w:bCs/>
        </w:rPr>
        <w:t xml:space="preserve">Secrets.</w:t>
      </w:r>
      <w:r>
        <w:t xml:space="preserve"> </w:t>
      </w:r>
      <w:r>
        <w:t xml:space="preserve">Secret Manager with workload-identity-based access (Chapter 3). Cloud Run injects secrets as environment variables sourced from Secret Manager versions; secret value never lives in the container image.</w:t>
      </w:r>
    </w:p>
    <w:p>
      <w:pPr>
        <w:pStyle w:val="BodyText"/>
      </w:pPr>
      <w:r>
        <w:rPr>
          <w:b/>
          <w:bCs/>
        </w:rPr>
        <w:t xml:space="preserve">Observability.</w:t>
      </w:r>
      <w:r>
        <w:t xml:space="preserve"> </w:t>
      </w:r>
      <w:r>
        <w:t xml:space="preserve">OpenTelemetry SDK exporting to Cloud Trace and Cloud Monitoring (Chapter 10, Chapter 11). Logs flow through Cloud Logging with sinks to BigQuery for long-term analytics and to Chronicle (or the corporate SIEM) for security monitoring. Uptime checks run from multiple geographies as synthetic probes.</w:t>
      </w:r>
    </w:p>
    <w:p>
      <w:pPr>
        <w:pStyle w:val="BodyText"/>
      </w:pPr>
      <w:r>
        <w:rPr>
          <w:b/>
          <w:bCs/>
        </w:rPr>
        <w:t xml:space="preserve">Pipeline.</w:t>
      </w:r>
      <w:r>
        <w:t xml:space="preserve"> </w:t>
      </w:r>
      <w:r>
        <w:t xml:space="preserve">Cloud Build pipeline with workload-identity-federated GitHub trigger (Chapter 14). The pipeline produces signed images, SBOMs, and SLSA-level-3 attestations. Binary Authorization at deployment verifies signature, attestation, and continuous-validation policy (Chapter 5, Chapter 14).</w:t>
      </w:r>
    </w:p>
    <w:p>
      <w:pPr>
        <w:pStyle w:val="BodyText"/>
      </w:pPr>
      <w:r>
        <w:rPr>
          <w:b/>
          <w:bCs/>
        </w:rPr>
        <w:t xml:space="preserve">Resilience.</w:t>
      </w:r>
      <w:r>
        <w:t xml:space="preserve"> </w:t>
      </w:r>
      <w:r>
        <w:t xml:space="preserve">Cloud Run native retry, timeout, and concurrency configuration is set per Chapter 13 defaults. The Anthos Service Mesh (where used) provides circuit-breaking, retry policy, and mTLS for east-west traffic (Chapter 16).</w:t>
      </w:r>
    </w:p>
    <w:bookmarkEnd w:id="216"/>
    <w:bookmarkStart w:id="217" w:name="architecture-decision-records"/>
    <w:p>
      <w:pPr>
        <w:pStyle w:val="Heading3"/>
      </w:pPr>
      <w:r>
        <w:t xml:space="preserve">Architecture Decision Records</w:t>
      </w:r>
    </w:p>
    <w:p>
      <w:pPr>
        <w:pStyle w:val="FirstParagraph"/>
      </w:pPr>
      <w:r>
        <w:t xml:space="preserve">Every workload of the class described above SHALL produce, at minimum, the following ADRs. ADRs SHALL be short (one to two pages), dated, identified by a stable number, and stored in the workload’s source repository under</w:t>
      </w:r>
      <w:r>
        <w:t xml:space="preserve"> </w:t>
      </w:r>
      <w:r>
        <w:rPr>
          <w:rStyle w:val="VerbatimChar"/>
        </w:rPr>
        <w:t xml:space="preserve">docs/adr/</w:t>
      </w:r>
      <w:r>
        <w:t xml:space="preserve">.</w:t>
      </w:r>
    </w:p>
    <w:p>
      <w:pPr>
        <w:pStyle w:val="Compact"/>
        <w:numPr>
          <w:ilvl w:val="0"/>
          <w:numId w:val="1126"/>
        </w:numPr>
      </w:pPr>
      <w:r>
        <w:rPr>
          <w:b/>
          <w:bCs/>
        </w:rPr>
        <w:t xml:space="preserve">ADR-0001 — Cloud Selection.</w:t>
      </w:r>
      <w:r>
        <w:t xml:space="preserve"> </w:t>
      </w:r>
      <w:r>
        <w:t xml:space="preserve">Records the cloud (or combination of clouds) chosen and the rationale, with reference to the corporate cloud-strategy guidance.</w:t>
      </w:r>
    </w:p>
    <w:p>
      <w:pPr>
        <w:pStyle w:val="Compact"/>
        <w:numPr>
          <w:ilvl w:val="0"/>
          <w:numId w:val="1126"/>
        </w:numPr>
      </w:pPr>
      <w:r>
        <w:rPr>
          <w:b/>
          <w:bCs/>
        </w:rPr>
        <w:t xml:space="preserve">ADR-0002 — Compute Platform Selection.</w:t>
      </w:r>
      <w:r>
        <w:t xml:space="preserve"> </w:t>
      </w:r>
      <w:r>
        <w:t xml:space="preserve">Records the compute paradigm selected from the chapter-7 catalog and the rationale, including alternatives considered.</w:t>
      </w:r>
    </w:p>
    <w:p>
      <w:pPr>
        <w:pStyle w:val="Compact"/>
        <w:numPr>
          <w:ilvl w:val="0"/>
          <w:numId w:val="1126"/>
        </w:numPr>
      </w:pPr>
      <w:r>
        <w:rPr>
          <w:b/>
          <w:bCs/>
        </w:rPr>
        <w:t xml:space="preserve">ADR-0003 — Persistence Selection.</w:t>
      </w:r>
      <w:r>
        <w:t xml:space="preserve"> </w:t>
      </w:r>
      <w:r>
        <w:t xml:space="preserve">Records the primary store and secondary stores chosen, with reference to chapter 8 and to the data-classification implications.</w:t>
      </w:r>
    </w:p>
    <w:p>
      <w:pPr>
        <w:pStyle w:val="Compact"/>
        <w:numPr>
          <w:ilvl w:val="0"/>
          <w:numId w:val="1126"/>
        </w:numPr>
      </w:pPr>
      <w:r>
        <w:rPr>
          <w:b/>
          <w:bCs/>
        </w:rPr>
        <w:t xml:space="preserve">ADR-0004 — Identity Architecture.</w:t>
      </w:r>
      <w:r>
        <w:t xml:space="preserve"> </w:t>
      </w:r>
      <w:r>
        <w:t xml:space="preserve">Records how user and workload identity are configured, including federation relationships and Conditional Access dependencies.</w:t>
      </w:r>
    </w:p>
    <w:p>
      <w:pPr>
        <w:pStyle w:val="Compact"/>
        <w:numPr>
          <w:ilvl w:val="0"/>
          <w:numId w:val="1126"/>
        </w:numPr>
      </w:pPr>
      <w:r>
        <w:rPr>
          <w:b/>
          <w:bCs/>
        </w:rPr>
        <w:t xml:space="preserve">ADR-0005 — Service Boundaries.</w:t>
      </w:r>
      <w:r>
        <w:t xml:space="preserve"> </w:t>
      </w:r>
      <w:r>
        <w:t xml:space="preserve">Records the domain boundaries of the service, including which neighboring services it consumes and which it provides to.</w:t>
      </w:r>
    </w:p>
    <w:p>
      <w:pPr>
        <w:pStyle w:val="Compact"/>
        <w:numPr>
          <w:ilvl w:val="0"/>
          <w:numId w:val="1126"/>
        </w:numPr>
      </w:pPr>
      <w:r>
        <w:rPr>
          <w:b/>
          <w:bCs/>
        </w:rPr>
        <w:t xml:space="preserve">ADR-0006 — Event Schemas.</w:t>
      </w:r>
      <w:r>
        <w:t xml:space="preserve"> </w:t>
      </w:r>
      <w:r>
        <w:t xml:space="preserve">Records the events the service emits and consumes, with reference to the registered schemas in the corporate schema registry.</w:t>
      </w:r>
    </w:p>
    <w:p>
      <w:pPr>
        <w:pStyle w:val="Compact"/>
        <w:numPr>
          <w:ilvl w:val="0"/>
          <w:numId w:val="1126"/>
        </w:numPr>
      </w:pPr>
      <w:r>
        <w:rPr>
          <w:b/>
          <w:bCs/>
        </w:rPr>
        <w:t xml:space="preserve">ADR-0007 — SLOs.</w:t>
      </w:r>
      <w:r>
        <w:t xml:space="preserve"> </w:t>
      </w:r>
      <w:r>
        <w:t xml:space="preserve">Records the service-level objectives the service commits to, including error-budget consumption thresholds for change-freeze triggers.</w:t>
      </w:r>
    </w:p>
    <w:p>
      <w:pPr>
        <w:pStyle w:val="Compact"/>
        <w:numPr>
          <w:ilvl w:val="0"/>
          <w:numId w:val="1126"/>
        </w:numPr>
      </w:pPr>
      <w:r>
        <w:rPr>
          <w:b/>
          <w:bCs/>
        </w:rPr>
        <w:t xml:space="preserve">ADR-0008 — Disaster Recovery Posture.</w:t>
      </w:r>
      <w:r>
        <w:t xml:space="preserve"> </w:t>
      </w:r>
      <w:r>
        <w:t xml:space="preserve">Records the DR tier (Chapter 19) and the runbook reference for recovery procedures.</w:t>
      </w:r>
    </w:p>
    <w:p>
      <w:pPr>
        <w:pStyle w:val="Compact"/>
        <w:numPr>
          <w:ilvl w:val="0"/>
          <w:numId w:val="1126"/>
        </w:numPr>
      </w:pPr>
      <w:r>
        <w:rPr>
          <w:b/>
          <w:bCs/>
        </w:rPr>
        <w:t xml:space="preserve">ADR-0009 — Data Residency.</w:t>
      </w:r>
      <w:r>
        <w:t xml:space="preserve"> </w:t>
      </w:r>
      <w:r>
        <w:t xml:space="preserve">Records the residency boundary applicable to the service’s data and the cloud-region selection accordingly.</w:t>
      </w:r>
    </w:p>
    <w:p>
      <w:pPr>
        <w:pStyle w:val="Compact"/>
        <w:numPr>
          <w:ilvl w:val="0"/>
          <w:numId w:val="1126"/>
        </w:numPr>
      </w:pPr>
      <w:r>
        <w:rPr>
          <w:b/>
          <w:bCs/>
        </w:rPr>
        <w:t xml:space="preserve">ADR-0010 — Threat Model Summary.</w:t>
      </w:r>
      <w:r>
        <w:t xml:space="preserve"> </w:t>
      </w:r>
      <w:r>
        <w:t xml:space="preserve">References the threat-model document and summarizes the high-priority threats and mitigations.</w:t>
      </w:r>
    </w:p>
    <w:p>
      <w:pPr>
        <w:pStyle w:val="FirstParagraph"/>
      </w:pPr>
      <w:r>
        <w:t xml:space="preserve">ADRs are immutable: a decision is superseded by a new ADR, never edited in place. The history of ADRs forms the architectural genealogy of the service and is invaluable both for new engineers joining the team and for post-incident analysis.</w:t>
      </w:r>
    </w:p>
    <w:bookmarkEnd w:id="217"/>
    <w:bookmarkStart w:id="218" w:name="reference-architecture-maintenance"/>
    <w:p>
      <w:pPr>
        <w:pStyle w:val="Heading3"/>
      </w:pPr>
      <w:r>
        <w:t xml:space="preserve">Reference-Architecture Maintenance</w:t>
      </w:r>
    </w:p>
    <w:p>
      <w:pPr>
        <w:pStyle w:val="FirstParagraph"/>
      </w:pPr>
      <w:r>
        <w:t xml:space="preserve">The reference architectures in this appendix SHALL be reviewed at least annually by the platform-architecture council and updated whenever a constituent service materially changes its security or operational posture. Workloads that follow a reference architecture inherit, by default, the chapter-level evidence patterns described in this document; deviations require their own evidence patterns.</w:t>
      </w:r>
    </w:p>
    <w:bookmarkEnd w:id="218"/>
    <w:bookmarkEnd w:id="219"/>
    <w:bookmarkStart w:id="230" w:name="appendix-c-threat-modeling-reference"/>
    <w:p>
      <w:pPr>
        <w:pStyle w:val="Heading2"/>
      </w:pPr>
      <w:r>
        <w:t xml:space="preserve">Appendix C — Threat Modeling Reference</w:t>
      </w:r>
    </w:p>
    <w:p>
      <w:pPr>
        <w:pStyle w:val="FirstParagraph"/>
      </w:pPr>
      <w:r>
        <w:t xml:space="preserve">This appendix provides a corporate-standard reference for threat modeling cloud workloads. It is normative: workloads of tier 1 or tier 2 (Chapter 19) SHALL produce a threat model at design time and SHALL refresh it on material change. The threat model SHALL follow the structure and terminology defined in this appendix so that reviews are comparable across teams and across time.</w:t>
      </w:r>
    </w:p>
    <w:p>
      <w:pPr>
        <w:pStyle w:val="BodyText"/>
      </w:pPr>
      <w:r>
        <w:t xml:space="preserve">Threat modeling is the design-time analogue of post-incident review. Where post-incident review asks</w:t>
      </w:r>
      <w:r>
        <w:t xml:space="preserve"> </w:t>
      </w:r>
      <w:r>
        <w:t xml:space="preserve">“what mechanism failed and how do we improve it”</w:t>
      </w:r>
      <w:r>
        <w:t xml:space="preserve">, threat modeling asks</w:t>
      </w:r>
      <w:r>
        <w:t xml:space="preserve"> </w:t>
      </w:r>
      <w:r>
        <w:t xml:space="preserve">“what mechanisms might fail and how do we strengthen them in advance”</w:t>
      </w:r>
      <w:r>
        <w:t xml:space="preserve">. The two practices reinforce each other: post-incident findings update the threat-model library; threat-model exercises shrink the surface area of future incidents.</w:t>
      </w:r>
    </w:p>
    <w:bookmarkStart w:id="220" w:name="stride-as-the-foundational-framework"/>
    <w:p>
      <w:pPr>
        <w:pStyle w:val="Heading3"/>
      </w:pPr>
      <w:r>
        <w:t xml:space="preserve">STRIDE as the Foundational Framework</w:t>
      </w:r>
    </w:p>
    <w:p>
      <w:pPr>
        <w:pStyle w:val="FirstParagraph"/>
      </w:pPr>
      <w:r>
        <w:t xml:space="preserve">The corporate threat-model framework is STRIDE — Spoofing, Tampering, Repudiation, Information Disclosure, Denial of Service, and Elevation of Privilege — published by Microsoft and broadly adopted across the industry. STRIDE is applied per asset or per data flow in the system. For each asset, the threat-model author asks whether each of the six STRIDE categories is in scope, and if so what mitigation reduces the risk to acceptable.</w:t>
      </w:r>
    </w:p>
    <w:p>
      <w:pPr>
        <w:pStyle w:val="BodyText"/>
      </w:pPr>
      <w:r>
        <w:t xml:space="preserve">The corporate practice is to begin a threat model with a data-flow diagram (DFD), enumerate the trust boundaries on the DFD, and then apply STRIDE per element. The threat model SHALL document, for each identified threat, the assumed attacker capability, the affected asset, the mitigation, and the residual risk.</w:t>
      </w:r>
    </w:p>
    <w:bookmarkEnd w:id="220"/>
    <w:bookmarkStart w:id="221" w:name="trust-boundary-catalog"/>
    <w:p>
      <w:pPr>
        <w:pStyle w:val="Heading3"/>
      </w:pPr>
      <w:r>
        <w:t xml:space="preserve">Trust Boundary Catalog</w:t>
      </w:r>
    </w:p>
    <w:p>
      <w:pPr>
        <w:pStyle w:val="FirstParagraph"/>
      </w:pPr>
      <w:r>
        <w:t xml:space="preserve">The following trust boundaries appear in nearly every corporate workload and SHALL be considered in every threat model. The catalog is descriptive, not exhaustive — workloads may have additional boundaries specific to their domain.</w:t>
      </w:r>
    </w:p>
    <w:p>
      <w:pPr>
        <w:pStyle w:val="Compact"/>
        <w:numPr>
          <w:ilvl w:val="0"/>
          <w:numId w:val="1127"/>
        </w:numPr>
      </w:pPr>
      <w:r>
        <w:rPr>
          <w:b/>
          <w:bCs/>
        </w:rPr>
        <w:t xml:space="preserve">Internet to edge.</w:t>
      </w:r>
      <w:r>
        <w:t xml:space="preserve"> </w:t>
      </w:r>
      <w:r>
        <w:t xml:space="preserve">The boundary between unauthenticated public-internet traffic and the corporate edge (Chapter 2). Threats: WAF evasion, DDoS, TLS downgrade, certificate misissuance.</w:t>
      </w:r>
    </w:p>
    <w:p>
      <w:pPr>
        <w:pStyle w:val="Compact"/>
        <w:numPr>
          <w:ilvl w:val="0"/>
          <w:numId w:val="1127"/>
        </w:numPr>
      </w:pPr>
      <w:r>
        <w:rPr>
          <w:b/>
          <w:bCs/>
        </w:rPr>
        <w:t xml:space="preserve">Edge to application.</w:t>
      </w:r>
      <w:r>
        <w:t xml:space="preserve"> </w:t>
      </w:r>
      <w:r>
        <w:t xml:space="preserve">The boundary between the corporate edge and the application origin. Threats: SSRF from the edge into private space, mis-routed traffic, header injection.</w:t>
      </w:r>
    </w:p>
    <w:p>
      <w:pPr>
        <w:pStyle w:val="Compact"/>
        <w:numPr>
          <w:ilvl w:val="0"/>
          <w:numId w:val="1127"/>
        </w:numPr>
      </w:pPr>
      <w:r>
        <w:rPr>
          <w:b/>
          <w:bCs/>
        </w:rPr>
        <w:t xml:space="preserve">Application to managed service.</w:t>
      </w:r>
      <w:r>
        <w:t xml:space="preserve"> </w:t>
      </w:r>
      <w:r>
        <w:t xml:space="preserve">The boundary between corporate workload code and a managed service consumed by the workload (database, storage, secrets vault). Threats: credential leakage, over-privileged role, side-channel.</w:t>
      </w:r>
    </w:p>
    <w:p>
      <w:pPr>
        <w:pStyle w:val="Compact"/>
        <w:numPr>
          <w:ilvl w:val="0"/>
          <w:numId w:val="1127"/>
        </w:numPr>
      </w:pPr>
      <w:r>
        <w:rPr>
          <w:b/>
          <w:bCs/>
        </w:rPr>
        <w:t xml:space="preserve">Application to application.</w:t>
      </w:r>
      <w:r>
        <w:t xml:space="preserve"> </w:t>
      </w:r>
      <w:r>
        <w:t xml:space="preserve">The boundary between two corporate workloads (Chapter 16). Threats: missing mTLS, missing authorization check, schema-evolution incompatibility.</w:t>
      </w:r>
    </w:p>
    <w:p>
      <w:pPr>
        <w:pStyle w:val="Compact"/>
        <w:numPr>
          <w:ilvl w:val="0"/>
          <w:numId w:val="1127"/>
        </w:numPr>
      </w:pPr>
      <w:r>
        <w:rPr>
          <w:b/>
          <w:bCs/>
        </w:rPr>
        <w:t xml:space="preserve">Workload to control plane.</w:t>
      </w:r>
      <w:r>
        <w:t xml:space="preserve"> </w:t>
      </w:r>
      <w:r>
        <w:t xml:space="preserve">The boundary between the workload (data-plane operations) and the cloud control plane (resource creation, IAM modification). Threats: workload-initiated control-plane abuse, lateral movement via the control plane.</w:t>
      </w:r>
    </w:p>
    <w:p>
      <w:pPr>
        <w:pStyle w:val="Compact"/>
        <w:numPr>
          <w:ilvl w:val="0"/>
          <w:numId w:val="1127"/>
        </w:numPr>
      </w:pPr>
      <w:r>
        <w:rPr>
          <w:b/>
          <w:bCs/>
        </w:rPr>
        <w:t xml:space="preserve">Build to deploy.</w:t>
      </w:r>
      <w:r>
        <w:t xml:space="preserve"> </w:t>
      </w:r>
      <w:r>
        <w:t xml:space="preserve">The boundary between the build system and the deployment target (Chapter 14). Threats: supply-chain injection, signing-key compromise, manifest tampering.</w:t>
      </w:r>
    </w:p>
    <w:p>
      <w:pPr>
        <w:pStyle w:val="Compact"/>
        <w:numPr>
          <w:ilvl w:val="0"/>
          <w:numId w:val="1127"/>
        </w:numPr>
      </w:pPr>
      <w:r>
        <w:rPr>
          <w:b/>
          <w:bCs/>
        </w:rPr>
        <w:t xml:space="preserve">Human admin to production.</w:t>
      </w:r>
      <w:r>
        <w:t xml:space="preserve"> </w:t>
      </w:r>
      <w:r>
        <w:t xml:space="preserve">The boundary between an interactive human session and a production resource. Threats: credential theft, session hijack, mistaken destructive action.</w:t>
      </w:r>
    </w:p>
    <w:bookmarkEnd w:id="221"/>
    <w:bookmarkStart w:id="222" w:name="stride-application-patterns"/>
    <w:p>
      <w:pPr>
        <w:pStyle w:val="Heading3"/>
      </w:pPr>
      <w:r>
        <w:t xml:space="preserve">STRIDE Application Patterns</w:t>
      </w:r>
    </w:p>
    <w:p>
      <w:pPr>
        <w:pStyle w:val="FirstParagraph"/>
      </w:pPr>
      <w:r>
        <w:t xml:space="preserve">For each STRIDE category, the corporate standard mitigations are catalogued below. These mitigations are referenced from this document and SHALL be applied unless an alternative is justified in the threat model.</w:t>
      </w:r>
    </w:p>
    <w:p>
      <w:pPr>
        <w:pStyle w:val="BodyText"/>
      </w:pPr>
      <w:r>
        <w:rPr>
          <w:b/>
          <w:bCs/>
        </w:rPr>
        <w:t xml:space="preserve">Spoofing.</w:t>
      </w:r>
      <w:r>
        <w:t xml:space="preserve"> </w:t>
      </w:r>
      <w:r>
        <w:t xml:space="preserve">Mitigated by strong authentication (Chapter 1) — phishing-resistant MFA for humans, workload identity for machines, mTLS or signed tokens for service-to-service. The corporate posture is that an unauthenticated request is a misconfigured request; spoofing risk reduces in proportion to how rigorously this posture is enforced.</w:t>
      </w:r>
    </w:p>
    <w:p>
      <w:pPr>
        <w:pStyle w:val="BodyText"/>
      </w:pPr>
      <w:r>
        <w:rPr>
          <w:b/>
          <w:bCs/>
        </w:rPr>
        <w:t xml:space="preserve">Tampering.</w:t>
      </w:r>
      <w:r>
        <w:t xml:space="preserve"> </w:t>
      </w:r>
      <w:r>
        <w:t xml:space="preserve">Mitigated by integrity controls: signed artifacts (Chapter 14), signed and time-stamped logs (Chapter 9), TLS / mTLS for in-flight integrity (Chapters 2, 4, 16), and write-once storage for high-integrity audit material (Chapter 9). Application-layer tampering is mitigated by input validation, parameterized queries (no string concatenation into SQL), and integrity-protected message authentication codes for in-flight payloads where TLS is not sufficient.</w:t>
      </w:r>
    </w:p>
    <w:p>
      <w:pPr>
        <w:pStyle w:val="BodyText"/>
      </w:pPr>
      <w:r>
        <w:rPr>
          <w:b/>
          <w:bCs/>
        </w:rPr>
        <w:t xml:space="preserve">Repudiation.</w:t>
      </w:r>
      <w:r>
        <w:t xml:space="preserve"> </w:t>
      </w:r>
      <w:r>
        <w:t xml:space="preserve">Mitigated by the immutable audit trail (Chapter 9) — every privileged action logged with the calling identity, the timestamp from a trusted clock, and a stable correlation identifier. The mitigation is undermined when logs can be silenced or when the actor’s identity is shared; the corporate prohibition on shared service accounts (Chapter 1) and on disabling logs (Chapter 9) are direct responses to the repudiation threat.</w:t>
      </w:r>
    </w:p>
    <w:p>
      <w:pPr>
        <w:pStyle w:val="BodyText"/>
      </w:pPr>
      <w:r>
        <w:rPr>
          <w:b/>
          <w:bCs/>
        </w:rPr>
        <w:t xml:space="preserve">Information disclosure.</w:t>
      </w:r>
      <w:r>
        <w:t xml:space="preserve"> </w:t>
      </w:r>
      <w:r>
        <w:t xml:space="preserve">Mitigated by access control (Chapter 1), encryption at rest and in transit (Chapter 4), error contracts that do not leak internals (Chapter 12), and inspected egress to prevent unauthorized exfiltration (Chapter 2). The threat is multi-faceted — disclosure can occur through deliberate exfiltration, through misconfigured public storage, through chatty error messages, through analytics SDKs, through poisoned cache entries — and each pathway has a corresponding mitigation in this document.</w:t>
      </w:r>
    </w:p>
    <w:p>
      <w:pPr>
        <w:pStyle w:val="BodyText"/>
      </w:pPr>
      <w:r>
        <w:rPr>
          <w:b/>
          <w:bCs/>
        </w:rPr>
        <w:t xml:space="preserve">Denial of service.</w:t>
      </w:r>
      <w:r>
        <w:t xml:space="preserve"> </w:t>
      </w:r>
      <w:r>
        <w:t xml:space="preserve">Mitigated by edge protections (Chapter 2), resource quotas and rate limits at the API gateway (Chapter 16), bulkheads and circuit breakers in application code (Chapter 13), and autoscaling with bounded upper limits (Chapter 7). DoS may be intentional (a hostile actor flooding the service) or accidental (a misbehaving client retrying aggressively); the mitigations apply to both.</w:t>
      </w:r>
    </w:p>
    <w:p>
      <w:pPr>
        <w:pStyle w:val="BodyText"/>
      </w:pPr>
      <w:r>
        <w:rPr>
          <w:b/>
          <w:bCs/>
        </w:rPr>
        <w:t xml:space="preserve">Elevation of privilege.</w:t>
      </w:r>
      <w:r>
        <w:t xml:space="preserve"> </w:t>
      </w:r>
      <w:r>
        <w:t xml:space="preserve">Mitigated by least-privilege IAM (Chapter 1), permission boundaries, immutable infrastructure (Chapter 15) that defeats persistent in-place compromise, container hardening (Chapter 5), and Pod Security Standards (Chapter 6). The corporate posture is that a single defect should not yield more than the privileges of the defective component; defense-in-depth across these chapters operationalizes that posture.</w:t>
      </w:r>
    </w:p>
    <w:bookmarkEnd w:id="222"/>
    <w:bookmarkStart w:id="223" w:name="threat-model-document-structure"/>
    <w:p>
      <w:pPr>
        <w:pStyle w:val="Heading3"/>
      </w:pPr>
      <w:r>
        <w:t xml:space="preserve">Threat Model Document Structure</w:t>
      </w:r>
    </w:p>
    <w:p>
      <w:pPr>
        <w:pStyle w:val="FirstParagraph"/>
      </w:pPr>
      <w:r>
        <w:t xml:space="preserve">Every corporate threat model SHALL contain, at minimum, the following sections. Each section SHALL be substantive (a one-line entry is acceptable only if the threat truly does not apply, with that fact noted).</w:t>
      </w:r>
    </w:p>
    <w:p>
      <w:pPr>
        <w:pStyle w:val="Compact"/>
        <w:numPr>
          <w:ilvl w:val="0"/>
          <w:numId w:val="1128"/>
        </w:numPr>
      </w:pPr>
      <w:r>
        <w:rPr>
          <w:b/>
          <w:bCs/>
        </w:rPr>
        <w:t xml:space="preserve">System Overview.</w:t>
      </w:r>
      <w:r>
        <w:t xml:space="preserve"> </w:t>
      </w:r>
      <w:r>
        <w:t xml:space="preserve">Brief description of the system, its users, its data, and its dependencies.</w:t>
      </w:r>
    </w:p>
    <w:p>
      <w:pPr>
        <w:pStyle w:val="Compact"/>
        <w:numPr>
          <w:ilvl w:val="0"/>
          <w:numId w:val="1128"/>
        </w:numPr>
      </w:pPr>
      <w:r>
        <w:rPr>
          <w:b/>
          <w:bCs/>
        </w:rPr>
        <w:t xml:space="preserve">Data Flow Diagram.</w:t>
      </w:r>
      <w:r>
        <w:t xml:space="preserve"> </w:t>
      </w:r>
      <w:r>
        <w:t xml:space="preserve">A diagram showing every trust boundary; the diagram SHALL be revisable as the system evolves.</w:t>
      </w:r>
    </w:p>
    <w:p>
      <w:pPr>
        <w:pStyle w:val="Compact"/>
        <w:numPr>
          <w:ilvl w:val="0"/>
          <w:numId w:val="1128"/>
        </w:numPr>
      </w:pPr>
      <w:r>
        <w:rPr>
          <w:b/>
          <w:bCs/>
        </w:rPr>
        <w:t xml:space="preserve">Asset Inventory.</w:t>
      </w:r>
      <w:r>
        <w:t xml:space="preserve"> </w:t>
      </w:r>
      <w:r>
        <w:t xml:space="preserve">List of assets in the system worth protecting, classified by data class (Chapter 18) and by criticality.</w:t>
      </w:r>
    </w:p>
    <w:p>
      <w:pPr>
        <w:pStyle w:val="Compact"/>
        <w:numPr>
          <w:ilvl w:val="0"/>
          <w:numId w:val="1128"/>
        </w:numPr>
      </w:pPr>
      <w:r>
        <w:rPr>
          <w:b/>
          <w:bCs/>
        </w:rPr>
        <w:t xml:space="preserve">Trust Boundary Analysis.</w:t>
      </w:r>
      <w:r>
        <w:t xml:space="preserve"> </w:t>
      </w:r>
      <w:r>
        <w:t xml:space="preserve">For each boundary, the controls in place and the residual risk.</w:t>
      </w:r>
    </w:p>
    <w:p>
      <w:pPr>
        <w:pStyle w:val="Compact"/>
        <w:numPr>
          <w:ilvl w:val="0"/>
          <w:numId w:val="1128"/>
        </w:numPr>
      </w:pPr>
      <w:r>
        <w:rPr>
          <w:b/>
          <w:bCs/>
        </w:rPr>
        <w:t xml:space="preserve">STRIDE Analysis.</w:t>
      </w:r>
      <w:r>
        <w:t xml:space="preserve"> </w:t>
      </w:r>
      <w:r>
        <w:t xml:space="preserve">Per asset, per category, the threats considered and the mitigations.</w:t>
      </w:r>
    </w:p>
    <w:p>
      <w:pPr>
        <w:pStyle w:val="Compact"/>
        <w:numPr>
          <w:ilvl w:val="0"/>
          <w:numId w:val="1128"/>
        </w:numPr>
      </w:pPr>
      <w:r>
        <w:rPr>
          <w:b/>
          <w:bCs/>
        </w:rPr>
        <w:t xml:space="preserve">Misuse Cases.</w:t>
      </w:r>
      <w:r>
        <w:t xml:space="preserve"> </w:t>
      </w:r>
      <w:r>
        <w:t xml:space="preserve">Specific scenarios in which an attacker accomplishes a concrete objective (account takeover, data exfiltration, financial fraud, service disruption). Each misuse case SHALL specify the entry point, the kill chain, the affected asset, and the mitigation.</w:t>
      </w:r>
    </w:p>
    <w:p>
      <w:pPr>
        <w:pStyle w:val="Compact"/>
        <w:numPr>
          <w:ilvl w:val="0"/>
          <w:numId w:val="1128"/>
        </w:numPr>
      </w:pPr>
      <w:r>
        <w:rPr>
          <w:b/>
          <w:bCs/>
        </w:rPr>
        <w:t xml:space="preserve">Assumptions.</w:t>
      </w:r>
      <w:r>
        <w:t xml:space="preserve"> </w:t>
      </w:r>
      <w:r>
        <w:t xml:space="preserve">Explicit assumptions made by the threat model (e.g.,</w:t>
      </w:r>
      <w:r>
        <w:t xml:space="preserve"> </w:t>
      </w:r>
      <w:r>
        <w:t xml:space="preserve">“the corporate edge is correctly configured”</w:t>
      </w:r>
      <w:r>
        <w:t xml:space="preserve">,</w:t>
      </w:r>
      <w:r>
        <w:t xml:space="preserve"> </w:t>
      </w:r>
      <w:r>
        <w:t xml:space="preserve">“the upstream identity provider is not compromised”</w:t>
      </w:r>
      <w:r>
        <w:t xml:space="preserve">). Assumptions are the part of the model most likely to be invalidated by future events and SHALL be re-examined at refresh time.</w:t>
      </w:r>
    </w:p>
    <w:p>
      <w:pPr>
        <w:pStyle w:val="Compact"/>
        <w:numPr>
          <w:ilvl w:val="0"/>
          <w:numId w:val="1128"/>
        </w:numPr>
      </w:pPr>
      <w:r>
        <w:rPr>
          <w:b/>
          <w:bCs/>
        </w:rPr>
        <w:t xml:space="preserve">Residual Risk Statement.</w:t>
      </w:r>
      <w:r>
        <w:t xml:space="preserve"> </w:t>
      </w:r>
      <w:r>
        <w:t xml:space="preserve">What risk remains after all in-scope mitigations are applied, and the rationale for accepting that residual risk.</w:t>
      </w:r>
    </w:p>
    <w:p>
      <w:pPr>
        <w:pStyle w:val="Compact"/>
        <w:numPr>
          <w:ilvl w:val="0"/>
          <w:numId w:val="1128"/>
        </w:numPr>
      </w:pPr>
      <w:r>
        <w:rPr>
          <w:b/>
          <w:bCs/>
        </w:rPr>
        <w:t xml:space="preserve">Action Plan.</w:t>
      </w:r>
      <w:r>
        <w:t xml:space="preserve"> </w:t>
      </w:r>
      <w:r>
        <w:t xml:space="preserve">Open mitigation actions with owners and target dates.</w:t>
      </w:r>
    </w:p>
    <w:bookmarkEnd w:id="223"/>
    <w:bookmarkStart w:id="224" w:name="threat-library-maintenance"/>
    <w:p>
      <w:pPr>
        <w:pStyle w:val="Heading3"/>
      </w:pPr>
      <w:r>
        <w:t xml:space="preserve">Threat-Library Maintenance</w:t>
      </w:r>
    </w:p>
    <w:p>
      <w:pPr>
        <w:pStyle w:val="FirstParagraph"/>
      </w:pPr>
      <w:r>
        <w:t xml:space="preserve">The corporate security council SHALL maintain a threat library: a catalog of patterns observed in industry incident reports and in the corporation’s own post-incident reviews, with the controls in this document that mitigate each. The library SHALL be the starting point for new threat models. When a real incident reveals a previously uncatalogued threat, the library SHALL be updated within thirty (30) days of the post-incident review.</w:t>
      </w:r>
    </w:p>
    <w:bookmarkEnd w:id="224"/>
    <w:bookmarkStart w:id="225" w:name="adversary-capability-tiers"/>
    <w:p>
      <w:pPr>
        <w:pStyle w:val="Heading3"/>
      </w:pPr>
      <w:r>
        <w:t xml:space="preserve">Adversary Capability Tiers</w:t>
      </w:r>
    </w:p>
    <w:p>
      <w:pPr>
        <w:pStyle w:val="FirstParagraph"/>
      </w:pPr>
      <w:r>
        <w:t xml:space="preserve">For brevity and consistency, the corporate threat models use a four-tier adversary capability scale:</w:t>
      </w:r>
    </w:p>
    <w:p>
      <w:pPr>
        <w:pStyle w:val="Compact"/>
        <w:numPr>
          <w:ilvl w:val="0"/>
          <w:numId w:val="1129"/>
        </w:numPr>
      </w:pPr>
      <w:r>
        <w:rPr>
          <w:b/>
          <w:bCs/>
        </w:rPr>
        <w:t xml:space="preserve">Tier A — opportunistic.</w:t>
      </w:r>
      <w:r>
        <w:t xml:space="preserve"> </w:t>
      </w:r>
      <w:r>
        <w:t xml:space="preserve">An adversary scanning broadly for weak configurations; minimal customization; limited persistence. Catches misconfigured public buckets, default credentials, exposed admin panels.</w:t>
      </w:r>
    </w:p>
    <w:p>
      <w:pPr>
        <w:pStyle w:val="Compact"/>
        <w:numPr>
          <w:ilvl w:val="0"/>
          <w:numId w:val="1129"/>
        </w:numPr>
      </w:pPr>
      <w:r>
        <w:rPr>
          <w:b/>
          <w:bCs/>
        </w:rPr>
        <w:t xml:space="preserve">Tier B — focused criminal.</w:t>
      </w:r>
      <w:r>
        <w:t xml:space="preserve"> </w:t>
      </w:r>
      <w:r>
        <w:t xml:space="preserve">An adversary targeting the corporation specifically for financial gain (ransomware, payment fraud, business-email compromise). Moderate customization; willing to invest weeks; uses commodity tooling combined with social engineering.</w:t>
      </w:r>
    </w:p>
    <w:p>
      <w:pPr>
        <w:pStyle w:val="Compact"/>
        <w:numPr>
          <w:ilvl w:val="0"/>
          <w:numId w:val="1129"/>
        </w:numPr>
      </w:pPr>
      <w:r>
        <w:rPr>
          <w:b/>
          <w:bCs/>
        </w:rPr>
        <w:t xml:space="preserve">Tier C — advanced criminal or sophisticated insider.</w:t>
      </w:r>
      <w:r>
        <w:t xml:space="preserve"> </w:t>
      </w:r>
      <w:r>
        <w:t xml:space="preserve">Tier B plus custom malware, supply-chain attack vectors, and capability to recruit insiders. Willing to invest months and to maintain quiet persistence.</w:t>
      </w:r>
    </w:p>
    <w:p>
      <w:pPr>
        <w:pStyle w:val="Compact"/>
        <w:numPr>
          <w:ilvl w:val="0"/>
          <w:numId w:val="1129"/>
        </w:numPr>
      </w:pPr>
      <w:r>
        <w:rPr>
          <w:b/>
          <w:bCs/>
        </w:rPr>
        <w:t xml:space="preserve">Tier D — nation-state.</w:t>
      </w:r>
      <w:r>
        <w:t xml:space="preserve"> </w:t>
      </w:r>
      <w:r>
        <w:t xml:space="preserve">Tier C plus zero-day capability, hardware compromise, and willingness to invest years.</w:t>
      </w:r>
    </w:p>
    <w:p>
      <w:pPr>
        <w:pStyle w:val="FirstParagraph"/>
      </w:pPr>
      <w:r>
        <w:t xml:space="preserve">Tier 1 and Tier 2 corporate workloads SHALL be modeled against at least Tier B; tier-1 workloads that handle Restricted data SHALL additionally consider Tier C. Tier D adversaries are out of scope for most workloads but SHALL be considered for systems that handle the most sensitive corporate or customer data.</w:t>
      </w:r>
    </w:p>
    <w:bookmarkEnd w:id="225"/>
    <w:bookmarkStart w:id="226" w:name="threat-modeling-cadence"/>
    <w:p>
      <w:pPr>
        <w:pStyle w:val="Heading3"/>
      </w:pPr>
      <w:r>
        <w:t xml:space="preserve">Threat Modeling Cadence</w:t>
      </w:r>
    </w:p>
    <w:p>
      <w:pPr>
        <w:pStyle w:val="FirstParagraph"/>
      </w:pPr>
      <w:r>
        <w:t xml:space="preserve">A threat model SHALL be produced before the first production deployment of a tier-1 or tier-2 workload. The threat model SHALL be refreshed at least annually, and additionally on any of the following triggers:</w:t>
      </w:r>
    </w:p>
    <w:p>
      <w:pPr>
        <w:pStyle w:val="Compact"/>
        <w:numPr>
          <w:ilvl w:val="0"/>
          <w:numId w:val="1130"/>
        </w:numPr>
      </w:pPr>
      <w:r>
        <w:t xml:space="preserve">A new external integration is added.</w:t>
      </w:r>
    </w:p>
    <w:p>
      <w:pPr>
        <w:pStyle w:val="Compact"/>
        <w:numPr>
          <w:ilvl w:val="0"/>
          <w:numId w:val="1130"/>
        </w:numPr>
      </w:pPr>
      <w:r>
        <w:t xml:space="preserve">A new authentication mechanism is introduced.</w:t>
      </w:r>
    </w:p>
    <w:p>
      <w:pPr>
        <w:pStyle w:val="Compact"/>
        <w:numPr>
          <w:ilvl w:val="0"/>
          <w:numId w:val="1130"/>
        </w:numPr>
      </w:pPr>
      <w:r>
        <w:t xml:space="preserve">A new data class is processed (e.g., the system begins to handle Restricted data).</w:t>
      </w:r>
    </w:p>
    <w:p>
      <w:pPr>
        <w:pStyle w:val="Compact"/>
        <w:numPr>
          <w:ilvl w:val="0"/>
          <w:numId w:val="1130"/>
        </w:numPr>
      </w:pPr>
      <w:r>
        <w:t xml:space="preserve">A material change is made to the data-flow diagram (new service added, service relocated, dependency replaced).</w:t>
      </w:r>
    </w:p>
    <w:p>
      <w:pPr>
        <w:pStyle w:val="Compact"/>
        <w:numPr>
          <w:ilvl w:val="0"/>
          <w:numId w:val="1130"/>
        </w:numPr>
      </w:pPr>
      <w:r>
        <w:t xml:space="preserve">A relevant industry incident reveals a previously uncatalogued threat that may apply.</w:t>
      </w:r>
    </w:p>
    <w:p>
      <w:pPr>
        <w:pStyle w:val="FirstParagraph"/>
      </w:pPr>
      <w:r>
        <w:t xml:space="preserve">The refresh SHALL be a substantive review, not a date-stamp update; the revised threat model SHALL be checked into the workload’s repository alongside the prior version, preserving the genealogy.</w:t>
      </w:r>
    </w:p>
    <w:bookmarkEnd w:id="226"/>
    <w:bookmarkStart w:id="227" w:name="threat-modeling-and-architecture-review"/>
    <w:p>
      <w:pPr>
        <w:pStyle w:val="Heading3"/>
      </w:pPr>
      <w:r>
        <w:t xml:space="preserve">Threat Modeling and Architecture Review</w:t>
      </w:r>
    </w:p>
    <w:p>
      <w:pPr>
        <w:pStyle w:val="FirstParagraph"/>
      </w:pPr>
      <w:r>
        <w:t xml:space="preserve">The Architecture Review Board (Chapter 19) SHALL incorporate the threat model into its review. ARB reviewers SHALL be capable of evaluating a STRIDE-based model against the corporate threat library and SHALL flag missing mitigations or insufficiently justified residual risk. The ARB outcome SHALL note which threats are accepted, which are mitigated, and which require follow-up work prior to production go-live.</w:t>
      </w:r>
    </w:p>
    <w:bookmarkEnd w:id="227"/>
    <w:bookmarkStart w:id="228" w:name="tools-and-notation"/>
    <w:p>
      <w:pPr>
        <w:pStyle w:val="Heading3"/>
      </w:pPr>
      <w:r>
        <w:t xml:space="preserve">Tools and Notation</w:t>
      </w:r>
    </w:p>
    <w:p>
      <w:pPr>
        <w:pStyle w:val="FirstParagraph"/>
      </w:pPr>
      <w:r>
        <w:t xml:space="preserve">The corporate-approved threat-modeling tools are the Microsoft Threat Modeling Tool, OWASP Threat Dragon, and IriusRisk; teams MAY use any of these or any tool that emits the equivalent artifacts (DFD, threat list, mitigation mapping). The notation SHALL be plain enough that reviewers across teams can read each other’s threat models without specialized training.</w:t>
      </w:r>
    </w:p>
    <w:bookmarkEnd w:id="228"/>
    <w:bookmarkStart w:id="229" w:name="references-20"/>
    <w:p>
      <w:pPr>
        <w:pStyle w:val="Heading3"/>
      </w:pPr>
      <w:r>
        <w:t xml:space="preserve">References</w:t>
      </w:r>
    </w:p>
    <w:p>
      <w:pPr>
        <w:pStyle w:val="Compact"/>
        <w:numPr>
          <w:ilvl w:val="0"/>
          <w:numId w:val="1131"/>
        </w:numPr>
      </w:pPr>
      <w:r>
        <w:t xml:space="preserve">Microsoft Security Development Lifecycle — Threat Modeling: https://www.microsoft.com/en-us/securityengineering/sdl/threatmodeling</w:t>
      </w:r>
    </w:p>
    <w:p>
      <w:pPr>
        <w:pStyle w:val="Compact"/>
        <w:numPr>
          <w:ilvl w:val="0"/>
          <w:numId w:val="1131"/>
        </w:numPr>
      </w:pPr>
      <w:r>
        <w:t xml:space="preserve">Microsoft Learn — Microsoft Threat Modeling Tool: https://learn.microsoft.com/en-us/azure/security/develop/threat-modeling-tool</w:t>
      </w:r>
    </w:p>
    <w:p>
      <w:pPr>
        <w:pStyle w:val="Compact"/>
        <w:numPr>
          <w:ilvl w:val="0"/>
          <w:numId w:val="1131"/>
        </w:numPr>
      </w:pPr>
      <w:r>
        <w:t xml:space="preserve">OWASP — Threat Modeling: https://owasp.org/www-community/Threat_Modeling</w:t>
      </w:r>
    </w:p>
    <w:p>
      <w:pPr>
        <w:pStyle w:val="Compact"/>
        <w:numPr>
          <w:ilvl w:val="0"/>
          <w:numId w:val="1131"/>
        </w:numPr>
      </w:pPr>
      <w:r>
        <w:t xml:space="preserve">OWASP Threat Dragon: https://owasp.org/www-project-threat-dragon/</w:t>
      </w:r>
    </w:p>
    <w:p>
      <w:pPr>
        <w:pStyle w:val="Compact"/>
        <w:numPr>
          <w:ilvl w:val="0"/>
          <w:numId w:val="1131"/>
        </w:numPr>
      </w:pPr>
      <w:r>
        <w:t xml:space="preserve">NIST SP 800-154 — Guide to Data-Centric System Threat Modeling.</w:t>
      </w:r>
    </w:p>
    <w:p>
      <w:pPr>
        <w:pStyle w:val="Compact"/>
        <w:numPr>
          <w:ilvl w:val="0"/>
          <w:numId w:val="1131"/>
        </w:numPr>
      </w:pPr>
      <w:r>
        <w:t xml:space="preserve">Adam Shostack — Threat Modeling: Designing for Security (Wiley, 2014).</w:t>
      </w:r>
    </w:p>
    <w:p>
      <w:pPr>
        <w:pStyle w:val="Compact"/>
        <w:numPr>
          <w:ilvl w:val="0"/>
          <w:numId w:val="1131"/>
        </w:numPr>
      </w:pPr>
      <w:r>
        <w:t xml:space="preserve">Brook Schoenfield — Securing Systems: Applied Security Architecture and Threat Models.</w:t>
      </w:r>
    </w:p>
    <w:p>
      <w:pPr>
        <w:pStyle w:val="Compact"/>
        <w:numPr>
          <w:ilvl w:val="0"/>
          <w:numId w:val="1131"/>
        </w:numPr>
      </w:pPr>
      <w:r>
        <w:t xml:space="preserve">IEEE Center for Secure Design — Avoiding the Top Ten Software Security Design Flaws.</w:t>
      </w:r>
    </w:p>
    <w:bookmarkEnd w:id="229"/>
    <w:bookmarkEnd w:id="230"/>
    <w:bookmarkEnd w:id="2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2026-06-30T23:10:34Z</dcterms:created>
  <dcterms:modified xsi:type="dcterms:W3CDTF">2026-06-30T23:10:34Z</dcterms:modified>
</cp:coreProperties>
</file>

<file path=docProps/custom.xml><?xml version="1.0" encoding="utf-8"?>
<Properties xmlns="http://schemas.openxmlformats.org/officeDocument/2006/custom-properties" xmlns:vt="http://schemas.openxmlformats.org/officeDocument/2006/docPropsVTypes"/>
</file>