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e718cefb0a054ac6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commentRangeStart w:id="1"/>
      <w:r>
        <w:rPr>
          <w:b/>
          <w:sz w:val="32"/>
        </w:rPr>
        <w:t>IT SERVICES AGREEMENT</w:t>
      </w:r>
      <w:commentRangeEnd w:id="1"/>
      <w:r>
        <w:commentReference w:id="1"/>
      </w:r>
    </w:p>
    <w:p>
      <w:r>
        <w:t>This IT Services Agreement ("Agreement") is entered into as of [Effective Date], by and between Contoso ("Company") and Vendor Corp ("Vendor").</w:t>
      </w:r>
    </w:p>
    <w:p/>
    <w:p>
      <w:pPr>
        <w:pStyle w:val="Heading2"/>
      </w:pPr>
      <w:r>
        <w:rPr>
          <w:b/>
          <w:sz w:val="26"/>
        </w:rPr>
        <w:t>1. TERM AND TERMINATION</w:t>
      </w:r>
    </w:p>
    <w:p>
      <w:r>
        <w:t xml:space="preserve">1.1 This Agreement shall commence on the Effective Date and shall continue for a period of twelve (12) months unless terminated earlier in accordance with this Agreement.</w:t>
      </w:r>
    </w:p>
    <w:p>
      <w:commentRangeStart w:id="2"/>
      <w:r>
        <w:t xml:space="preserve">1.2 Either party may terminate this Agreement with 30 days written notice to the other party.</w:t>
      </w:r>
      <w:commentRangeEnd w:id="2"/>
      <w:r>
        <w:commentReference w:id="2"/>
      </w:r>
    </w:p>
    <w:p>
      <w:r>
        <w:t xml:space="preserve">1.3 Upon termination, the Vendor shall return all Company materials within 15 business days.</w:t>
      </w:r>
    </w:p>
    <w:p/>
    <w:p>
      <w:pPr>
        <w:pStyle w:val="Heading2"/>
      </w:pPr>
      <w:r>
        <w:rPr>
          <w:b/>
          <w:sz w:val="26"/>
        </w:rPr>
        <w:t>2. SCOPE OF SERVICES</w:t>
      </w:r>
    </w:p>
    <w:p>
      <w:r>
        <w:t xml:space="preserve">2.1 The Vendor shall provide information technology consulting services as described in Exhibit A, including but not limited to software development, system integration, and technical support.</w:t>
      </w:r>
    </w:p>
    <w:p>
      <w:r>
        <w:t xml:space="preserve">2.2 The Vendor shall make commercially reasonable efforts to meet the service levels described in the Service Level Agreement (SLA) attached hereto.</w:t>
      </w:r>
    </w:p>
    <w:p>
      <w:commentRangeStart w:id="3"/>
      <w:r>
        <w:t xml:space="preserve">2.3 The Vendor may subcontract any portion of the services without prior notice to the Company.</w:t>
      </w:r>
      <w:commentRangeEnd w:id="3"/>
      <w:r>
        <w:commentReference w:id="3"/>
      </w:r>
    </w:p>
    <w:p/>
    <w:p>
      <w:pPr>
        <w:pStyle w:val="Heading2"/>
      </w:pPr>
      <w:r>
        <w:rPr>
          <w:b/>
          <w:sz w:val="26"/>
        </w:rPr>
        <w:t>3. AI TECHNOLOGY SERVICES</w:t>
      </w:r>
    </w:p>
    <w:p>
      <w:commentRangeStart w:id="4"/>
      <w:commentRangeStart w:id="5"/>
      <w:r>
        <w:t>3.1 The Vendor shall deploy an AI-powered analytics platform to process customer transaction patterns and operational data.</w:t>
      </w:r>
      <w:commentRangeEnd w:id="4"/>
      <w:r>
        <w:commentReference w:id="4"/>
      </w:r>
      <w:commentRangeEnd w:id="5"/>
      <w:r>
        <w:commentReference w:id="5"/>
      </w:r>
    </w:p>
    <w:p>
      <w:r>
        <w:t xml:space="preserve">3.2 The AI models used shall be at the Vendor's sole discretion, and the Vendor may update, retrain, or replace models as it deems appropriate without prior notice to the Company.</w:t>
      </w:r>
    </w:p>
    <w:p>
      <w:r>
        <w:t>3.3 The platform shall employ automated decision-making with no human oversight for operational optimization.</w:t>
      </w:r>
    </w:p>
    <w:p>
      <w:r>
        <w:t xml:space="preserve">3.4 The Vendor may use Company data to improve its AI models and algorithms.</w:t>
      </w:r>
    </w:p>
    <w:p/>
    <w:p>
      <w:pPr>
        <w:pStyle w:val="Heading2"/>
      </w:pPr>
      <w:r>
        <w:rPr>
          <w:b/>
          <w:sz w:val="26"/>
        </w:rPr>
        <w:t>4. PAYMENT TERMS</w:t>
      </w:r>
    </w:p>
    <w:p>
      <w:commentRangeStart w:id="6"/>
      <w:r>
        <w:t xml:space="preserve">4.1 The Company shall pay the Vendor within 60 days of receipt of a valid invoice.</w:t>
      </w:r>
      <w:commentRangeEnd w:id="6"/>
      <w:r>
        <w:commentReference w:id="6"/>
      </w:r>
    </w:p>
    <w:p>
      <w:commentRangeStart w:id="7"/>
      <w:r>
        <w:t xml:space="preserve">4.2 All fees are inclusive of applicable taxes.</w:t>
      </w:r>
      <w:commentRangeEnd w:id="7"/>
      <w:r>
        <w:commentReference w:id="7"/>
      </w:r>
    </w:p>
    <w:p>
      <w:commentRangeStart w:id="8"/>
      <w:r>
        <w:t xml:space="preserve">4.3 Late payments shall accrue interest at a rate of 2% per month.</w:t>
      </w:r>
      <w:commentRangeEnd w:id="8"/>
      <w:r>
        <w:commentReference w:id="8"/>
      </w:r>
    </w:p>
    <w:p/>
    <w:p>
      <w:pPr>
        <w:pStyle w:val="Heading2"/>
      </w:pPr>
      <w:r>
        <w:rPr>
          <w:b/>
          <w:sz w:val="26"/>
        </w:rPr>
        <w:t>5. TAX PROVISIONS</w:t>
      </w:r>
    </w:p>
    <w:p>
      <w:r>
        <w:t xml:space="preserve">5.1 The Vendor shall be solely responsible for all income taxes arising from payments received under this Agreement.</w:t>
      </w:r>
    </w:p>
    <w:p>
      <w:commentRangeStart w:id="9"/>
      <w:r>
        <w:t xml:space="preserve">5.2 The Vendor shall provide services from the Vendor's global offices, including facilities in the United States, India, and the Philippines.</w:t>
      </w:r>
      <w:commentRangeEnd w:id="9"/>
      <w:r>
        <w:commentReference w:id="9"/>
      </w:r>
    </w:p>
    <w:p>
      <w:r>
        <w:t xml:space="preserve">5.3 The Vendor shall not create a permanent establishment of the Company in any jurisdiction.</w:t>
      </w:r>
    </w:p>
    <w:p/>
    <w:p>
      <w:pPr>
        <w:pStyle w:val="Heading2"/>
      </w:pPr>
      <w:r>
        <w:rPr>
          <w:b/>
          <w:sz w:val="26"/>
        </w:rPr>
        <w:t>6. CONFIDENTIALITY</w:t>
      </w:r>
    </w:p>
    <w:p>
      <w:r>
        <w:t xml:space="preserve">6.1 The Vendor agrees to keep all information received from the Company confidential and shall not disclose such information to any third party without prior written consent.</w:t>
      </w:r>
    </w:p>
    <w:p>
      <w:commentRangeStart w:id="10"/>
      <w:r>
        <w:t xml:space="preserve">6.2 The confidentiality obligations shall survive for a period of two (2) years following termination of this Agreement.</w:t>
      </w:r>
      <w:commentRangeEnd w:id="10"/>
      <w:r>
        <w:commentReference w:id="10"/>
      </w:r>
    </w:p>
    <w:p/>
    <w:p>
      <w:pPr>
        <w:pStyle w:val="Heading2"/>
      </w:pPr>
      <w:r>
        <w:rPr>
          <w:b/>
          <w:sz w:val="26"/>
        </w:rPr>
        <w:t>7. DATA PROTECTION AND PRIVACY</w:t>
      </w:r>
    </w:p>
    <w:p>
      <w:commentRangeStart w:id="11"/>
      <w:r>
        <w:t xml:space="preserve">7.1 The Vendor shall comply with all applicable data protection laws in performing its obligations under this Agreement.</w:t>
      </w:r>
      <w:commentRangeEnd w:id="11"/>
      <w:r>
        <w:commentReference w:id="11"/>
      </w:r>
    </w:p>
    <w:p>
      <w:commentRangeStart w:id="12"/>
      <w:r>
        <w:t xml:space="preserve">7.2 Personal data collected under this Agreement may be transferred to and processed in any country where the Vendor operates.</w:t>
      </w:r>
      <w:commentRangeEnd w:id="12"/>
      <w:r>
        <w:commentReference w:id="12"/>
      </w:r>
    </w:p>
    <w:p>
      <w:commentRangeStart w:id="13"/>
      <w:r>
        <w:t xml:space="preserve">7.3 In the event of a data breach, the Vendor shall notify the Company within 72 hours of becoming aware of such breach.</w:t>
      </w:r>
      <w:commentRangeEnd w:id="13"/>
      <w:r>
        <w:commentReference w:id="13"/>
      </w:r>
    </w:p>
    <w:p>
      <w:commentRangeStart w:id="14"/>
      <w:r>
        <w:t xml:space="preserve">7.4 The consent of the data subjects may be obtained at the Vendor's discretion.</w:t>
      </w:r>
      <w:commentRangeEnd w:id="14"/>
      <w:r>
        <w:commentReference w:id="14"/>
      </w:r>
    </w:p>
    <w:p>
      <w:commentRangeStart w:id="15"/>
      <w:r>
        <w:t xml:space="preserve">7.5 Personal data shall be retained for as long as the Vendor deems necessary for the purposes of this Agreement and any applicable legal or regulatory requirements.</w:t>
      </w:r>
      <w:commentRangeEnd w:id="15"/>
      <w:r>
        <w:commentReference w:id="15"/>
      </w:r>
    </w:p>
    <w:p/>
    <w:p>
      <w:pPr>
        <w:pStyle w:val="Heading2"/>
      </w:pPr>
      <w:r>
        <w:rPr>
          <w:b/>
          <w:sz w:val="26"/>
        </w:rPr>
        <w:t>8. INTELLECTUAL PROPERTY</w:t>
      </w:r>
    </w:p>
    <w:p>
      <w:commentRangeStart w:id="16"/>
      <w:r>
        <w:t xml:space="preserve">8.1 All intellectual property created by the Vendor in the course of performing services under this Agreement shall be the property of the Vendor.</w:t>
      </w:r>
      <w:commentRangeEnd w:id="16"/>
      <w:r>
        <w:commentReference w:id="16"/>
      </w:r>
    </w:p>
    <w:p>
      <w:r>
        <w:t xml:space="preserve">8.2 The Company is granted a non-exclusive license to use any deliverables produced under this Agreement.</w:t>
      </w:r>
    </w:p>
    <w:p/>
    <w:p>
      <w:pPr>
        <w:pStyle w:val="Heading2"/>
      </w:pPr>
      <w:r>
        <w:rPr>
          <w:b/>
          <w:sz w:val="26"/>
        </w:rPr>
        <w:t>9. LIABILITY AND INDEMNIFICATION</w:t>
      </w:r>
    </w:p>
    <w:p>
      <w:commentRangeStart w:id="17"/>
      <w:r>
        <w:t xml:space="preserve">9.1 The Vendor's limitation of liability shall not exceed the total fees paid under this Agreement in the preceding 12-month period.</w:t>
      </w:r>
      <w:commentRangeEnd w:id="17"/>
      <w:r>
        <w:commentReference w:id="17"/>
      </w:r>
    </w:p>
    <w:p>
      <w:r>
        <w:t xml:space="preserve">9.2 Neither party shall be liable for any indirect, incidental, or consequential damages.</w:t>
      </w:r>
    </w:p>
    <w:p>
      <w:commentRangeStart w:id="18"/>
      <w:r>
        <w:t xml:space="preserve">9.3 The Vendor shall indemnify the Company against any claims arising from the Vendor's negligence or willful misconduct.</w:t>
      </w:r>
      <w:commentRangeEnd w:id="18"/>
      <w:r>
        <w:commentReference w:id="18"/>
      </w:r>
    </w:p>
    <w:p/>
    <w:p>
      <w:pPr>
        <w:pStyle w:val="Heading2"/>
      </w:pPr>
      <w:r>
        <w:rPr>
          <w:b/>
          <w:sz w:val="26"/>
        </w:rPr>
        <w:t>10. CYBERSECURITY</w:t>
      </w:r>
    </w:p>
    <w:p>
      <w:commentRangeStart w:id="19"/>
      <w:r>
        <w:t xml:space="preserve">10.1 The Vendor shall implement reasonable security measures to protect Company data and systems accessed during the performance of services.</w:t>
      </w:r>
      <w:commentRangeEnd w:id="19"/>
      <w:r>
        <w:commentReference w:id="19"/>
      </w:r>
    </w:p>
    <w:p>
      <w:r>
        <w:t xml:space="preserve">10.2 The Vendor shall conduct vulnerability assessments on an annual basis and provide reports to the Company upon request.</w:t>
      </w:r>
    </w:p>
    <w:p>
      <w:r>
        <w:t xml:space="preserve">10.3 The Vendor represents that its personnel assigned to this engagement are qualified professionals.</w:t>
      </w:r>
    </w:p>
    <w:p/>
    <w:p>
      <w:pPr>
        <w:pStyle w:val="Heading2"/>
      </w:pPr>
      <w:r>
        <w:rPr>
          <w:b/>
          <w:sz w:val="26"/>
        </w:rPr>
        <w:t>11. INSURANCE</w:t>
      </w:r>
    </w:p>
    <w:p>
      <w:commentRangeStart w:id="20"/>
      <w:r>
        <w:t xml:space="preserve">11.1 The Vendor shall maintain general commercial liability insurance with a minimum coverage of $1,000,000 per occurrence.</w:t>
      </w:r>
      <w:commentRangeEnd w:id="20"/>
      <w:r>
        <w:commentReference w:id="20"/>
      </w:r>
    </w:p>
    <w:p>
      <w:commentRangeStart w:id="21"/>
      <w:r>
        <w:t xml:space="preserve">11.2 The Vendor shall maintain cyber liability insurance of not less than $2,000,000 per claim.</w:t>
      </w:r>
      <w:commentRangeEnd w:id="21"/>
      <w:r>
        <w:commentReference w:id="21"/>
      </w:r>
    </w:p>
    <w:p>
      <w:r>
        <w:t xml:space="preserve">11.3 The Vendor shall maintain insurance coverage for the duration of this Agreement.</w:t>
      </w:r>
    </w:p>
    <w:p>
      <w:r>
        <w:t xml:space="preserve">11.4 The Vendor shall provide proof of insurance upon request by the Company.</w:t>
      </w:r>
    </w:p>
    <w:p/>
    <w:p>
      <w:pPr>
        <w:pStyle w:val="Heading2"/>
      </w:pPr>
      <w:r>
        <w:rPr>
          <w:b/>
          <w:sz w:val="26"/>
        </w:rPr>
        <w:t>12. GOVERNING LAW</w:t>
      </w:r>
    </w:p>
    <w:p>
      <w:commentRangeStart w:id="22"/>
      <w:r>
        <w:t xml:space="preserve">12.1 This Agreement shall be governed by and construed in accordance with the laws of the Province of Ontario.</w:t>
      </w:r>
      <w:commentRangeEnd w:id="22"/>
      <w:r>
        <w:commentReference w:id="22"/>
      </w:r>
    </w:p>
    <w:p>
      <w:r>
        <w:t xml:space="preserve">12.2 Any disputes arising under this Agreement shall be resolved through binding arbitration in the city of Toronto.</w:t>
      </w:r>
    </w:p>
    <w:p/>
    <w:p>
      <w:pPr>
        <w:pStyle w:val="Heading2"/>
      </w:pPr>
      <w:r>
        <w:rPr>
          <w:b/>
          <w:sz w:val="26"/>
        </w:rPr>
        <w:t>IN WITNESS WHEREOF</w:t>
      </w:r>
    </w:p>
    <w:p>
      <w:r>
        <w:t xml:space="preserve">The parties have executed this Agreement as of the date first written above.</w:t>
      </w:r>
    </w:p>
    <w:p/>
    <w:p>
      <w:r>
        <w:t>CONTOSO</w:t>
      </w:r>
    </w:p>
    <w:p>
      <w:r>
        <w:t xml:space="preserve">By: ____________________________</w:t>
      </w:r>
    </w:p>
    <w:p>
      <w:r>
        <w:t xml:space="preserve">Name:</w:t>
      </w:r>
    </w:p>
    <w:p>
      <w:r>
        <w:t xml:space="preserve">Title:</w:t>
      </w:r>
    </w:p>
    <w:p>
      <w:r>
        <w:t xml:space="preserve">Date:</w:t>
      </w:r>
    </w:p>
    <w:p/>
    <w:p>
      <w:r>
        <w:t xml:space="preserve">VENDOR CORP</w:t>
      </w:r>
    </w:p>
    <w:p>
      <w:r>
        <w:t xml:space="preserve">By: ____________________________</w:t>
      </w:r>
    </w:p>
    <w:p>
      <w:r>
        <w:t xml:space="preserve">Name:</w:t>
      </w:r>
    </w:p>
    <w:p>
      <w:r>
        <w:t xml:space="preserve">Title:</w:t>
      </w:r>
    </w:p>
    <w:p>
      <w:r>
        <w:t xml:space="preserve">Date:</w:t>
      </w:r>
    </w:p>
  </w:body>
</w:document>
</file>

<file path=word/comments.xml><?xml version="1.0" encoding="utf-8"?>
<w:comments xmlns:w="http://schemas.openxmlformats.org/wordprocessingml/2006/main">
  <w:comment w:initials="CG" w:author="🕵 - Compliance guidance" w:date="2000-01-01T00:00:00Z" w:id="1">
    <w:p>
      <w:r>
        <w:t xml:space="preserve">📋 LAMBDA-RAG GAP ANALYSIS — 1 mandatory topic(s) not addressed:
• [Legal / CTSO-WAR-001] Warranties must include a defined remedy / cure period.</w:t>
      </w:r>
    </w:p>
  </w:comment>
  <w:comment w:initials="LG" w:author="🕵 - Legal guidance" w:date="2000-01-01T00:00:00Z" w:id="2">
    <w:p>
      <w:r>
        <w:t xml:space="preserve">⚠️ MAJOR — Policy Violation
Termination for convenience must be a unilateral Contoso right (not symmetric).
Suggested remediation: Re-cast the 1. TERM AND TERMINATION clause so termination for convenience is exercisable by Contoso only.
[Policy Reference: CTSO-TERM-CONV v1.0.0]</w:t>
      </w:r>
    </w:p>
  </w:comment>
  <w:comment w:initials="CG" w:author="🕵 - Compliance guidance" w:date="2000-01-01T00:00:00Z" w:id="3">
    <w:p>
      <w:r>
        <w:t xml:space="preserve">⚠️ MAJOR — Policy Violation
Subcontracting requires Contoso's prior written approval.
Suggested remediation: Require Contoso's prior written approval before any subcontracting in the 2. SCOPE OF SERVICES clause.
[Policy Reference: CTSO-SUBK-APPROVAL v1.0.0]</w:t>
      </w:r>
    </w:p>
  </w:comment>
  <w:comment w:initials="CG" w:author="🕵 - Compliance guidance" w:date="2000-01-01T00:00:00Z" w:id="4">
    <w:p>
      <w:r>
        <w:t xml:space="preserve">🚨 CRITICAL — Must Fix Before Signing
Contracts that process Contoso data via AI must reference an AI Addendum.
Suggested remediation: Reference the Contoso AI Addendum in the 3. AI TECHNOLOGY SERVICES clause whenever AI/ML processes Contoso data.
[Policy Reference: CTSO-AI-ADDENDUM v1.0.0]</w:t>
      </w:r>
    </w:p>
  </w:comment>
  <w:comment w:initials="CG" w:author="🕵 - Compliance guidance" w:date="2000-01-01T00:00:00Z" w:id="5">
    <w:p>
      <w:r>
        <w:t xml:space="preserve">⚠️ MAJOR — Policy Violation
AI processing of Contoso data must reference the Privacy T&amp;Cs Supplement.
Suggested remediation: Reference the Contoso Privacy T&amp;Cs Supplement in the 3. AI TECHNOLOGY SERVICES clause when AI processes Contoso data.
[Policy Reference: CTSO-AI-PRIVACY-SUPP v1.1.0]</w:t>
      </w:r>
    </w:p>
  </w:comment>
  <w:comment w:initials="FG" w:author="🕵 - Finance guidance" w:date="2000-01-01T00:00:00Z" w:id="6">
    <w:p>
      <w:r>
        <w:t xml:space="preserve">⚠️ MAJOR — Policy Violation
Payment terms must be no more than 45 days (Net 45 or shorter).
Suggested remediation: Shorten the payment term in the 4. PAYMENT TERMS clause to forty-five (45) days or fewer (e.g., Net 45).
[Policy Reference: CTSO-PAY-NET45 v1.1.0]</w:t>
      </w:r>
    </w:p>
  </w:comment>
  <w:comment w:initials="FG" w:author="🕵 - Finance guidance" w:date="2000-01-01T00:00:00Z" w:id="7">
    <w:p>
      <w:r>
        <w:t xml:space="preserve">⚠️ MAJOR — Policy Violation
Pricing must be exclusive of applicable taxes (taxes are added on top, not bundled in).
Suggested remediation: State explicitly in the 4. PAYMENT TERMS clause that all prices are exclusive of applicable taxes (GST/HST/QST/withholding) and are added at invoice.
[Policy Reference: CTSO-TAX-EXCL v1.1.0]</w:t>
      </w:r>
    </w:p>
  </w:comment>
  <w:comment w:initials="FG" w:author="🕵 - Finance guidance" w:date="2000-01-01T00:00:00Z" w:id="8">
    <w:p>
      <w:r>
        <w:t xml:space="preserve">⚠️ MAJOR — Policy Violation
Late-payment interest must not exceed 1.5% per month.
Suggested remediation: Cap late-payment interest in the 4. PAYMENT TERMS clause at 1.5% per month or the maximum permitted by law, whichever is lower.
[Policy Reference: CTSO-PAY-INT-MAX v1.0.0]</w:t>
      </w:r>
    </w:p>
  </w:comment>
  <w:comment w:initials="CG" w:author="🕵 - Compliance guidance" w:date="2000-01-01T00:00:00Z" w:id="9">
    <w:p>
      <w:r>
        <w:t xml:space="preserve">⚠️ MAJOR — Policy Violation
Service-delivery locations must be approved by Contoso.
Suggested remediation: Restrict service-delivery locations to those approved by Contoso in the 5. TAX PROVISIONS clause.
[Policy Reference: CTSO-SVC-LOCATION v1.1.0]</w:t>
      </w:r>
    </w:p>
  </w:comment>
  <w:comment w:initials="PG" w:author="🕵 - Privacy guidance" w:date="2000-01-01T00:00:00Z" w:id="10">
    <w:p>
      <w:r>
        <w:t xml:space="preserve">⚠️ MAJOR — Policy Violation
Confidentiality clause must define a survival period (years) for the NDA obligations.
Suggested remediation: Add an explicit survival period (e.g., "obligations survive for five (5) years from termination") to the 6. CONFIDENTIALITY clause.
[Policy Reference: CTSO-CONF-001 v1.1.0]</w:t>
      </w:r>
    </w:p>
  </w:comment>
  <w:comment w:initials="PG" w:author="🕵 - Privacy guidance" w:date="2000-01-01T00:00:00Z" w:id="11">
    <w:p>
      <w:r>
        <w:t xml:space="preserve">⚠️ MAJOR — Policy Violation
Privacy clause must explicitly enumerate PIPEDA and Quebec Law 25 (and GDPR where applicable).
Suggested remediation: Enumerate PIPEDA, Quebec Law 25, and (where applicable) GDPR in the 7. DATA PROTECTION AND PRIVACY clause.
[Policy Reference: CTSO-PRIV-EXPLICIT-LAWS v1.0.0]</w:t>
      </w:r>
    </w:p>
  </w:comment>
  <w:comment w:initials="PG" w:author="🕵 - Privacy guidance" w:date="2000-01-01T00:00:00Z" w:id="12">
    <w:p>
      <w:r>
        <w:t xml:space="preserve">⚠️ MAJOR — Policy Violation
Personal data of Canadian passengers must remain in Canada (Contoso policy).
Suggested remediation: Restrict cross-border transfer of Canadian personal data in the 7. DATA PROTECTION AND PRIVACY clause: data must be stored and processed in Canada per Contoso policy.
[Policy Reference: CTSO-PRIV-RESIDENCY v1.0.0]</w:t>
      </w:r>
    </w:p>
  </w:comment>
  <w:comment w:initials="PG" w:author="🕵 - Privacy guidance" w:date="2000-01-01T00:00:00Z" w:id="13">
    <w:p>
      <w:r>
        <w:t xml:space="preserve">🚨 CRITICAL — Must Fix Before Signing
Privacy breach must be notified to Contoso and the Privacy Commissioner of Canada (PIPEDA: as soon as feasible).
Suggested remediation: Require breach notification to Contoso and to the Office of the Privacy Commissioner of Canada (OPC) "as soon as feasible" in the 7. DATA PROTECTION AND PRIVACY clause.
[Policy Reference: CTSO-PRIV-72H-Contoso v1.1.0]</w:t>
      </w:r>
    </w:p>
  </w:comment>
  <w:comment w:initials="PG" w:author="🕵 - Privacy guidance" w:date="2000-01-01T00:00:00Z" w:id="14">
    <w:p>
      <w:r>
        <w:t xml:space="preserve">⚠️ MAJOR — Policy Violation
Personal-data consent must follow PIPEDA explicit-consent standard (not Vendor's discretion).
Suggested remediation: Replace any "at Vendor's discretion" consent language in the 7. DATA PROTECTION AND PRIVACY clause with PIPEDA explicit-consent obligations.
[Policy Reference: CTSO-PRIV-CONSENT v1.0.0]</w:t>
      </w:r>
    </w:p>
  </w:comment>
  <w:comment w:initials="PG" w:author="🕵 - Privacy guidance" w:date="2000-01-01T00:00:00Z" w:id="15">
    <w:p>
      <w:r>
        <w:t xml:space="preserve">⚠️ MAJOR — Policy Violation
Personal-data retention must be capped (e.g., no more than 7 years post-termination).
Suggested remediation: Specify a maximum retention period (e.g., seven (7) years from termination) for personal data in the 7. DATA PROTECTION AND PRIVACY clause.
[Policy Reference: CTSO-PRIV-RETENTION v1.1.0]</w:t>
      </w:r>
    </w:p>
  </w:comment>
  <w:comment w:initials="LG" w:author="🕵 - Legal guidance" w:date="2000-01-01T00:00:00Z" w:id="16">
    <w:p>
      <w:r>
        <w:t xml:space="preserve">🚨 CRITICAL — Must Fix Before Signing
Deliverables must vest in Contoso as works made for hire (or be irrevocably assigned).
Suggested remediation: Add language to the 8. INTELLECTUAL PROPERTY clause that all Deliverables are "works made for hire" for Contoso, or are irrevocably assigned to Contoso upon creation.
[Policy Reference: CTSO-IP-WORKFORHIRE v1.0.0]</w:t>
      </w:r>
    </w:p>
  </w:comment>
  <w:comment w:initials="LG" w:author="🕵 - Legal guidance" w:date="2000-01-01T00:00:00Z" w:id="17">
    <w:p>
      <w:r>
        <w:t xml:space="preserve">🚨 CRITICAL — Must Fix Before Signing
Limitation of liability must carve out gross negligence, wilful misconduct, fraud, IP indemnity, confidentiality breach, and data breach.
Suggested remediation: Carve out gross negligence, wilful misconduct, fraud, IP indemnity, confidentiality breach, and data-breach liability from the cap in the 9. LIABILITY AND INDEMNIFICATION clause.
[Policy Reference: CTSO-LIAB-CARVEOUTS v1.1.0]</w:t>
      </w:r>
    </w:p>
  </w:comment>
  <w:comment w:initials="CG" w:author="🕵 - Compliance guidance" w:date="2000-01-01T00:00:00Z" w:id="18">
    <w:p>
      <w:r>
        <w:t xml:space="preserve">⚠️ MAJOR — Policy Violation
Indemnification clause must address third-party IP infringement (defend Contoso against IP-infringement claims).
Suggested remediation: Ensure the 9. LIABILITY AND INDEMNIFICATION clause requires the supplier to defend Contoso against third-party IP infringement claims.
[Policy Reference: CTSO-INDM-001 v1.1.0]</w:t>
      </w:r>
    </w:p>
  </w:comment>
  <w:comment w:initials="SG" w:author="🕵 - Security guidance" w:date="2000-01-01T00:00:00Z" w:id="19">
    <w:p>
      <w:r>
        <w:t xml:space="preserve">⚠️ MAJOR — Policy Violation
Security clause must specify AES-256 at rest and TLS 1.2+ in transit.
Suggested remediation: Specify AES-256 encryption at rest and TLS 1.2 or higher in transit in the 10. CYBERSECURITY clause.
[Policy Reference: CTSO-CYBER-CRYPTO v1.0.0]</w:t>
      </w:r>
    </w:p>
  </w:comment>
  <w:comment w:initials="CG" w:author="🕵 - Compliance guidance" w:date="2000-01-01T00:00:00Z" w:id="20">
    <w:p>
      <w:r>
        <w:t xml:space="preserve">⚠️ MAJOR — Policy Violation
General Commercial Liability (GCL) insurance must be at least $5,000,000 per occurrence.
Suggested remediation: Increase the General Commercial Liability limit in the 11. INSURANCE clause to at least $5,000,000 per occurrence.
[Policy Reference: CTSO-INS-GCL-5M v1.1.0]</w:t>
      </w:r>
    </w:p>
  </w:comment>
  <w:comment w:initials="CG" w:author="🕵 - Compliance guidance" w:date="2000-01-01T00:00:00Z" w:id="21">
    <w:p>
      <w:r>
        <w:t xml:space="preserve">⚠️ MAJOR — Policy Violation
Cyber liability insurance must be at least $10,000,000 per claim.
Suggested remediation: Increase the cyber-liability limit in the 11. INSURANCE clause to at least $10,000,000 per claim.
[Policy Reference: CTSO-INS-CYBER-10M v1.1.0]</w:t>
      </w:r>
    </w:p>
  </w:comment>
  <w:comment w:initials="LG" w:author="🕵 - Legal guidance" w:date="2000-01-01T00:00:00Z" w:id="22">
    <w:p>
      <w:r>
        <w:t xml:space="preserve">⚠️ MAJOR — Policy Violation
Governing law must be Quebec; venue Montreal.
Suggested remediation: Set governing law to the Province of Quebec and venue to Montreal in the 12. GOVERNING LAW clause.
[Policy Reference: CTSO-LAW-QUEBEC v1.0.0]</w:t>
      </w:r>
    </w:p>
  </w:comment>
</w: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LambdaRagComments" /></Relationships>
</file>