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2EA188C9" w:rsidR="000B329A" w:rsidRPr="00151A13" w:rsidRDefault="00CB1920" w:rsidP="000B329A">
      <w:pPr>
        <w:jc w:val="center"/>
        <w:rPr>
          <w:rFonts w:ascii="TimesNewRomanPS-BoldMT" w:hAnsi="TimesNewRomanPS-BoldMT" w:cs="TimesNewRomanPS-BoldMT"/>
          <w:b/>
          <w:lang w:val="fr-FR"/>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r>
        <w:rPr>
          <w:rFonts w:ascii="TimesNewRomanPS-BoldMT" w:hAnsi="TimesNewRomanPS-BoldMT" w:cs="TimesNewRomanPS-BoldMT"/>
          <w:b/>
        </w:rPr>
        <w:t xml:space="preserve"> sur la convention n</w:t>
      </w:r>
      <w:r w:rsidR="00151A13">
        <w:rPr>
          <w:rFonts w:ascii="TimesNewRomanPS-BoldMT" w:hAnsi="TimesNewRomanPS-BoldMT" w:cs="TimesNewRomanPS-BoldMT"/>
          <w:b/>
          <w:lang w:val="fr-FR"/>
        </w:rPr>
        <w:t xml:space="preserve">° </w:t>
      </w:r>
      <w:r w:rsidR="00151A13" w:rsidRPr="00726AEA">
        <w:rPr>
          <w:rFonts w:ascii="TimesNewRomanPSMT" w:hAnsi="TimesNewRomanPSMT" w:cs="TimesNewRomanPSMT"/>
          <w:b/>
        </w:rPr>
        <w:t>{</w:t>
      </w:r>
      <w:r w:rsidR="00151A13">
        <w:rPr>
          <w:rFonts w:ascii="TimesNewRomanPSMT" w:hAnsi="TimesNewRomanPSMT" w:cs="TimesNewRomanPSMT"/>
          <w:b/>
          <w:lang w:val="fr-FR"/>
        </w:rPr>
        <w:t xml:space="preserve">{ </w:t>
      </w:r>
      <w:r w:rsidR="00151A13" w:rsidRPr="003A1661">
        <w:rPr>
          <w:rFonts w:ascii="TimesNewRomanPS-BoldMT" w:hAnsi="TimesNewRomanPS-BoldMT" w:cs="TimesNewRomanPS-BoldMT"/>
          <w:b/>
        </w:rPr>
        <w:t>convention.</w:t>
      </w:r>
      <w:r w:rsidR="00151A13">
        <w:rPr>
          <w:rFonts w:ascii="TimesNewRomanPS-BoldMT" w:hAnsi="TimesNewRomanPS-BoldMT" w:cs="TimesNewRomanPS-BoldMT"/>
          <w:b/>
          <w:lang w:val="fr-FR"/>
        </w:rPr>
        <w:t>parent.</w:t>
      </w:r>
      <w:r w:rsidR="00151A13" w:rsidRPr="003A1661">
        <w:rPr>
          <w:rFonts w:ascii="TimesNewRomanPS-BoldMT" w:hAnsi="TimesNewRomanPS-BoldMT" w:cs="TimesNewRomanPS-BoldMT"/>
          <w:b/>
        </w:rPr>
        <w:t>numero</w:t>
      </w:r>
      <w:r w:rsidR="00151A13" w:rsidRPr="00726AEA">
        <w:rPr>
          <w:rFonts w:ascii="TimesNewRomanPSMT" w:hAnsi="TimesNewRomanPSMT" w:cs="TimesNewRomanPSMT"/>
          <w:b/>
        </w:rPr>
        <w:t xml:space="preserve"> </w:t>
      </w:r>
      <w:r w:rsidR="00151A13">
        <w:rPr>
          <w:rFonts w:ascii="TimesNewRomanPSMT" w:hAnsi="TimesNewRomanPSMT" w:cs="TimesNewRomanPSMT"/>
          <w:b/>
          <w:lang w:val="fr-FR"/>
        </w:rPr>
        <w:t>}</w:t>
      </w:r>
      <w:r w:rsidR="00151A13" w:rsidRPr="00726AEA">
        <w:rPr>
          <w:rFonts w:ascii="TimesNewRomanPSMT" w:hAnsi="TimesNewRomanPSMT" w:cs="TimesNewRomanPSMT"/>
          <w:b/>
        </w:rPr>
        <w:t>}</w:t>
      </w:r>
    </w:p>
    <w:p w14:paraId="2E59C1E0" w14:textId="77777777" w:rsidR="000B329A" w:rsidRPr="003A166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l'opération </w:t>
      </w:r>
      <w:bookmarkStart w:id="7" w:name="NomProgramme1"/>
      <w:bookmarkEnd w:id="7"/>
      <w:r>
        <w:rPr>
          <w:rFonts w:ascii="TimesNewRomanPSMT" w:hAnsi="TimesNewRomanPSMT" w:cs="TimesNewRomanPSMT"/>
        </w:rPr>
        <w:t xml:space="preserve">{{ programme.nom }}, de </w:t>
      </w:r>
      <w:bookmarkStart w:id="8" w:name="NbLogement1"/>
      <w:bookmarkEnd w:id="8"/>
      <w:r>
        <w:rPr>
          <w:rFonts w:ascii="TimesNewRomanPSMT" w:hAnsi="TimesNewRomanPSMT" w:cs="TimesNewRomanPSMT"/>
        </w:rPr>
        <w:t>{{ lot.nb_logements }} logement</w:t>
      </w:r>
      <w:bookmarkStart w:id="9" w:name="Type"/>
      <w:bookmarkEnd w:id="9"/>
      <w:r>
        <w:rPr>
          <w:rFonts w:ascii="TimesNewRomanPSMT" w:hAnsi="TimesNewRomanPSMT" w:cs="TimesNewRomanPSMT"/>
        </w:rPr>
        <w:t xml:space="preserve">{{lot.nb_logements|pl}} {{ lot.financement }}, </w:t>
      </w:r>
      <w:bookmarkStart w:id="10" w:name="Adresse1"/>
      <w:bookmarkEnd w:id="10"/>
      <w:r>
        <w:rPr>
          <w:rFonts w:ascii="TimesNewRomanPSMT" w:hAnsi="TimesNewRomanPSMT" w:cs="TimesNewRomanPSMT"/>
        </w:rPr>
        <w:t xml:space="preserve">{{ programme.adresse|inline_text_multiline }} à </w:t>
      </w:r>
      <w:bookmarkStart w:id="11" w:name="CodePostal1"/>
      <w:bookmarkEnd w:id="11"/>
      <w:r>
        <w:rPr>
          <w:rFonts w:ascii="TimesNewRomanPSMT" w:hAnsi="TimesNewRomanPSMT" w:cs="TimesNewRomanPSMT"/>
        </w:rPr>
        <w:t xml:space="preserve">{{ programme.code_postal }},  </w:t>
      </w:r>
      <w:bookmarkStart w:id="12" w:name="Ville1"/>
      <w:bookmarkEnd w:id="12"/>
      <w:r>
        <w:rPr>
          <w:rFonts w:ascii="TimesNewRomanPSMT" w:hAnsi="TimesNewRomanPSMT" w:cs="TimesNewRomanPSMT"/>
        </w:rPr>
        <w:t>{{ programme.ville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013818DD" w14:textId="77777777" w:rsidR="00325DDB" w:rsidRDefault="00325DDB">
      <w:pPr>
        <w:rPr>
          <w:rFonts w:ascii="TimesNewRomanPS-BoldMT" w:hAnsi="TimesNewRomanPS-BoldMT" w:cs="TimesNewRomanPS-BoldMT"/>
          <w:b/>
        </w:rPr>
      </w:pP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t>Article 1er.</w:t>
      </w:r>
    </w:p>
    <w:p w14:paraId="44873F53" w14:textId="77777777" w:rsidR="00D44E76" w:rsidRPr="00D44E76" w:rsidRDefault="00D44E76">
      <w:pPr>
        <w:jc w:val="center"/>
        <w:rPr>
          <w:rFonts w:ascii="TimesNewRomanPSMT" w:hAnsi="TimesNewRomanPSMT" w:cs="TimesNewRomanPSMT"/>
        </w:rPr>
      </w:pPr>
    </w:p>
    <w:p w14:paraId="708AFBB6" w14:textId="51E5FC4A" w:rsidR="00325DDB" w:rsidRDefault="00CB1920" w:rsidP="00D44E76">
      <w:pPr>
        <w:rPr>
          <w:rFonts w:ascii="TimesNewRomanPSMT" w:hAnsi="TimesNewRomanPSMT" w:cs="TimesNewRomanPSMT"/>
        </w:rPr>
      </w:pPr>
      <w:r w:rsidRPr="00CB1920">
        <w:rPr>
          <w:rFonts w:ascii="TimesNewRomanPSMT" w:hAnsi="TimesNewRomanPSMT" w:cs="TimesNewRomanPSMT"/>
        </w:rPr>
        <w:t>Le présent avenant a pour objet de modifier :</w:t>
      </w:r>
      <w:r w:rsidR="00C15AA4">
        <w:rPr>
          <w:rFonts w:ascii="TimesNewRomanPSMT" w:hAnsi="TimesNewRomanPSMT" w:cs="TimesNewRomanPSMT"/>
        </w:rPr>
        <w:br/>
      </w:r>
      <w:r w:rsidR="00C15AA4">
        <w:rPr>
          <w:rFonts w:ascii="TimesNewRomanPSMT" w:hAnsi="TimesNewRomanPSMT" w:cs="TimesNewRomanPSMT"/>
        </w:rPr>
        <w:br/>
      </w:r>
      <w:r w:rsidRPr="00CB1920">
        <w:rPr>
          <w:rFonts w:ascii="TimesNewRomanPSMT" w:hAnsi="TimesNewRomanPSMT" w:cs="TimesNewRomanPSMT"/>
        </w:rPr>
        <w:t>Modification du programme (vente, démolition partielle</w:t>
      </w:r>
      <w:r w:rsidRPr="00CB1920">
        <w:rPr>
          <w:rFonts w:ascii="TimesNewRomanPSMT" w:hAnsi="TimesNewRomanPSMT" w:cs="TimesNewRomanPSMT"/>
          <w:lang w:val="fr-FR"/>
        </w:rPr>
        <w:t>, restructuration des logts…)</w:t>
      </w:r>
    </w:p>
    <w:p w14:paraId="2E1FB879" w14:textId="77777777" w:rsidR="00325DDB" w:rsidRDefault="00325DDB" w:rsidP="00FD5A7E">
      <w:pPr>
        <w:jc w:val="both"/>
        <w:rPr>
          <w:rFonts w:ascii="TimesNewRomanPSMT" w:hAnsi="TimesNewRomanPSMT" w:cs="TimesNewRomanPSMT"/>
        </w:rPr>
      </w:pPr>
    </w:p>
    <w:p w14:paraId="4D533702" w14:textId="77777777" w:rsidR="00C15AA4" w:rsidRDefault="00325DDB" w:rsidP="00C15AA4">
      <w:pPr>
        <w:jc w:val="center"/>
      </w:pPr>
      <w:r>
        <w:rPr>
          <w:rFonts w:ascii="TimesNewRomanPSMT" w:hAnsi="TimesNewRomanPSMT" w:cs="TimesNewRomanPSMT"/>
        </w:rPr>
        <w:t>Article 2.</w:t>
      </w:r>
    </w:p>
    <w:p w14:paraId="14D722D0" w14:textId="77777777" w:rsidR="00C15AA4" w:rsidRDefault="00C15AA4" w:rsidP="00C15AA4">
      <w:pPr>
        <w:jc w:val="center"/>
      </w:pPr>
    </w:p>
    <w:p w14:paraId="7A3E3ECB" w14:textId="12885B79" w:rsidR="00325DDB" w:rsidRDefault="00C15AA4" w:rsidP="00C15AA4">
      <w:pPr>
        <w:rPr>
          <w:rFonts w:ascii="TimesNewRomanPSMT" w:hAnsi="TimesNewRomanPSMT" w:cs="TimesNewRomanPSMT"/>
        </w:rPr>
      </w:pPr>
      <w:r>
        <w:rPr>
          <w:rFonts w:ascii="TimesNewRomanPSMT" w:hAnsi="TimesNewRomanPSMT" w:cs="TimesNewRomanPSMT"/>
        </w:rPr>
        <w:t>Après correction de la convention, il faut lire :</w:t>
      </w:r>
    </w:p>
    <w:p w14:paraId="1429E7BC" w14:textId="26ABC24F" w:rsidR="00C15AA4" w:rsidRDefault="00C15AA4" w:rsidP="00C15AA4">
      <w:pPr>
        <w:rPr>
          <w:rFonts w:ascii="TimesNewRomanPSMT" w:hAnsi="TimesNewRomanPSMT" w:cs="TimesNewRomanPSMT"/>
        </w:rPr>
      </w:pPr>
    </w:p>
    <w:p w14:paraId="461AF1EE" w14:textId="77777777" w:rsidR="00C15AA4" w:rsidRDefault="00C15AA4" w:rsidP="00C15AA4">
      <w:pPr>
        <w:jc w:val="both"/>
      </w:pPr>
      <w:r>
        <w:rPr>
          <w:rFonts w:ascii="TimesNewRomanPSMT" w:hAnsi="TimesNewRomanPSMT" w:cs="TimesNewRomanPSMT"/>
        </w:rPr>
        <w:t>A.-Locaux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CB1920"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{%tr for k,v in nb_logements_par_type.items()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{%tr endfor %}</w:t>
            </w:r>
          </w:p>
        </w:tc>
      </w:tr>
    </w:tbl>
    <w:p w14:paraId="264A0E38" w14:textId="77777777" w:rsidR="00C15AA4" w:rsidRDefault="00C15AA4" w:rsidP="00C15AA4">
      <w:pPr>
        <w:rPr>
          <w:rFonts w:ascii="TimesNewRomanPSMT" w:hAnsi="TimesNewRomanPSMT" w:cs="TimesNewRomanPSMT"/>
        </w:rPr>
      </w:pPr>
    </w:p>
    <w:p w14:paraId="71D5703F" w14:textId="77777777" w:rsidR="00C15AA4" w:rsidRDefault="00C15AA4" w:rsidP="00C15AA4">
      <w:pPr>
        <w:jc w:val="both"/>
      </w:pPr>
      <w:r>
        <w:rPr>
          <w:rFonts w:ascii="TimesNewRomanPSMT" w:hAnsi="TimesNewRomanPSMT" w:cs="TimesNewRomanPSMT"/>
        </w:rPr>
        <w:t>2. Surface habitable totale (art. R. 111-2 du code de la construction et de l’habitation) : {{ sh_totale|f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3. Surface totale des annexes entrant dans le calcul de la surface utile (art. D. 353-16 (2°) du code de la construction et de l’habitation) : {{ sar_totale|f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4951F47E"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lot.annexe_remises %}</w:t>
      </w:r>
    </w:p>
    <w:p w14:paraId="681D623C" w14:textId="77777777" w:rsidR="00C15AA4" w:rsidRPr="00EC7975"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C7975">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C7975">
        <w:rPr>
          <w:rFonts w:ascii="TimesNewRomanPSMT" w:hAnsi="TimesNewRomanPSMT" w:cs="TimesNewRomanPSMT"/>
          <w:sz w:val="16"/>
          <w:szCs w:val="16"/>
        </w:rPr>
        <w:t xml:space="preserve"> </w:t>
      </w:r>
      <w:r w:rsidRPr="00EC7975">
        <w:rPr>
          <w:rFonts w:ascii="TimesNewRomanPSMT" w:hAnsi="TimesNewRomanPSMT" w:cs="TimesNewRomanPSMT"/>
        </w:rPr>
        <w:t>Remise</w:t>
      </w:r>
    </w:p>
    <w:p w14:paraId="4A4E772E"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3F3F0251"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lot.annexe_ateliers %}</w:t>
      </w:r>
    </w:p>
    <w:p w14:paraId="6F48B8C3"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53E4FACA"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275EB3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50CDF3B9"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080BF061"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4D11697E" w14:textId="77777777" w:rsidR="00C15AA4" w:rsidRPr="00EC7975" w:rsidRDefault="00C15AA4" w:rsidP="00C15AA4">
      <w:pPr>
        <w:ind w:firstLine="708"/>
        <w:jc w:val="both"/>
        <w:rPr>
          <w:rFonts w:ascii="TimesNewRomanPSMT" w:hAnsi="TimesNewRomanPSMT" w:cs="TimesNewRomanPSMT"/>
          <w:sz w:val="16"/>
          <w:szCs w:val="16"/>
          <w:lang w:val="fr-FR"/>
        </w:rPr>
      </w:pPr>
      <w:r w:rsidRPr="00EC7975">
        <w:rPr>
          <w:rFonts w:ascii="TimesNewRomanPSMT" w:hAnsi="TimesNewRomanPSMT" w:cs="TimesNewRomanPSMT"/>
          <w:sz w:val="16"/>
          <w:szCs w:val="16"/>
          <w:lang w:val="fr-FR"/>
        </w:rPr>
        <w:t>{%- if lot.annexe_celliers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576DA75"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lot.annexe_resserres %}</w:t>
      </w:r>
    </w:p>
    <w:p w14:paraId="0BA7843D" w14:textId="77777777" w:rsidR="00C15AA4" w:rsidRPr="00EC7975"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C7975">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C7975">
        <w:rPr>
          <w:rFonts w:ascii="TimesNewRomanPSMT" w:hAnsi="TimesNewRomanPSMT" w:cs="TimesNewRomanPSMT"/>
          <w:sz w:val="16"/>
          <w:szCs w:val="16"/>
        </w:rPr>
        <w:t xml:space="preserve"> </w:t>
      </w:r>
      <w:r w:rsidRPr="00EC7975">
        <w:rPr>
          <w:rFonts w:ascii="TimesNewRomanPSMT" w:hAnsi="TimesNewRomanPSMT" w:cs="TimesNewRomanPSMT"/>
        </w:rPr>
        <w:t>Resserres</w:t>
      </w:r>
    </w:p>
    <w:p w14:paraId="3488C172"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7D720F79"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lot.annexe_combles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r w:rsidRPr="00CB1920">
        <w:rPr>
          <w:rFonts w:ascii="TimesNewRomanPSMT" w:hAnsi="TimesNewRomanPSMT" w:cs="TimesNewRomanPSMT"/>
          <w:lang w:val="en-US"/>
        </w:rPr>
        <w:t>Balcons</w:t>
      </w:r>
    </w:p>
    <w:p w14:paraId="4298965C" w14:textId="77777777" w:rsidR="00C15AA4" w:rsidRPr="00EC7975" w:rsidRDefault="00C15AA4" w:rsidP="00C15AA4">
      <w:pPr>
        <w:ind w:firstLine="708"/>
        <w:jc w:val="both"/>
        <w:rPr>
          <w:rFonts w:ascii="TimesNewRomanPSMT" w:hAnsi="TimesNewRomanPSMT" w:cs="TimesNewRomanPSMT"/>
          <w:lang w:val="fr-FR"/>
        </w:rPr>
      </w:pPr>
      <w:r w:rsidRPr="00EC7975">
        <w:rPr>
          <w:rFonts w:ascii="TimesNewRomanPSMT" w:hAnsi="TimesNewRomanPSMT" w:cs="TimesNewRomanPSMT"/>
          <w:sz w:val="16"/>
          <w:szCs w:val="16"/>
          <w:lang w:val="fr-FR"/>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2A87C75E" w14:textId="77777777" w:rsidR="00C15AA4" w:rsidRDefault="00C15AA4" w:rsidP="00C15AA4">
      <w:pPr>
        <w:jc w:val="both"/>
      </w:pPr>
      <w:r>
        <w:rPr>
          <w:rFonts w:ascii="TimesNewRomanPSMT" w:hAnsi="TimesNewRomanPSMT" w:cs="TimesNewRomanPSMT"/>
        </w:rPr>
        <w:t>3 ter. Surface des locaux collectifs résidentiels :</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4. Surface utile totale de l'opération (art. D. 353-16 (2°) précité) : {{ su_totale|f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if logements.count() %}</w:t>
      </w:r>
    </w:p>
    <w:p w14:paraId="08872944" w14:textId="77777777" w:rsidR="00C15AA4" w:rsidRDefault="00C15AA4" w:rsidP="00C15AA4">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042E8AE7"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6942029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246B3DB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412B78E9"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CB1920"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{%tr endfor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B28B103" w14:textId="77777777" w:rsidR="00C15AA4" w:rsidRPr="00214566" w:rsidRDefault="00C15AA4" w:rsidP="00C15AA4">
      <w:pPr>
        <w:jc w:val="both"/>
      </w:pPr>
      <w:r>
        <w:rPr>
          <w:rFonts w:ascii="TimesNewRomanPSMT" w:hAnsi="TimesNewRomanPSMT" w:cs="TimesNewRomanPSMT"/>
        </w:rPr>
        <w:t>6. Nombre et liste des annexes susceptibles de donner lieu à perception d'un loyer accessoire : {{ liste_des_annexes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CB1920"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EC7975" w:rsidRDefault="00C15AA4" w:rsidP="00E01808">
            <w:pPr>
              <w:jc w:val="both"/>
              <w:rPr>
                <w:rFonts w:ascii="TimesNewRomanPSMT" w:hAnsi="TimesNewRomanPSMT" w:cs="TimesNewRomanPSMT"/>
                <w:sz w:val="20"/>
              </w:rPr>
            </w:pPr>
            <w:r w:rsidRPr="00EC7975">
              <w:rPr>
                <w:rFonts w:ascii="TimesNewRomanPSMT" w:hAnsi="TimesNewRomanPSMT" w:cs="TimesNewRomanPSMT"/>
                <w:sz w:val="16"/>
                <w:szCs w:val="16"/>
              </w:rPr>
              <w:t>{{ s.nb }} stationnement{{s.nb|pl}}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C15AA4" w:rsidRPr="00CB1920"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77777777" w:rsidR="00C15AA4" w:rsidRPr="006E768A" w:rsidRDefault="00C15AA4" w:rsidP="00C15AA4">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lastRenderedPageBreak/>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lang w:val="fr-FR"/>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lang w:val="fr-FR"/>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BEB74" w14:textId="77777777" w:rsidR="00504A63" w:rsidRDefault="00504A63">
      <w:r>
        <w:separator/>
      </w:r>
    </w:p>
  </w:endnote>
  <w:endnote w:type="continuationSeparator" w:id="0">
    <w:p w14:paraId="71DCDB0D" w14:textId="77777777" w:rsidR="00504A63" w:rsidRDefault="0050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B2F9F" w14:textId="77777777" w:rsidR="00504A63" w:rsidRDefault="00504A63">
      <w:r>
        <w:separator/>
      </w:r>
    </w:p>
  </w:footnote>
  <w:footnote w:type="continuationSeparator" w:id="0">
    <w:p w14:paraId="4080321E" w14:textId="77777777" w:rsidR="00504A63" w:rsidRDefault="00504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504A63">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504A63">
    <w:pPr>
      <w:pStyle w:val="Header"/>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504A63" w:rsidP="00D279D1">
    <w:pPr>
      <w:pStyle w:val="Header"/>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504A63" w:rsidP="00D279D1">
                          <w:pPr>
                            <w:pStyle w:val="Cerfa"/>
                            <w:rPr>
                              <w:sz w:val="16"/>
                              <w:szCs w:val="16"/>
                            </w:rPr>
                          </w:pPr>
                          <w:r>
                            <w:rPr>
                              <w:noProof/>
                            </w:rPr>
                            <w:object w:dxaOrig="760" w:dyaOrig="520"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2654840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504A63" w:rsidP="00D279D1">
                    <w:pPr>
                      <w:pStyle w:val="Cerfa"/>
                      <w:rPr>
                        <w:sz w:val="16"/>
                        <w:szCs w:val="16"/>
                      </w:rPr>
                    </w:pPr>
                    <w:r>
                      <w:rPr>
                        <w:noProof/>
                      </w:rPr>
                      <w:object w:dxaOrig="760" w:dyaOrig="520" w14:anchorId="2094FED2">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26548408"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2"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4725"/>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lang w:val="en-FR"/>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889</Words>
  <Characters>5073</Characters>
  <Application>Microsoft Office Word</Application>
  <DocSecurity>0</DocSecurity>
  <Lines>42</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43</cp:revision>
  <cp:lastPrinted>2021-11-30T08:37:00Z</cp:lastPrinted>
  <dcterms:created xsi:type="dcterms:W3CDTF">2022-04-08T14:14:00Z</dcterms:created>
  <dcterms:modified xsi:type="dcterms:W3CDTF">2022-10-06T06:00:00Z</dcterms:modified>
</cp:coreProperties>
</file>