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1"/>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9" w:name="Type"/>
      <w:bookmarkEnd w:id="9"/>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10" w:name="Adresse1"/>
      <w:bookmarkEnd w:id="10"/>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1" w:name="CodePostal1"/>
      <w:bookmarkEnd w:id="11"/>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2" w:name="Ville1"/>
      <w:bookmarkEnd w:id="12"/>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 représenté (e) par {{ </w:t>
      </w:r>
      <w:proofErr w:type="spellStart"/>
      <w:r>
        <w:rPr>
          <w:rFonts w:ascii="TimesNewRomanPSMT" w:hAnsi="TimesNewRomanPSMT" w:cs="TimesNewRomanPSMT"/>
        </w:rPr>
        <w:t>convention.signataire_nom</w:t>
      </w:r>
      <w:proofErr w:type="spellEnd"/>
      <w:r>
        <w:rPr>
          <w:rFonts w:ascii="TimesNewRomanPSMT" w:hAnsi="TimesNewRomanPSMT" w:cs="TimesNewRomanPSMT"/>
        </w:rPr>
        <w:t xml:space="preserve"> }}, {{ </w:t>
      </w:r>
      <w:proofErr w:type="spellStart"/>
      <w:r>
        <w:rPr>
          <w:rFonts w:ascii="TimesNewRomanPSMT" w:hAnsi="TimesNewRomanPSMT" w:cs="TimesNewRomanPSMT"/>
        </w:rPr>
        <w:t>convention.signataire_fonction</w:t>
      </w:r>
      <w:proofErr w:type="spellEnd"/>
      <w:r>
        <w:rPr>
          <w:rFonts w:ascii="TimesNewRomanPSMT" w:hAnsi="TimesNewRomanPSMT" w:cs="TimesNewRomanPSMT"/>
        </w:rPr>
        <w:t xml:space="preserve"> }} (3)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 </w:t>
      </w:r>
      <w:proofErr w:type="spellStart"/>
      <w:r>
        <w:rPr>
          <w:rFonts w:ascii="TimesNewRomanPSMT" w:hAnsi="TimesNewRomanPSMT" w:cs="TimesNewRomanPSMT"/>
        </w:rPr>
        <w:t>convention.signataire_date_deliberation|d</w:t>
      </w:r>
      <w:proofErr w:type="spellEnd"/>
      <w:r>
        <w:rPr>
          <w:rFonts w:ascii="TimesNewRomanPSMT" w:hAnsi="TimesNewRomanPSMT" w:cs="TimesNewRomanPSMT"/>
        </w:rPr>
        <w:t xml:space="preserve"> }}, inscrit sous le numéro {{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AC101E"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 xml:space="preserve">2. Surface habitable totale (art. R. 111-2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 xml:space="preserve">3. Surface totale des annexes entrant dans le calcul de la surface utile (art. D. 353-16 (2°)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951F4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lot.annexe_remises</w:t>
      </w:r>
      <w:proofErr w:type="spellEnd"/>
      <w:r w:rsidRPr="00AC101E">
        <w:rPr>
          <w:rFonts w:ascii="TimesNewRomanPSMT" w:hAnsi="TimesNewRomanPSMT" w:cs="TimesNewRomanPSMT"/>
          <w:sz w:val="16"/>
          <w:szCs w:val="16"/>
          <w:lang w:val="en-US"/>
        </w:rPr>
        <w:t xml:space="preserve"> %}</w:t>
      </w:r>
    </w:p>
    <w:p w14:paraId="681D623C"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r w:rsidRPr="00AC101E">
        <w:rPr>
          <w:rFonts w:ascii="TimesNewRomanPSMT" w:hAnsi="TimesNewRomanPSMT" w:cs="TimesNewRomanPSMT"/>
          <w:lang w:val="en-US"/>
        </w:rPr>
        <w:t>Remise</w:t>
      </w:r>
    </w:p>
    <w:p w14:paraId="4A4E772E"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3F3F0251"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_ateliers</w:t>
      </w:r>
      <w:proofErr w:type="spellEnd"/>
      <w:r w:rsidRPr="00AC101E">
        <w:rPr>
          <w:rFonts w:ascii="TimesNewRomanPSMT" w:hAnsi="TimesNewRomanPSMT" w:cs="TimesNewRomanPSMT"/>
          <w:sz w:val="16"/>
          <w:szCs w:val="16"/>
          <w:lang w:val="en-US"/>
        </w:rPr>
        <w:t xml:space="preserve"> %}</w:t>
      </w:r>
    </w:p>
    <w:p w14:paraId="6F48B8C3"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53E4FACA"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275EB3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50CDF3B9"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080BF061"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D1169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lot.annexe_celliers</w:t>
      </w:r>
      <w:proofErr w:type="spellEnd"/>
      <w:r w:rsidRPr="00AC101E">
        <w:rPr>
          <w:rFonts w:ascii="TimesNewRomanPSMT" w:hAnsi="TimesNewRomanPSMT" w:cs="TimesNewRomanPSMT"/>
          <w:sz w:val="16"/>
          <w:szCs w:val="16"/>
          <w:lang w:val="en-US"/>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576DA75"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lot.annexe_resserres</w:t>
      </w:r>
      <w:proofErr w:type="spellEnd"/>
      <w:r w:rsidRPr="00AC101E">
        <w:rPr>
          <w:rFonts w:ascii="TimesNewRomanPSMT" w:hAnsi="TimesNewRomanPSMT" w:cs="TimesNewRomanPSMT"/>
          <w:sz w:val="16"/>
          <w:szCs w:val="16"/>
          <w:lang w:val="en-US"/>
        </w:rPr>
        <w:t xml:space="preserve"> %}</w:t>
      </w:r>
    </w:p>
    <w:p w14:paraId="0BA7843D"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proofErr w:type="spellStart"/>
      <w:r w:rsidRPr="00AC101E">
        <w:rPr>
          <w:rFonts w:ascii="TimesNewRomanPSMT" w:hAnsi="TimesNewRomanPSMT" w:cs="TimesNewRomanPSMT"/>
          <w:lang w:val="en-US"/>
        </w:rPr>
        <w:t>Resserres</w:t>
      </w:r>
      <w:proofErr w:type="spellEnd"/>
    </w:p>
    <w:p w14:paraId="3488C172"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7D720F79"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lot.annexe_combles</w:t>
      </w:r>
      <w:proofErr w:type="spellEnd"/>
      <w:r w:rsidRPr="00AC101E">
        <w:rPr>
          <w:rFonts w:ascii="TimesNewRomanPSMT" w:hAnsi="TimesNewRomanPSMT" w:cs="TimesNewRomanPSMT"/>
          <w:sz w:val="16"/>
          <w:szCs w:val="16"/>
          <w:lang w:val="en-US"/>
        </w:rPr>
        <w:t xml:space="preserve">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 xml:space="preserve">4. Surface utile totale de l'opération (art. D. 353-16 (2°) précité) : </w:t>
      </w:r>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AC101E"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B28B103" w14:textId="77777777" w:rsidR="00C15AA4" w:rsidRPr="00214566" w:rsidRDefault="00C15AA4" w:rsidP="00C15AA4">
      <w:pPr>
        <w:jc w:val="both"/>
      </w:pPr>
      <w:r>
        <w:rPr>
          <w:rFonts w:ascii="TimesNewRomanPSMT" w:hAnsi="TimesNewRomanPSMT" w:cs="TimesNewRomanPSMT"/>
        </w:rPr>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AC101E"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AC101E" w:rsidRDefault="00C15AA4" w:rsidP="00E01808">
            <w:pPr>
              <w:jc w:val="both"/>
              <w:rPr>
                <w:rFonts w:ascii="TimesNewRomanPSMT" w:hAnsi="TimesNewRomanPSMT" w:cs="TimesNewRomanPSMT"/>
                <w:sz w:val="20"/>
                <w:lang w:val="en-US"/>
              </w:rPr>
            </w:pPr>
            <w:proofErr w:type="gramStart"/>
            <w:r w:rsidRPr="00AC101E">
              <w:rPr>
                <w:rFonts w:ascii="TimesNewRomanPSMT" w:hAnsi="TimesNewRomanPSMT" w:cs="TimesNewRomanPSMT"/>
                <w:sz w:val="16"/>
                <w:szCs w:val="16"/>
                <w:lang w:val="en-US"/>
              </w:rPr>
              <w:t xml:space="preserve">{{ </w:t>
            </w:r>
            <w:proofErr w:type="spellStart"/>
            <w:r w:rsidRPr="00AC101E">
              <w:rPr>
                <w:rFonts w:ascii="TimesNewRomanPSMT" w:hAnsi="TimesNewRomanPSMT" w:cs="TimesNewRomanPSMT"/>
                <w:sz w:val="16"/>
                <w:szCs w:val="16"/>
                <w:lang w:val="en-US"/>
              </w:rPr>
              <w:t>s</w:t>
            </w:r>
            <w:proofErr w:type="gramEnd"/>
            <w:r w:rsidRPr="00AC101E">
              <w:rPr>
                <w:rFonts w:ascii="TimesNewRomanPSMT" w:hAnsi="TimesNewRomanPSMT" w:cs="TimesNewRomanPSMT"/>
                <w:sz w:val="16"/>
                <w:szCs w:val="16"/>
                <w:lang w:val="en-US"/>
              </w:rPr>
              <w:t>.nb</w:t>
            </w:r>
            <w:proofErr w:type="spellEnd"/>
            <w:r w:rsidRPr="00AC101E">
              <w:rPr>
                <w:rFonts w:ascii="TimesNewRomanPSMT" w:hAnsi="TimesNewRomanPSMT" w:cs="TimesNewRomanPSMT"/>
                <w:sz w:val="16"/>
                <w:szCs w:val="16"/>
                <w:lang w:val="en-US"/>
              </w:rPr>
              <w:t xml:space="preserve"> }} </w:t>
            </w:r>
            <w:proofErr w:type="spellStart"/>
            <w:r w:rsidRPr="00AC101E">
              <w:rPr>
                <w:rFonts w:ascii="TimesNewRomanPSMT" w:hAnsi="TimesNewRomanPSMT" w:cs="TimesNewRomanPSMT"/>
                <w:sz w:val="16"/>
                <w:szCs w:val="16"/>
                <w:lang w:val="en-US"/>
              </w:rPr>
              <w:t>stationnement</w:t>
            </w:r>
            <w:proofErr w:type="spellEnd"/>
            <w:r w:rsidRPr="00AC101E">
              <w:rPr>
                <w:rFonts w:ascii="TimesNewRomanPSMT" w:hAnsi="TimesNewRomanPSMT" w:cs="TimesNewRomanPSMT"/>
                <w:sz w:val="16"/>
                <w:szCs w:val="16"/>
                <w:lang w:val="en-US"/>
              </w:rPr>
              <w:t>{{</w:t>
            </w:r>
            <w:proofErr w:type="spellStart"/>
            <w:r w:rsidRPr="00AC101E">
              <w:rPr>
                <w:rFonts w:ascii="TimesNewRomanPSMT" w:hAnsi="TimesNewRomanPSMT" w:cs="TimesNewRomanPSMT"/>
                <w:sz w:val="16"/>
                <w:szCs w:val="16"/>
                <w:lang w:val="en-US"/>
              </w:rPr>
              <w:t>s.nb|pl</w:t>
            </w:r>
            <w:proofErr w:type="spellEnd"/>
            <w:r w:rsidRPr="00AC101E">
              <w:rPr>
                <w:rFonts w:ascii="TimesNewRomanPSMT" w:hAnsi="TimesNewRomanPSMT" w:cs="TimesNewRomanPSMT"/>
                <w:sz w:val="16"/>
                <w:szCs w:val="16"/>
                <w:lang w:val="en-US"/>
              </w:rPr>
              <w:t>}}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AC101E"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65C7D93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3EE3EE37" w14:textId="77777777" w:rsidR="002E0981" w:rsidRDefault="002E0981" w:rsidP="002E0981">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4A75FF48" w14:textId="77777777" w:rsidR="002E0981" w:rsidRPr="00815BB2"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72AB2B3B" w14:textId="2BA68273" w:rsidR="002E0981" w:rsidRPr="00592CD3" w:rsidRDefault="002E0981" w:rsidP="002E0981">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02DFFBAF"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proofErr w:type="spellEnd"/>
                            <w:r w:rsidR="00AC101E" w:rsidRPr="00FE2D43">
                              <w:t xml:space="preserve"> }}</w:t>
                            </w:r>
                            <w:proofErr w:type="spellStart"/>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2C0B9530" w:rsidR="00C7143D" w:rsidRDefault="00C7143D" w:rsidP="00EB5191">
                            <w:pPr>
                              <w:jc w:val="both"/>
                              <w:rPr>
                                <w:rFonts w:ascii="TimesNewRomanPSMT" w:hAnsi="TimesNewRomanPSMT" w:cs="TimesNewRomanPSMT"/>
                              </w:rPr>
                            </w:pPr>
                            <w:r w:rsidRPr="00954DED">
                              <w:rPr>
                                <w:rFonts w:ascii="TimesNewRomanPSMT" w:hAnsi="TimesNewRomanPSMT" w:cs="TimesNewRomanPSMT"/>
                              </w:rPr>
                              <w:t xml:space="preserve">Le </w:t>
                            </w:r>
                            <w:proofErr w:type="spellEnd"/>
                            <w:r w:rsidRPr="00954DED">
                              <w:rPr>
                                <w:rFonts w:ascii="TimesNewRomanPSMT" w:hAnsi="TimesNewRomanPSMT" w:cs="TimesNewRomanPSMT"/>
                              </w:rPr>
                              <w:t>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02DFFBAF"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proofErr w:type="spellEnd"/>
                      <w:r w:rsidR="00AC101E" w:rsidRPr="00FE2D43">
                        <w:t xml:space="preserve"> }}</w:t>
                      </w:r>
                      <w:proofErr w:type="spellStart"/>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2C0B9530" w:rsidR="00C7143D" w:rsidRDefault="00C7143D" w:rsidP="00EB5191">
                      <w:pPr>
                        <w:jc w:val="both"/>
                        <w:rPr>
                          <w:rFonts w:ascii="TimesNewRomanPSMT" w:hAnsi="TimesNewRomanPSMT" w:cs="TimesNewRomanPSMT"/>
                        </w:rPr>
                      </w:pPr>
                      <w:r w:rsidRPr="00954DED">
                        <w:rPr>
                          <w:rFonts w:ascii="TimesNewRomanPSMT" w:hAnsi="TimesNewRomanPSMT" w:cs="TimesNewRomanPSMT"/>
                        </w:rPr>
                        <w:t xml:space="preserve">Le </w:t>
                      </w:r>
                      <w:proofErr w:type="spellEnd"/>
                      <w:r w:rsidRPr="00954DED">
                        <w:rPr>
                          <w:rFonts w:ascii="TimesNewRomanPSMT" w:hAnsi="TimesNewRomanPSMT" w:cs="TimesNewRomanPSMT"/>
                        </w:rPr>
                        <w:t>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E7EA" w14:textId="77777777" w:rsidR="006A5BEE" w:rsidRDefault="006A5BEE">
      <w:r>
        <w:separator/>
      </w:r>
    </w:p>
  </w:endnote>
  <w:endnote w:type="continuationSeparator" w:id="0">
    <w:p w14:paraId="5F1C3628" w14:textId="77777777" w:rsidR="006A5BEE" w:rsidRDefault="006A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859E" w14:textId="77777777" w:rsidR="006A5BEE" w:rsidRDefault="006A5BEE">
      <w:r>
        <w:separator/>
      </w:r>
    </w:p>
  </w:footnote>
  <w:footnote w:type="continuationSeparator" w:id="0">
    <w:p w14:paraId="72952311" w14:textId="77777777" w:rsidR="006A5BEE" w:rsidRDefault="006A5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6A5BEE">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6A5BEE">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6A5BEE"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6A5BEE" w:rsidP="00D279D1">
                          <w:pPr>
                            <w:pStyle w:val="Cerfa"/>
                            <w:rPr>
                              <w:sz w:val="16"/>
                              <w:szCs w:val="16"/>
                            </w:rPr>
                          </w:pPr>
                          <w:r>
                            <w:rPr>
                              <w:noProof/>
                            </w:rPr>
                            <w:object w:dxaOrig="756" w:dyaOrig="522"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3761113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6A5BEE" w:rsidP="00D279D1">
                    <w:pPr>
                      <w:pStyle w:val="Cerfa"/>
                      <w:rPr>
                        <w:sz w:val="16"/>
                        <w:szCs w:val="16"/>
                      </w:rPr>
                    </w:pPr>
                    <w:r>
                      <w:rPr>
                        <w:noProof/>
                      </w:rPr>
                      <w:object w:dxaOrig="756" w:dyaOrig="522"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3761113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1154</Words>
  <Characters>6580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54</cp:revision>
  <cp:lastPrinted>2021-11-30T08:37:00Z</cp:lastPrinted>
  <dcterms:created xsi:type="dcterms:W3CDTF">2022-04-08T14:14:00Z</dcterms:created>
  <dcterms:modified xsi:type="dcterms:W3CDTF">2023-02-11T07:59:00Z</dcterms:modified>
</cp:coreProperties>
</file>