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r w:rsidRPr="00586463">
        <w:rPr>
          <w:b/>
          <w:bCs/>
        </w:rPr>
        <w:t>convention.numero</w:t>
      </w:r>
      <w:proofErr w:type="spell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w:t>
      </w:r>
      <w:proofErr w:type="spellStart"/>
      <w:r>
        <w:t>programme.</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w:t>
      </w:r>
      <w:proofErr w:type="spellStart"/>
      <w:r>
        <w:t>programme.date_convention_location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 </w:t>
      </w:r>
      <w:proofErr w:type="spellStart"/>
      <w:r w:rsidRPr="00586463">
        <w:t>convention.date_fin_conventionnement|d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xml:space="preserve">{% if </w:t>
      </w:r>
      <w:proofErr w:type="spellStart"/>
      <w:r w:rsidRPr="00D50699">
        <w:t>convention.attribution_agees_autonomie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9272E4">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9272E4">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r w:rsidRPr="00D50699">
        <w:rPr>
          <w:lang w:val="en-US"/>
        </w:rPr>
        <w:t>convention.</w:t>
      </w:r>
      <w:r w:rsidRPr="00A85184">
        <w:rPr>
          <w:lang w:val="en-US"/>
        </w:rPr>
        <w:t>attribution_agees_ephad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spellStart"/>
      <w:r w:rsidRPr="00D50699">
        <w:rPr>
          <w:lang w:val="en-US"/>
        </w:rPr>
        <w:t>convention.</w:t>
      </w:r>
      <w:r w:rsidRPr="00A85184">
        <w:rPr>
          <w:lang w:val="en-US"/>
        </w:rPr>
        <w:t>attribution_agees_desorientees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r w:rsidRPr="00D50699">
        <w:rPr>
          <w:lang w:val="en-US"/>
        </w:rPr>
        <w:t>convention.</w:t>
      </w:r>
      <w:r w:rsidRPr="00A85184">
        <w:rPr>
          <w:lang w:val="en-US"/>
        </w:rPr>
        <w:t>attribution_agees_petite_unite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r w:rsidRPr="00D50699">
        <w:t>convention.attribution_agees_autre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9272E4">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9272E4">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r w:rsidRPr="00D50699">
        <w:t>convention.attribution_agees_autre_detail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r w:rsidRPr="00D50699">
        <w:t xml:space="preserve">{{ </w:t>
      </w:r>
      <w:proofErr w:type="spellStart"/>
      <w:r w:rsidRPr="00D50699">
        <w:t>convention.attribution_agees_autre_detail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xml:space="preserve">{% if </w:t>
      </w:r>
      <w:proofErr w:type="spellStart"/>
      <w:r w:rsidRPr="00D50699">
        <w:t>convention.</w:t>
      </w:r>
      <w:r w:rsidR="001F0E9B" w:rsidRPr="00D50699">
        <w:t>attribution_handicapes_foyer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9272E4">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9272E4">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r w:rsidRPr="00D50699">
        <w:t>convention.</w:t>
      </w:r>
      <w:r w:rsidR="001F0E9B" w:rsidRPr="00D50699">
        <w:t>attribution_handicapes_foyer_de_vie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9272E4">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9272E4">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r w:rsidRPr="00D50699">
        <w:rPr>
          <w:lang w:val="en-US"/>
        </w:rPr>
        <w:t>convention.</w:t>
      </w:r>
      <w:r w:rsidR="001F0E9B" w:rsidRPr="00A85184">
        <w:rPr>
          <w:lang w:val="en-US"/>
        </w:rPr>
        <w:t>attribution_handicapes_foyer_medicalise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r w:rsidRPr="00D50699">
        <w:t>convention.</w:t>
      </w:r>
      <w:r w:rsidR="001F0E9B" w:rsidRPr="00D50699">
        <w:t>attribution_handicapes_autre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9272E4">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9272E4">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r w:rsidRPr="00D50699">
        <w:t>convention.attribution_handicapes_autre_detail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xml:space="preserve">{{ </w:t>
      </w:r>
      <w:proofErr w:type="spellStart"/>
      <w:r w:rsidRPr="00D50699">
        <w:t>convention.</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r w:rsidRPr="00D50699">
        <w:rPr>
          <w:lang w:val="en-US"/>
        </w:rPr>
        <w:t>convention.</w:t>
      </w:r>
      <w:r w:rsidRPr="00A85184">
        <w:rPr>
          <w:lang w:val="en-US"/>
        </w:rPr>
        <w:t>attribution_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9272E4">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9272E4">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proofErr w:type="spellStart"/>
      <w:r w:rsidR="00FB1782" w:rsidRPr="005147BB">
        <w:t>convention.attribution_</w:t>
      </w:r>
      <w:r w:rsidR="00893EA1">
        <w:t>reservation_prefectoral</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77777777" w:rsidR="00586463" w:rsidRPr="00586463" w:rsidRDefault="00586463" w:rsidP="00673734">
      <w:pPr>
        <w:jc w:val="both"/>
      </w:pPr>
      <w:r w:rsidRPr="00586463">
        <w:t>- les modalités de gestion de ces réservations sont les suivantes :</w:t>
      </w:r>
    </w:p>
    <w:p w14:paraId="7E9E3F9E" w14:textId="39E9D940" w:rsidR="00586463" w:rsidRDefault="00893EA1" w:rsidP="00673734">
      <w:pPr>
        <w:jc w:val="both"/>
      </w:pPr>
      <w:r w:rsidRPr="005147BB">
        <w:t>{{</w:t>
      </w:r>
      <w:r>
        <w:t xml:space="preserve"> </w:t>
      </w:r>
      <w:proofErr w:type="spellStart"/>
      <w:r w:rsidRPr="005147BB">
        <w:t>convention.</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00C390A6" w14:textId="47868BCF" w:rsidR="00893EA1" w:rsidRDefault="00893EA1" w:rsidP="00893EA1">
      <w:pPr>
        <w:jc w:val="both"/>
      </w:pPr>
      <w:r w:rsidRPr="005147BB">
        <w:t>{{</w:t>
      </w:r>
      <w:r>
        <w:t xml:space="preserve"> </w:t>
      </w:r>
      <w:proofErr w:type="spellStart"/>
      <w:r w:rsidRPr="005147BB">
        <w:t>convention.</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250224EF"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proofErr w:type="spellStart"/>
                            <w:r w:rsidR="006360F8">
                              <w:rPr>
                                <w:rFonts w:ascii="TimesNewRomanPSMT" w:hAnsi="TimesNewRomanPSMT" w:cs="TimesNewRomanPSMT"/>
                              </w:rPr>
                              <w:t>administration</w:t>
                            </w:r>
                            <w:r w:rsidR="006360F8" w:rsidRPr="00FE2D43">
                              <w:t>.signature_label</w:t>
                            </w:r>
                            <w:r w:rsidR="006360F8">
                              <w:t>_extra</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250224EF"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.signature_label</w:t>
                      </w:r>
                      <w:r w:rsidR="006360F8">
                        <w:t>_extra</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 </w:t>
      </w:r>
      <w:proofErr w:type="spellStart"/>
      <w:r w:rsidRPr="00F07322">
        <w:rPr>
          <w:color w:val="000000"/>
        </w:rPr>
        <w:t>programme.nom</w:t>
      </w:r>
      <w:proofErr w:type="spell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A85184"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lot.edd_volumetrique_text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A85184" w:rsidRDefault="00F07322" w:rsidP="006D6647">
      <w:pPr>
        <w:jc w:val="both"/>
        <w:rPr>
          <w:shd w:val="clear" w:color="auto" w:fill="FFFFFF"/>
        </w:rPr>
      </w:pPr>
      <w:r w:rsidRPr="00A85184">
        <w:rPr>
          <w:shd w:val="clear" w:color="auto" w:fill="FFFFFF"/>
        </w:rPr>
        <w:t xml:space="preserve">{{ </w:t>
      </w:r>
      <w:proofErr w:type="spellStart"/>
      <w:r w:rsidRPr="00A85184">
        <w:rPr>
          <w:shd w:val="clear" w:color="auto" w:fill="FFFFFF"/>
        </w:rPr>
        <w:t>programme.mention_publication_edd_volumetrique</w:t>
      </w:r>
      <w:proofErr w:type="spellEnd"/>
      <w:r w:rsidRPr="00A85184">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lot.edd_classique_text</w:t>
      </w:r>
      <w:proofErr w:type="spellEnd"/>
      <w:r w:rsidRPr="00A85184">
        <w:rPr>
          <w:shd w:val="clear" w:color="auto" w:fill="FFFFFF"/>
          <w:lang w:val="en-US"/>
        </w:rPr>
        <w: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 for image in </w:t>
      </w:r>
      <w:proofErr w:type="spellStart"/>
      <w:r w:rsidRPr="00A85184">
        <w:rPr>
          <w:shd w:val="clear" w:color="auto" w:fill="FFFFFF"/>
          <w:lang w:val="en-US"/>
        </w:rPr>
        <w:t>edd_classique_images</w:t>
      </w:r>
      <w:proofErr w:type="spellEnd"/>
      <w:r w:rsidRPr="00A85184">
        <w:rPr>
          <w:shd w:val="clear" w:color="auto" w:fill="FFFFFF"/>
          <w:lang w:val="en-US"/>
        </w:rPr>
        <w:t xml:space="preserve">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endfor</w:t>
      </w:r>
      <w:proofErr w:type="spellEnd"/>
      <w:r w:rsidRPr="00A85184">
        <w:rPr>
          <w:shd w:val="clear" w:color="auto" w:fill="FFFFFF"/>
          <w:lang w:val="en-US"/>
        </w:rPr>
        <w:t xml:space="preserve"> %}{% if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3FD353FB"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 if </w:t>
      </w:r>
      <w:proofErr w:type="spellStart"/>
      <w:r w:rsidRPr="00A85184">
        <w:rPr>
          <w:shd w:val="clear" w:color="auto" w:fill="FFFFFF"/>
          <w:lang w:val="en-US"/>
        </w:rPr>
        <w:t>logement_edds|len</w:t>
      </w:r>
      <w:proofErr w:type="spellEnd"/>
      <w:r w:rsidRPr="00A85184">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A85184"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if convention.foyer_variante_2 %}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if convention.foyer_variante_2_travaux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if convention.foyer_variante_3 %}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w:t>
      </w:r>
      <w:proofErr w:type="spellStart"/>
      <w:r w:rsidR="00920F38">
        <w:rPr>
          <w:rFonts w:ascii="TimesNewRomanPSMT" w:hAnsi="TimesNewRomanPSMT" w:cs="TimesNewRomanPSMT"/>
        </w:rPr>
        <w:t>sh_totale|f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A85184"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r w:rsidRPr="00A61833">
              <w:rPr>
                <w:color w:val="000000"/>
                <w:sz w:val="20"/>
                <w:szCs w:val="20"/>
              </w:rPr>
              <w:t>l.typologie|tl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r w:rsidRPr="00A61833">
              <w:rPr>
                <w:color w:val="000000"/>
                <w:sz w:val="20"/>
                <w:szCs w:val="20"/>
              </w:rPr>
              <w:t>l.surface_habitable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designation</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loyer|f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r w:rsidR="009E5871">
        <w:rPr>
          <w:color w:val="000000"/>
        </w:rPr>
        <w:t>lot.</w:t>
      </w:r>
      <w:r w:rsidR="009E5871" w:rsidRPr="009E5871">
        <w:rPr>
          <w:color w:val="000000"/>
        </w:rPr>
        <w:t>foyer_residence_dependance</w:t>
      </w:r>
      <w:proofErr w:type="spellEnd"/>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xml:space="preserve">{{ </w:t>
      </w:r>
      <w:proofErr w:type="spellStart"/>
      <w:r>
        <w:rPr>
          <w:color w:val="000000"/>
        </w:rPr>
        <w:t>lot.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xml:space="preserve">{{ </w:t>
      </w:r>
      <w:proofErr w:type="spellStart"/>
      <w:r w:rsidR="009E5871">
        <w:rPr>
          <w:color w:val="000000"/>
        </w:rPr>
        <w:t>lot.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r w:rsidRPr="00CF5BBE">
        <w:rPr>
          <w:color w:val="000000"/>
          <w:lang w:val="en-US"/>
        </w:rPr>
        <w:t>lot.foyer_residence_locaux_hors_convention|get_text_as_list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DA3F75" w:rsidRDefault="006B285B" w:rsidP="006B285B">
      <w:pPr>
        <w:jc w:val="both"/>
        <w:rPr>
          <w:color w:val="000000" w:themeColor="text1"/>
          <w:lang w:val="en-US"/>
        </w:rPr>
      </w:pPr>
      <w:r w:rsidRPr="00586463">
        <w:rPr>
          <w:color w:val="000000"/>
        </w:rPr>
        <w:t>-</w:t>
      </w:r>
      <w:r w:rsidRPr="00063979">
        <w:rPr>
          <w:color w:val="000000" w:themeColor="text1"/>
        </w:rPr>
        <w:t xml:space="preserve"> </w:t>
      </w:r>
      <w:r w:rsidRPr="00DA3F75">
        <w:rPr>
          <w:color w:val="000000" w:themeColor="text1"/>
          <w:lang w:val="en-US"/>
        </w:rPr>
        <w:t>{{ line }}</w:t>
      </w:r>
    </w:p>
    <w:p w14:paraId="2CDF5C24" w14:textId="77777777" w:rsidR="006B285B" w:rsidRPr="00DA3F75" w:rsidRDefault="006B285B" w:rsidP="006B285B">
      <w:pPr>
        <w:jc w:val="both"/>
        <w:rPr>
          <w:color w:val="000000"/>
          <w:lang w:val="en-US"/>
        </w:rPr>
      </w:pPr>
      <w:r w:rsidRPr="00DA3F75">
        <w:rPr>
          <w:color w:val="000000"/>
          <w:lang w:val="en-US"/>
        </w:rPr>
        <w:t xml:space="preserve">{%- </w:t>
      </w:r>
      <w:proofErr w:type="spellStart"/>
      <w:r w:rsidRPr="00DA3F75">
        <w:rPr>
          <w:color w:val="000000"/>
          <w:lang w:val="en-US"/>
        </w:rPr>
        <w:t>endfor</w:t>
      </w:r>
      <w:proofErr w:type="spellEnd"/>
      <w:r w:rsidRPr="00DA3F75">
        <w:rPr>
          <w:color w:val="000000"/>
          <w:lang w:val="en-US"/>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xml:space="preserve">{{ </w:t>
      </w:r>
      <w:proofErr w:type="spellStart"/>
      <w:r>
        <w:rPr>
          <w:rFonts w:ascii="TimesNewRomanPSMT" w:hAnsi="TimesNewRomanPSMT" w:cs="TimesNewRomanPSMT"/>
        </w:rPr>
        <w:t>programme.date_acte_notarie|d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proofErr w:type="spellStart"/>
      <w:r w:rsidRPr="004B7B0D">
        <w:rPr>
          <w:lang w:val="en-US"/>
        </w:rPr>
        <w:t>Notaire</w:t>
      </w:r>
      <w:proofErr w:type="spellEnd"/>
      <w:r w:rsidRPr="004B7B0D">
        <w:rPr>
          <w:lang w:val="en-US"/>
        </w:rPr>
        <w:t xml:space="preserve"> : </w:t>
      </w:r>
      <w:bookmarkStart w:id="3" w:name="Notaire"/>
      <w:bookmarkEnd w:id="3"/>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programme.reference_notaire_text</w:t>
      </w:r>
      <w:proofErr w:type="spellEnd"/>
      <w:r w:rsidRPr="004B7B0D">
        <w:rPr>
          <w:rFonts w:ascii="TimesNewRomanPSMT" w:hAnsi="TimesNewRomanPSMT" w:cs="TimesNewRomanPSMT"/>
          <w:lang w:val="en-US"/>
        </w:rPr>
        <w: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for image in </w:t>
      </w:r>
      <w:proofErr w:type="spellStart"/>
      <w:r w:rsidRPr="004B7B0D">
        <w:rPr>
          <w:rFonts w:ascii="TimesNewRomanPSMT" w:hAnsi="TimesNewRomanPSMT" w:cs="TimesNewRomanPSMT"/>
          <w:lang w:val="en-US"/>
        </w:rPr>
        <w:t>reference_notaire_images</w:t>
      </w:r>
      <w:proofErr w:type="spellEnd"/>
      <w:r w:rsidRPr="004B7B0D">
        <w:rPr>
          <w:rFonts w:ascii="TimesNewRomanPSMT" w:hAnsi="TimesNewRomanPSMT" w:cs="TimesNewRomanPSMT"/>
          <w:lang w:val="en-US"/>
        </w:rPr>
        <w:t xml:space="preserve">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endfor</w:t>
      </w:r>
      <w:proofErr w:type="spellEnd"/>
      <w:r w:rsidRPr="004B7B0D">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xml:space="preserve">{{ </w:t>
      </w:r>
      <w:proofErr w:type="spellStart"/>
      <w:r>
        <w:rPr>
          <w:rFonts w:ascii="TimesNewRomanPSMT" w:hAnsi="TimesNewRomanPSMT" w:cs="TimesNewRomanPSMT"/>
        </w:rPr>
        <w:t>programme.reference_publication_acte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%}Date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w:t>
      </w:r>
      <w:proofErr w:type="spellStart"/>
      <w:r>
        <w:rPr>
          <w:color w:val="000000"/>
        </w:rPr>
        <w:t>convention.</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r w:rsidR="0021538F">
        <w:rPr>
          <w:color w:val="000000"/>
        </w:rPr>
        <w:t>convention.</w:t>
      </w:r>
      <w:r w:rsidR="0021538F" w:rsidRPr="0021538F">
        <w:rPr>
          <w:color w:val="000000"/>
        </w:rPr>
        <w:t>attribution_inclusif_conditions_specifiques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r>
        <w:rPr>
          <w:color w:val="000000"/>
        </w:rPr>
        <w:t xml:space="preserve">{{ </w:t>
      </w:r>
      <w:proofErr w:type="spellStart"/>
      <w:r>
        <w:rPr>
          <w:color w:val="000000"/>
        </w:rPr>
        <w:t>convention.</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2974EEE5" w:rsidR="00EF2E8F" w:rsidRDefault="00F07322" w:rsidP="00EF2E8F">
      <w:pPr>
        <w:rPr>
          <w:color w:val="000000"/>
        </w:rPr>
      </w:pPr>
      <w:r w:rsidRPr="00F07322">
        <w:rPr>
          <w:color w:val="000000"/>
        </w:rPr>
        <w:t xml:space="preserve">Conditions d'admission dans l’habitat inclusif : </w:t>
      </w:r>
      <w:r w:rsidR="00EF2E8F">
        <w:rPr>
          <w:color w:val="000000"/>
        </w:rPr>
        <w:t xml:space="preserve">{% if </w:t>
      </w:r>
      <w:proofErr w:type="spellStart"/>
      <w:r w:rsidR="00EF2E8F">
        <w:rPr>
          <w:color w:val="000000"/>
        </w:rPr>
        <w:t>convention.</w:t>
      </w:r>
      <w:r w:rsidR="00EF2E8F" w:rsidRPr="0021538F">
        <w:rPr>
          <w:color w:val="000000"/>
        </w:rPr>
        <w:t>attribution_inclusif_conditions_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r>
        <w:rPr>
          <w:color w:val="000000"/>
        </w:rPr>
        <w:t xml:space="preserve">{{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5D946A0C" w14:textId="1D39424D" w:rsidR="00EF2E8F" w:rsidRDefault="00F07322" w:rsidP="00EF2E8F">
      <w:pPr>
        <w:rPr>
          <w:color w:val="000000"/>
        </w:rPr>
      </w:pPr>
      <w:r w:rsidRPr="00F07322">
        <w:rPr>
          <w:color w:val="000000"/>
        </w:rPr>
        <w:t xml:space="preserve">Modalités d'attribution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6AA62663" w14:textId="2B1994DF" w:rsidR="00EF2E8F"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 if </w:t>
      </w:r>
      <w:proofErr w:type="spellStart"/>
      <w:r w:rsidR="00EF2E8F">
        <w:rPr>
          <w:color w:val="000000"/>
        </w:rPr>
        <w:t>convention.</w:t>
      </w:r>
      <w:r w:rsidR="00EF2E8F" w:rsidRPr="0021538F">
        <w:rPr>
          <w:color w:val="000000"/>
        </w:rPr>
        <w:t>attribution_inclusif_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4C2E0525" w14:textId="102E936E" w:rsidR="00EF2E8F" w:rsidRDefault="00F07322" w:rsidP="00EF2E8F">
      <w:pPr>
        <w:rPr>
          <w:color w:val="000000"/>
        </w:rPr>
      </w:pPr>
      <w:r w:rsidRPr="00F07322">
        <w:rPr>
          <w:color w:val="000000"/>
        </w:rPr>
        <w:lastRenderedPageBreak/>
        <w:t xml:space="preserve">Activités proposées à l’ensemble des résidents dans le cadre du projet de vie sociale et partagée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w:t>
      </w:r>
      <w:proofErr w:type="spellStart"/>
      <w:r w:rsidR="00844303" w:rsidRPr="00586463">
        <w:rPr>
          <w:color w:val="000000"/>
          <w:szCs w:val="22"/>
          <w:lang w:eastAsia="fr-FR"/>
        </w:rPr>
        <w:t>bailleur.siret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proofErr w:type="spellStart"/>
      <w:r w:rsidR="00DE0211" w:rsidRPr="00586463">
        <w:t>administration.</w:t>
      </w:r>
      <w:r w:rsidR="00916C62" w:rsidRPr="00586463">
        <w:t>get_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77777777"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.signature_label</w:t>
      </w:r>
      <w:r>
        <w:t>_extra</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314C" w14:textId="77777777" w:rsidR="008377FD" w:rsidRDefault="008377FD">
      <w:r>
        <w:separator/>
      </w:r>
    </w:p>
  </w:endnote>
  <w:endnote w:type="continuationSeparator" w:id="0">
    <w:p w14:paraId="3643A827" w14:textId="77777777" w:rsidR="008377FD" w:rsidRDefault="0083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1324" w14:textId="77777777" w:rsidR="008377FD" w:rsidRDefault="008377FD">
      <w:r>
        <w:separator/>
      </w:r>
    </w:p>
  </w:footnote>
  <w:footnote w:type="continuationSeparator" w:id="0">
    <w:p w14:paraId="1C57626C" w14:textId="77777777" w:rsidR="008377FD" w:rsidRDefault="0083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9272E4">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272E4">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272E4"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377FD" w:rsidP="00D279D1">
                          <w:pPr>
                            <w:pStyle w:val="Cerfa"/>
                            <w:rPr>
                              <w:sz w:val="16"/>
                              <w:szCs w:val="16"/>
                            </w:rPr>
                          </w:pPr>
                          <w:r>
                            <w:rPr>
                              <w:noProof/>
                            </w:rPr>
                            <w:object w:dxaOrig="750"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5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5871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377FD" w:rsidP="00D279D1">
                    <w:pPr>
                      <w:pStyle w:val="Cerfa"/>
                      <w:rPr>
                        <w:sz w:val="16"/>
                        <w:szCs w:val="16"/>
                      </w:rPr>
                    </w:pPr>
                    <w:r>
                      <w:rPr>
                        <w:noProof/>
                      </w:rPr>
                      <w:object w:dxaOrig="756" w:dyaOrig="540" w14:anchorId="1E772EA1">
                        <v:shape id="_x0000_i1025" type="#_x0000_t75" alt="" style="width:37.75pt;height:27.15pt;mso-width-percent:0;mso-height-percent:0;mso-width-percent:0;mso-height-percent:0" filled="t">
                          <v:fill color2="black"/>
                          <v:imagedata r:id="rId4" o:title="" croptop="-22f" cropbottom="-22f" cropleft="-25f" cropright="-25f"/>
                        </v:shape>
                        <o:OLEObject Type="Embed" ProgID="Word.Picture.8" ShapeID="_x0000_i1025" DrawAspect="Content" ObjectID="_1735711799"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22</Pages>
  <Words>7200</Words>
  <Characters>39606</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100</cp:revision>
  <cp:lastPrinted>2021-11-30T08:37:00Z</cp:lastPrinted>
  <dcterms:created xsi:type="dcterms:W3CDTF">2022-04-08T14:14:00Z</dcterms:created>
  <dcterms:modified xsi:type="dcterms:W3CDTF">2023-02-08T09:52:00Z</dcterms:modified>
</cp:coreProperties>
</file>