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77777777"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77777777"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77777777"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777777"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43868576" w14:textId="77777777" w:rsidR="00AA3F2C" w:rsidRPr="00780E2D" w:rsidRDefault="00AA3F2C" w:rsidP="00AA3F2C">
      <w:pPr>
        <w:jc w:val="both"/>
        <w:rPr>
          <w:sz w:val="16"/>
          <w:szCs w:val="16"/>
        </w:rPr>
      </w:pP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_combles</w:t>
      </w:r>
      <w:proofErr w:type="spellEnd"/>
      <w:r w:rsidRPr="00780E2D">
        <w:rPr>
          <w:sz w:val="16"/>
          <w:szCs w:val="16"/>
        </w:rPr>
        <w:t xml:space="preserve"> %}</w:t>
      </w:r>
    </w:p>
    <w:p w14:paraId="1ABAD750" w14:textId="77777777" w:rsidR="00AA3F2C" w:rsidRPr="00586463" w:rsidRDefault="00AA3F2C" w:rsidP="00AA3F2C">
      <w:pPr>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Pr>
          <w:sz w:val="16"/>
          <w:szCs w:val="16"/>
        </w:rPr>
      </w:r>
      <w:r>
        <w:rPr>
          <w:sz w:val="16"/>
          <w:szCs w:val="16"/>
        </w:rPr>
        <w:fldChar w:fldCharType="separate"/>
      </w:r>
      <w:r w:rsidRPr="00586463">
        <w:rPr>
          <w:sz w:val="16"/>
          <w:szCs w:val="16"/>
        </w:rPr>
        <w:fldChar w:fldCharType="end"/>
      </w:r>
      <w:r w:rsidRPr="00586463">
        <w:rPr>
          <w:sz w:val="16"/>
          <w:szCs w:val="16"/>
        </w:rPr>
        <w:t xml:space="preserve"> </w:t>
      </w:r>
      <w:r w:rsidRPr="00586463">
        <w:t>Combles et greniers aménageable</w:t>
      </w:r>
    </w:p>
    <w:p w14:paraId="0CE2CA91" w14:textId="77777777" w:rsidR="00AA3F2C" w:rsidRPr="00780E2D" w:rsidRDefault="00AA3F2C" w:rsidP="00AA3F2C">
      <w:pPr>
        <w:jc w:val="both"/>
        <w:rPr>
          <w:lang w:val="en-US"/>
        </w:rPr>
      </w:pPr>
      <w:r w:rsidRPr="00780E2D">
        <w:rPr>
          <w:sz w:val="16"/>
          <w:szCs w:val="16"/>
          <w:lang w:val="en-US"/>
        </w:rPr>
        <w:t xml:space="preserve">{%- endif %} </w:t>
      </w:r>
    </w:p>
    <w:p w14:paraId="192CE11D" w14:textId="77777777" w:rsidR="00AA3F2C" w:rsidRDefault="00AA3F2C" w:rsidP="00673734">
      <w:pPr>
        <w:jc w:val="both"/>
        <w:rPr>
          <w:lang w:val="en-FR"/>
        </w:rPr>
      </w:pPr>
    </w:p>
    <w:p w14:paraId="3CF5FA0C" w14:textId="77777777" w:rsidR="00AA3F2C" w:rsidRDefault="00AA3F2C" w:rsidP="00673734">
      <w:pPr>
        <w:jc w:val="both"/>
        <w:rPr>
          <w:lang w:val="en-FR"/>
        </w:rPr>
      </w:pPr>
    </w:p>
    <w:p w14:paraId="2CE78D9F" w14:textId="69C4C63D"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586463" w:rsidRDefault="00586463" w:rsidP="00673734">
      <w:pPr>
        <w:jc w:val="both"/>
      </w:pPr>
      <w:r w:rsidRPr="00586463">
        <w:rPr>
          <w:lang w:val="en-FR"/>
        </w:rPr>
        <w:lastRenderedPageBreak/>
        <w:t>[cocher la case prévue selon le type d'établissement retenu] :</w:t>
      </w:r>
    </w:p>
    <w:p w14:paraId="0C9A1837" w14:textId="77777777" w:rsidR="00AA3F2C" w:rsidRDefault="00AA3F2C" w:rsidP="00673734">
      <w:pPr>
        <w:jc w:val="both"/>
        <w:rPr>
          <w:sz w:val="16"/>
          <w:szCs w:val="16"/>
        </w:rPr>
      </w:pPr>
      <w:r w:rsidRPr="00780E2D">
        <w:rPr>
          <w:sz w:val="16"/>
          <w:szCs w:val="16"/>
        </w:rPr>
        <w:t xml:space="preserve">{% if </w:t>
      </w:r>
      <w:proofErr w:type="spellStart"/>
      <w:proofErr w:type="gramStart"/>
      <w:r>
        <w:rPr>
          <w:sz w:val="16"/>
          <w:szCs w:val="16"/>
        </w:rPr>
        <w:t>convention.</w:t>
      </w:r>
      <w:r w:rsidRPr="00AA3F2C">
        <w:rPr>
          <w:sz w:val="16"/>
          <w:szCs w:val="16"/>
        </w:rPr>
        <w:t>attribution</w:t>
      </w:r>
      <w:proofErr w:type="gramEnd"/>
      <w:r w:rsidRPr="00AA3F2C">
        <w:rPr>
          <w:sz w:val="16"/>
          <w:szCs w:val="16"/>
        </w:rPr>
        <w:t>_agees_autonomie</w:t>
      </w:r>
      <w:proofErr w:type="spellEnd"/>
      <w:r w:rsidRPr="00780E2D">
        <w:rPr>
          <w:sz w:val="16"/>
          <w:szCs w:val="16"/>
        </w:rPr>
        <w:t xml:space="preserve"> %}</w:t>
      </w:r>
      <w:r>
        <w:rPr>
          <w:sz w:val="16"/>
          <w:szCs w:val="16"/>
        </w:rPr>
        <w:fldChar w:fldCharType="begin">
          <w:ffData>
            <w:name w:val=""/>
            <w:enabled w:val="0"/>
            <w:calcOnExit w:val="0"/>
            <w:checkBox>
              <w:sizeAuto/>
              <w:default w:val="0"/>
            </w:checkBox>
          </w:ffData>
        </w:fldChar>
      </w:r>
      <w:r>
        <w:rPr>
          <w:sz w:val="16"/>
          <w:szCs w:val="16"/>
        </w:rPr>
        <w:instrText xml:space="preserve"> FORMCHECKBOX </w:instrText>
      </w:r>
      <w:r>
        <w:rPr>
          <w:sz w:val="16"/>
          <w:szCs w:val="16"/>
        </w:rPr>
      </w:r>
      <w:r>
        <w:rPr>
          <w:sz w:val="16"/>
          <w:szCs w:val="16"/>
        </w:rPr>
        <w:fldChar w:fldCharType="end"/>
      </w:r>
      <w:r w:rsidRPr="00AA3F2C">
        <w:rPr>
          <w:sz w:val="16"/>
          <w:szCs w:val="16"/>
        </w:rPr>
        <w:t xml:space="preserve">{% </w:t>
      </w:r>
      <w:proofErr w:type="spellStart"/>
      <w:r>
        <w:rPr>
          <w:sz w:val="16"/>
          <w:szCs w:val="16"/>
        </w:rPr>
        <w:t>else</w:t>
      </w:r>
      <w:proofErr w:type="spellEnd"/>
      <w:r w:rsidRPr="00AA3F2C">
        <w:rPr>
          <w:sz w:val="16"/>
          <w:szCs w:val="16"/>
        </w:rPr>
        <w:t xml:space="preserve"> %}</w:t>
      </w:r>
      <w:r w:rsidRPr="00586463">
        <w:rPr>
          <w:sz w:val="16"/>
          <w:szCs w:val="16"/>
        </w:rPr>
        <w:fldChar w:fldCharType="begin">
          <w:ffData>
            <w:name w:val=""/>
            <w:enabled/>
            <w:calcOnExit w:val="0"/>
            <w:checkBox>
              <w:sizeAuto/>
              <w:default w:val="1"/>
            </w:checkBox>
          </w:ffData>
        </w:fldChar>
      </w:r>
      <w:r w:rsidRPr="00586463">
        <w:rPr>
          <w:sz w:val="16"/>
          <w:szCs w:val="16"/>
        </w:rPr>
        <w:instrText xml:space="preserve"> FORMCHECKBOX </w:instrText>
      </w:r>
      <w:r w:rsidRPr="00586463">
        <w:rPr>
          <w:sz w:val="16"/>
          <w:szCs w:val="16"/>
        </w:rPr>
      </w:r>
      <w:r>
        <w:rPr>
          <w:sz w:val="16"/>
          <w:szCs w:val="16"/>
        </w:rPr>
        <w:fldChar w:fldCharType="separate"/>
      </w:r>
      <w:r w:rsidRPr="00586463">
        <w:rPr>
          <w:sz w:val="16"/>
          <w:szCs w:val="16"/>
        </w:rPr>
        <w:fldChar w:fldCharType="end"/>
      </w:r>
      <w:r w:rsidRPr="00AA3F2C">
        <w:rPr>
          <w:sz w:val="16"/>
          <w:szCs w:val="16"/>
        </w:rPr>
        <w:t xml:space="preserve">{% </w:t>
      </w:r>
      <w:proofErr w:type="spellStart"/>
      <w:r w:rsidRPr="00AA3F2C">
        <w:rPr>
          <w:sz w:val="16"/>
          <w:szCs w:val="16"/>
        </w:rPr>
        <w:t>endif</w:t>
      </w:r>
      <w:proofErr w:type="spellEnd"/>
      <w:r w:rsidRPr="00AA3F2C">
        <w:rPr>
          <w:sz w:val="16"/>
          <w:szCs w:val="16"/>
        </w:rPr>
        <w:t xml:space="preserve"> </w:t>
      </w:r>
      <w:r>
        <w:rPr>
          <w:sz w:val="16"/>
          <w:szCs w:val="16"/>
        </w:rPr>
        <w:t>-</w:t>
      </w:r>
      <w:r w:rsidRPr="00AA3F2C">
        <w:rPr>
          <w:sz w:val="16"/>
          <w:szCs w:val="16"/>
        </w:rPr>
        <w:t>%}</w:t>
      </w:r>
    </w:p>
    <w:p w14:paraId="6148ED43" w14:textId="2B699587" w:rsidR="00586463" w:rsidRPr="00AA3F2C" w:rsidRDefault="00586463" w:rsidP="00673734">
      <w:pPr>
        <w:jc w:val="both"/>
        <w:rPr>
          <w:sz w:val="16"/>
          <w:szCs w:val="16"/>
        </w:rPr>
      </w:pPr>
      <w:r w:rsidRPr="00586463">
        <w:rPr>
          <w:lang w:val="en-FR"/>
        </w:rPr>
        <w:t>Résidence autonomie.</w:t>
      </w:r>
    </w:p>
    <w:p w14:paraId="45C30D5D" w14:textId="77777777" w:rsidR="00586463" w:rsidRPr="00586463" w:rsidRDefault="00586463" w:rsidP="00673734">
      <w:pPr>
        <w:jc w:val="both"/>
      </w:pPr>
      <w:r w:rsidRPr="00586463">
        <w:t xml:space="preserve">□ </w:t>
      </w:r>
      <w:r w:rsidRPr="00586463">
        <w:rPr>
          <w:lang w:val="en-FR"/>
        </w:rPr>
        <w:t>établissement hébergeant des personnes âgées dépendantes (EHPAD).</w:t>
      </w:r>
    </w:p>
    <w:p w14:paraId="66E48372" w14:textId="77777777" w:rsidR="00586463" w:rsidRPr="00586463" w:rsidRDefault="00586463" w:rsidP="00673734">
      <w:pPr>
        <w:jc w:val="both"/>
      </w:pPr>
      <w:r w:rsidRPr="00586463">
        <w:t xml:space="preserve">□ </w:t>
      </w:r>
      <w:r w:rsidRPr="00586463">
        <w:rPr>
          <w:lang w:val="en-FR"/>
        </w:rPr>
        <w:t>Unité pour personnes désorientées (unités Alzheimer, ...).</w:t>
      </w:r>
    </w:p>
    <w:p w14:paraId="6793A45F" w14:textId="77777777" w:rsidR="00586463" w:rsidRPr="00586463" w:rsidRDefault="00586463" w:rsidP="00673734">
      <w:pPr>
        <w:jc w:val="both"/>
      </w:pPr>
      <w:r w:rsidRPr="00586463">
        <w:t xml:space="preserve">□ </w:t>
      </w:r>
      <w:r w:rsidRPr="00586463">
        <w:rPr>
          <w:lang w:val="en-FR"/>
        </w:rPr>
        <w:t>Petite unité de vie (établissement de moins de 25 places autorisées).</w:t>
      </w:r>
    </w:p>
    <w:p w14:paraId="2615C94C" w14:textId="77777777" w:rsidR="00586463" w:rsidRPr="00586463" w:rsidRDefault="00586463" w:rsidP="00673734">
      <w:pPr>
        <w:jc w:val="both"/>
      </w:pPr>
      <w:r w:rsidRPr="00586463">
        <w:t xml:space="preserve">□ </w:t>
      </w:r>
      <w:r w:rsidRPr="00586463">
        <w:rPr>
          <w:lang w:val="en-FR"/>
        </w:rPr>
        <w:t>Autres [préciser] ;</w:t>
      </w:r>
    </w:p>
    <w:p w14:paraId="2CD83AF5" w14:textId="77777777" w:rsidR="00586463" w:rsidRPr="00586463" w:rsidRDefault="00586463" w:rsidP="00673734">
      <w:pPr>
        <w:jc w:val="both"/>
      </w:pPr>
      <w:r w:rsidRPr="00586463">
        <w:rPr>
          <w:lang w:val="en-FR"/>
        </w:rPr>
        <w:t>- soit aux personnes handicapées seules ou en ménage dans l'établissement suivant :</w:t>
      </w:r>
    </w:p>
    <w:p w14:paraId="7E5A9461" w14:textId="3F01340F" w:rsidR="00586463" w:rsidRPr="00586463" w:rsidRDefault="00586463" w:rsidP="00673734">
      <w:pPr>
        <w:jc w:val="both"/>
      </w:pPr>
      <w:r w:rsidRPr="00586463">
        <w:rPr>
          <w:lang w:val="en-FR"/>
        </w:rPr>
        <w:t>[cocher la case prévue selon le type d'établissement retenu] :</w:t>
      </w:r>
    </w:p>
    <w:p w14:paraId="73FB4319" w14:textId="77777777" w:rsidR="00586463" w:rsidRPr="00586463" w:rsidRDefault="00586463" w:rsidP="00673734">
      <w:pPr>
        <w:jc w:val="both"/>
      </w:pPr>
      <w:r w:rsidRPr="00586463">
        <w:t xml:space="preserve">□ </w:t>
      </w:r>
      <w:r w:rsidRPr="00586463">
        <w:rPr>
          <w:lang w:val="en-FR"/>
        </w:rPr>
        <w:t>Foyer.</w:t>
      </w:r>
    </w:p>
    <w:p w14:paraId="094A0BA6" w14:textId="77777777" w:rsidR="00586463" w:rsidRPr="00586463" w:rsidRDefault="00586463" w:rsidP="00673734">
      <w:pPr>
        <w:jc w:val="both"/>
      </w:pPr>
      <w:r w:rsidRPr="00586463">
        <w:t xml:space="preserve">□ </w:t>
      </w:r>
      <w:r w:rsidRPr="00586463">
        <w:rPr>
          <w:lang w:val="en-FR"/>
        </w:rPr>
        <w:t>Foyer de vie ou occupationnel.</w:t>
      </w:r>
    </w:p>
    <w:p w14:paraId="78AD92A1" w14:textId="77777777" w:rsidR="00586463" w:rsidRPr="00586463" w:rsidRDefault="00586463" w:rsidP="00673734">
      <w:pPr>
        <w:jc w:val="both"/>
      </w:pPr>
      <w:r w:rsidRPr="00586463">
        <w:t xml:space="preserve">□ </w:t>
      </w:r>
      <w:r w:rsidRPr="00586463">
        <w:rPr>
          <w:lang w:val="en-FR"/>
        </w:rPr>
        <w:t>Foyer d'accueil médicalisé.</w:t>
      </w:r>
    </w:p>
    <w:p w14:paraId="35DF1496" w14:textId="77777777" w:rsidR="00586463" w:rsidRPr="00586463" w:rsidRDefault="00586463" w:rsidP="00673734">
      <w:pPr>
        <w:jc w:val="both"/>
      </w:pPr>
      <w:r w:rsidRPr="00586463">
        <w:t xml:space="preserve">□ </w:t>
      </w:r>
      <w:r w:rsidRPr="00586463">
        <w:rPr>
          <w:lang w:val="en-FR"/>
        </w:rPr>
        <w:t>Autres [préciser] ;</w:t>
      </w:r>
    </w:p>
    <w:p w14:paraId="4A25A020" w14:textId="77777777" w:rsidR="00586463" w:rsidRPr="00586463" w:rsidRDefault="00586463" w:rsidP="00673734">
      <w:pPr>
        <w:jc w:val="both"/>
      </w:pPr>
      <w:r w:rsidRPr="00586463">
        <w:rPr>
          <w:lang w:val="en-FR"/>
        </w:rPr>
        <w:t>- soit aux personnes en situation de perte d’autonomie liée à l’âge ou au handicap seules ou en ménage :</w:t>
      </w:r>
    </w:p>
    <w:p w14:paraId="207CB91A" w14:textId="77777777" w:rsidR="00586463" w:rsidRPr="00586463" w:rsidRDefault="00586463" w:rsidP="00673734">
      <w:pPr>
        <w:jc w:val="both"/>
      </w:pPr>
      <w:r w:rsidRPr="00586463">
        <w:t xml:space="preserve">□ </w:t>
      </w:r>
      <w:r w:rsidRPr="00586463">
        <w:rPr>
          <w:lang w:val="en-FR"/>
        </w:rPr>
        <w:t>Habitat inclusif.</w:t>
      </w:r>
    </w:p>
    <w:p w14:paraId="6BD5ED3D" w14:textId="77777777" w:rsidR="00586463" w:rsidRPr="00586463" w:rsidRDefault="00586463" w:rsidP="00673734">
      <w:pPr>
        <w:jc w:val="both"/>
        <w:rPr>
          <w:lang w:val="en-FR"/>
        </w:rPr>
      </w:pPr>
    </w:p>
    <w:p w14:paraId="08FB325A" w14:textId="77777777" w:rsidR="00586463" w:rsidRPr="00586463" w:rsidRDefault="00586463" w:rsidP="00673734">
      <w:pPr>
        <w:jc w:val="both"/>
      </w:pPr>
      <w:r w:rsidRPr="00586463">
        <w:rPr>
          <w:lang w:val="en-FR"/>
        </w:rPr>
        <w:t xml:space="preserve">La part des locaux à usage privatif réservés par le préfet est fixée à ... </w:t>
      </w:r>
      <w:r w:rsidRPr="00586463">
        <w:rPr>
          <w:color w:val="0000FF"/>
          <w:lang w:val="en-FR"/>
        </w:rPr>
        <w:t>pourcentage de réservation préfectorale définit dans chaque département et chaque programme</w:t>
      </w:r>
      <w:r w:rsidRPr="00586463">
        <w:rPr>
          <w:lang w:val="en-FR"/>
        </w:rPr>
        <w:t xml:space="preserve">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77777777" w:rsidR="00586463" w:rsidRPr="00586463" w:rsidRDefault="00586463"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77777777"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586463">
      <w:pPr>
        <w:jc w:val="center"/>
      </w:pPr>
    </w:p>
    <w:p w14:paraId="078E87AE" w14:textId="77777777" w:rsidR="00586463" w:rsidRPr="00586463" w:rsidRDefault="00586463" w:rsidP="00586463">
      <w:pPr>
        <w:jc w:val="center"/>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586463">
      <w:pPr>
        <w:jc w:val="center"/>
        <w:rPr>
          <w:lang w:val="en-FR"/>
        </w:rPr>
      </w:pPr>
    </w:p>
    <w:p w14:paraId="1CF48A70" w14:textId="77777777" w:rsidR="00586463" w:rsidRPr="00586463" w:rsidRDefault="00586463" w:rsidP="00586463">
      <w:pPr>
        <w:jc w:val="center"/>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586463">
      <w:pPr>
        <w:jc w:val="center"/>
        <w:rPr>
          <w:lang w:val="en-FR"/>
        </w:rPr>
      </w:pPr>
    </w:p>
    <w:p w14:paraId="1266CAAD" w14:textId="77777777" w:rsidR="00586463" w:rsidRPr="00586463" w:rsidRDefault="00586463" w:rsidP="00586463">
      <w:pPr>
        <w:jc w:val="center"/>
      </w:pPr>
      <w:r w:rsidRPr="00586463">
        <w:rPr>
          <w:color w:val="000000"/>
          <w:lang w:val="en-FR"/>
        </w:rPr>
        <w:t>Ce contrat ne peut être accessoire à un contrat de travail.</w:t>
      </w:r>
    </w:p>
    <w:p w14:paraId="0C7A0553" w14:textId="77777777" w:rsidR="00586463" w:rsidRPr="00586463" w:rsidRDefault="00586463" w:rsidP="00586463">
      <w:pPr>
        <w:jc w:val="center"/>
        <w:rPr>
          <w:lang w:val="en-FR"/>
        </w:rPr>
      </w:pPr>
    </w:p>
    <w:p w14:paraId="402AF6A7" w14:textId="77777777" w:rsidR="00586463" w:rsidRPr="00586463" w:rsidRDefault="00586463" w:rsidP="00586463">
      <w:pPr>
        <w:jc w:val="center"/>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586463">
      <w:pPr>
        <w:jc w:val="center"/>
        <w:rPr>
          <w:lang w:val="en-FR"/>
        </w:rPr>
      </w:pPr>
    </w:p>
    <w:p w14:paraId="38B5A755" w14:textId="77777777" w:rsidR="00586463" w:rsidRPr="00586463" w:rsidRDefault="00586463" w:rsidP="00586463">
      <w:pPr>
        <w:jc w:val="center"/>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586463">
      <w:pPr>
        <w:jc w:val="center"/>
        <w:rPr>
          <w:lang w:val="en-FR"/>
        </w:rPr>
      </w:pPr>
    </w:p>
    <w:p w14:paraId="7B698419" w14:textId="77777777" w:rsidR="00586463" w:rsidRPr="00586463" w:rsidRDefault="00586463" w:rsidP="00586463">
      <w:pPr>
        <w:jc w:val="center"/>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586463">
      <w:pPr>
        <w:jc w:val="center"/>
        <w:rPr>
          <w:lang w:val="en-FR"/>
        </w:rPr>
      </w:pPr>
    </w:p>
    <w:p w14:paraId="359D0037" w14:textId="77777777" w:rsidR="00586463" w:rsidRPr="00586463" w:rsidRDefault="00586463" w:rsidP="00586463">
      <w:pPr>
        <w:jc w:val="center"/>
      </w:pPr>
      <w:r w:rsidRPr="00586463">
        <w:rPr>
          <w:color w:val="000000"/>
          <w:lang w:val="en-FR"/>
        </w:rPr>
        <w:t>- sa date de prise d'effet et sa durée ;</w:t>
      </w:r>
    </w:p>
    <w:p w14:paraId="631E0A68" w14:textId="77777777" w:rsidR="00586463" w:rsidRPr="00586463" w:rsidRDefault="00586463" w:rsidP="00586463">
      <w:pPr>
        <w:jc w:val="center"/>
        <w:rPr>
          <w:lang w:val="en-FR"/>
        </w:rPr>
      </w:pPr>
    </w:p>
    <w:p w14:paraId="12821C1D" w14:textId="77777777" w:rsidR="00586463" w:rsidRPr="00586463" w:rsidRDefault="00586463" w:rsidP="00586463">
      <w:pPr>
        <w:jc w:val="center"/>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586463">
      <w:pPr>
        <w:jc w:val="center"/>
        <w:rPr>
          <w:lang w:val="en-FR"/>
        </w:rPr>
      </w:pPr>
    </w:p>
    <w:p w14:paraId="7419AE67" w14:textId="77777777" w:rsidR="00586463" w:rsidRPr="00586463" w:rsidRDefault="00586463" w:rsidP="00586463">
      <w:pPr>
        <w:jc w:val="center"/>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586463">
      <w:pPr>
        <w:jc w:val="center"/>
        <w:rPr>
          <w:lang w:val="en-FR"/>
        </w:rPr>
      </w:pPr>
    </w:p>
    <w:p w14:paraId="1CF1722B" w14:textId="77777777" w:rsidR="00586463" w:rsidRPr="00586463" w:rsidRDefault="00586463" w:rsidP="00586463">
      <w:pPr>
        <w:jc w:val="center"/>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586463">
      <w:pPr>
        <w:jc w:val="center"/>
        <w:rPr>
          <w:lang w:val="en-FR"/>
        </w:rPr>
      </w:pPr>
    </w:p>
    <w:p w14:paraId="53CC0665" w14:textId="77777777" w:rsidR="00586463" w:rsidRPr="00586463" w:rsidRDefault="00586463" w:rsidP="00586463">
      <w:pPr>
        <w:jc w:val="center"/>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586463">
      <w:pPr>
        <w:jc w:val="center"/>
        <w:rPr>
          <w:lang w:val="en-FR"/>
        </w:rPr>
      </w:pPr>
    </w:p>
    <w:p w14:paraId="04CD8CFE" w14:textId="77777777" w:rsidR="00586463" w:rsidRPr="00586463" w:rsidRDefault="00586463" w:rsidP="00586463">
      <w:pPr>
        <w:jc w:val="center"/>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586463">
      <w:pPr>
        <w:jc w:val="center"/>
        <w:rPr>
          <w:lang w:val="en-FR"/>
        </w:rPr>
      </w:pPr>
    </w:p>
    <w:p w14:paraId="7D7F6F1C" w14:textId="77777777" w:rsidR="00586463" w:rsidRPr="00586463" w:rsidRDefault="00586463" w:rsidP="00586463">
      <w:pPr>
        <w:jc w:val="center"/>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586463">
      <w:pPr>
        <w:jc w:val="center"/>
        <w:rPr>
          <w:lang w:val="en-FR"/>
        </w:rPr>
      </w:pPr>
    </w:p>
    <w:p w14:paraId="6DCA39FB" w14:textId="77777777" w:rsidR="00586463" w:rsidRPr="00586463" w:rsidRDefault="00586463" w:rsidP="00586463">
      <w:pPr>
        <w:jc w:val="center"/>
      </w:pPr>
      <w:r w:rsidRPr="00586463">
        <w:rPr>
          <w:color w:val="000000"/>
          <w:lang w:val="en-FR"/>
        </w:rPr>
        <w:t>- les obligations réciproques en cas d'absence prolongée.</w:t>
      </w:r>
    </w:p>
    <w:p w14:paraId="021F3F49" w14:textId="77777777" w:rsidR="00586463" w:rsidRPr="00586463" w:rsidRDefault="00586463" w:rsidP="00586463">
      <w:pPr>
        <w:jc w:val="center"/>
        <w:rPr>
          <w:lang w:val="en-FR"/>
        </w:rPr>
      </w:pPr>
    </w:p>
    <w:p w14:paraId="03CB729E" w14:textId="77777777" w:rsidR="00586463" w:rsidRPr="00586463" w:rsidRDefault="00586463" w:rsidP="00586463">
      <w:pPr>
        <w:jc w:val="center"/>
      </w:pPr>
      <w:r w:rsidRPr="00586463">
        <w:rPr>
          <w:color w:val="000000"/>
          <w:lang w:val="en-FR"/>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586463">
      <w:pPr>
        <w:jc w:val="center"/>
        <w:rPr>
          <w:lang w:val="en-FR"/>
        </w:rPr>
      </w:pPr>
    </w:p>
    <w:p w14:paraId="1BBC62D3" w14:textId="77777777" w:rsidR="00586463" w:rsidRPr="00586463" w:rsidRDefault="00586463" w:rsidP="00586463">
      <w:pPr>
        <w:jc w:val="center"/>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586463">
      <w:pPr>
        <w:jc w:val="center"/>
        <w:rPr>
          <w:lang w:val="en-FR"/>
        </w:rPr>
      </w:pPr>
    </w:p>
    <w:p w14:paraId="09F1D4B3" w14:textId="77777777" w:rsidR="00586463" w:rsidRPr="00586463" w:rsidRDefault="00586463" w:rsidP="00586463">
      <w:pPr>
        <w:jc w:val="center"/>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77777777" w:rsidR="00586463" w:rsidRPr="00586463" w:rsidRDefault="00586463" w:rsidP="00586463">
      <w:pPr>
        <w:jc w:val="center"/>
      </w:pPr>
      <w:r w:rsidRPr="00586463">
        <w:rPr>
          <w:i/>
          <w:iCs/>
        </w:rPr>
        <w:lastRenderedPageBreak/>
        <w:t>Résiliation du contrat entre le résident et le gestionnaire.</w:t>
      </w:r>
    </w:p>
    <w:p w14:paraId="741DF7BC" w14:textId="77777777" w:rsidR="00586463" w:rsidRPr="00586463" w:rsidRDefault="00586463" w:rsidP="00586463">
      <w:pPr>
        <w:jc w:val="center"/>
      </w:pPr>
    </w:p>
    <w:p w14:paraId="3CB5DCB6" w14:textId="77777777" w:rsidR="00586463" w:rsidRPr="00586463" w:rsidRDefault="00586463" w:rsidP="00586463">
      <w:pPr>
        <w:jc w:val="center"/>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586463">
      <w:pPr>
        <w:jc w:val="center"/>
        <w:rPr>
          <w:lang w:val="en-FR"/>
        </w:rPr>
      </w:pPr>
    </w:p>
    <w:p w14:paraId="7D781FFC" w14:textId="77777777" w:rsidR="00586463" w:rsidRPr="00586463" w:rsidRDefault="00586463" w:rsidP="00586463">
      <w:pPr>
        <w:jc w:val="center"/>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586463">
      <w:pPr>
        <w:jc w:val="center"/>
        <w:rPr>
          <w:lang w:val="en-FR"/>
        </w:rPr>
      </w:pPr>
    </w:p>
    <w:p w14:paraId="59CDF957" w14:textId="77777777" w:rsidR="00586463" w:rsidRPr="00586463" w:rsidRDefault="00586463" w:rsidP="00586463">
      <w:pPr>
        <w:jc w:val="center"/>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586463">
      <w:pPr>
        <w:jc w:val="center"/>
        <w:rPr>
          <w:lang w:val="en-FR"/>
        </w:rPr>
      </w:pPr>
    </w:p>
    <w:p w14:paraId="262F3A4E" w14:textId="77777777" w:rsidR="00586463" w:rsidRPr="00586463" w:rsidRDefault="00586463" w:rsidP="00586463">
      <w:pPr>
        <w:jc w:val="center"/>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586463">
      <w:pPr>
        <w:jc w:val="center"/>
        <w:rPr>
          <w:lang w:val="en-FR"/>
        </w:rPr>
      </w:pPr>
    </w:p>
    <w:p w14:paraId="30B49D55" w14:textId="77777777" w:rsidR="00586463" w:rsidRPr="00586463" w:rsidRDefault="00586463" w:rsidP="00586463">
      <w:pPr>
        <w:jc w:val="center"/>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586463">
      <w:pPr>
        <w:jc w:val="center"/>
        <w:rPr>
          <w:lang w:val="en-FR"/>
        </w:rPr>
      </w:pPr>
    </w:p>
    <w:p w14:paraId="740F19F3" w14:textId="77777777" w:rsidR="00586463" w:rsidRPr="00586463" w:rsidRDefault="00586463" w:rsidP="00586463">
      <w:pPr>
        <w:jc w:val="center"/>
      </w:pPr>
      <w:r w:rsidRPr="00586463">
        <w:rPr>
          <w:color w:val="000000"/>
          <w:lang w:val="en-FR"/>
        </w:rPr>
        <w:t>En cas d'inoccupation temporaire de son logement du fait de son état de santé justifié par certificat médical, aucune résiliation pour ce motif ne peut intervenir.</w:t>
      </w:r>
    </w:p>
    <w:p w14:paraId="02637AFD" w14:textId="77777777" w:rsidR="00586463" w:rsidRPr="00586463" w:rsidRDefault="00586463" w:rsidP="00586463">
      <w:pPr>
        <w:jc w:val="center"/>
        <w:rPr>
          <w:lang w:val="en-FR"/>
        </w:rPr>
      </w:pPr>
    </w:p>
    <w:p w14:paraId="3D71EB31" w14:textId="77777777" w:rsidR="00586463" w:rsidRPr="00586463" w:rsidRDefault="00586463" w:rsidP="00586463">
      <w:pPr>
        <w:jc w:val="cente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77777777"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586463">
      <w:pPr>
        <w:jc w:val="center"/>
      </w:pPr>
    </w:p>
    <w:p w14:paraId="6212D325" w14:textId="77777777" w:rsidR="00586463" w:rsidRPr="00586463" w:rsidRDefault="00586463" w:rsidP="00586463">
      <w:pPr>
        <w:jc w:val="center"/>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586463">
      <w:pPr>
        <w:jc w:val="center"/>
        <w:rPr>
          <w:lang w:val="en-FR"/>
        </w:rPr>
      </w:pPr>
    </w:p>
    <w:p w14:paraId="00DCC61D" w14:textId="77777777" w:rsidR="00586463" w:rsidRPr="00586463" w:rsidRDefault="00586463" w:rsidP="00586463">
      <w:pPr>
        <w:jc w:val="center"/>
      </w:pPr>
      <w:r w:rsidRPr="00586463">
        <w:rPr>
          <w:color w:val="000000"/>
          <w:lang w:val="en-FR"/>
        </w:rPr>
        <w:lastRenderedPageBreak/>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586463">
      <w:pPr>
        <w:jc w:val="center"/>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77777777" w:rsidR="00586463" w:rsidRPr="00586463" w:rsidRDefault="00586463" w:rsidP="00586463">
      <w:pPr>
        <w:jc w:val="center"/>
      </w:pPr>
      <w:r w:rsidRPr="00586463">
        <w:rPr>
          <w:i/>
          <w:iCs/>
        </w:rPr>
        <w:t>Dépôt de garantie.</w:t>
      </w:r>
    </w:p>
    <w:p w14:paraId="194B9EB9" w14:textId="77777777" w:rsidR="00586463" w:rsidRPr="00586463" w:rsidRDefault="00586463" w:rsidP="00586463">
      <w:pPr>
        <w:jc w:val="center"/>
      </w:pPr>
    </w:p>
    <w:p w14:paraId="0514D3F6" w14:textId="77777777" w:rsidR="00586463" w:rsidRPr="00586463" w:rsidRDefault="00586463" w:rsidP="00586463">
      <w:pPr>
        <w:jc w:val="center"/>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586463">
      <w:pPr>
        <w:jc w:val="center"/>
        <w:rPr>
          <w:lang w:val="en-FR"/>
        </w:rPr>
      </w:pPr>
    </w:p>
    <w:p w14:paraId="20F7336B" w14:textId="77777777" w:rsidR="00586463" w:rsidRPr="00586463" w:rsidRDefault="00586463" w:rsidP="00586463">
      <w:pPr>
        <w:jc w:val="center"/>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586463">
      <w:pPr>
        <w:jc w:val="center"/>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77777777" w:rsidR="00586463" w:rsidRPr="00586463" w:rsidRDefault="00586463" w:rsidP="00586463">
      <w:pPr>
        <w:jc w:val="center"/>
      </w:pPr>
      <w:r w:rsidRPr="00586463">
        <w:rPr>
          <w:i/>
          <w:iCs/>
        </w:rPr>
        <w:t>Information des résidents.</w:t>
      </w:r>
    </w:p>
    <w:p w14:paraId="0C33F275" w14:textId="77777777" w:rsidR="00586463" w:rsidRPr="00586463" w:rsidRDefault="00586463" w:rsidP="00586463">
      <w:pPr>
        <w:jc w:val="center"/>
      </w:pPr>
    </w:p>
    <w:p w14:paraId="3FE92F0C" w14:textId="77777777" w:rsidR="00586463" w:rsidRPr="00586463" w:rsidRDefault="00586463" w:rsidP="00586463">
      <w:pPr>
        <w:jc w:val="center"/>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586463">
      <w:pPr>
        <w:jc w:val="center"/>
        <w:rPr>
          <w:lang w:val="en-FR"/>
        </w:rPr>
      </w:pPr>
    </w:p>
    <w:p w14:paraId="017ABAB9" w14:textId="77777777" w:rsidR="00586463" w:rsidRPr="00586463" w:rsidRDefault="00586463" w:rsidP="00586463">
      <w:pPr>
        <w:jc w:val="center"/>
      </w:pPr>
      <w:r w:rsidRPr="00586463">
        <w:rPr>
          <w:color w:val="000000"/>
          <w:lang w:val="en-FR"/>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586463">
      <w:pPr>
        <w:jc w:val="center"/>
        <w:rPr>
          <w:lang w:val="en-FR"/>
        </w:rPr>
      </w:pPr>
    </w:p>
    <w:p w14:paraId="02DFD903" w14:textId="77777777" w:rsidR="00586463" w:rsidRPr="00586463" w:rsidRDefault="00586463" w:rsidP="00586463">
      <w:pPr>
        <w:jc w:val="center"/>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586463">
      <w:pPr>
        <w:jc w:val="center"/>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77777777"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586463">
      <w:pPr>
        <w:jc w:val="center"/>
      </w:pPr>
    </w:p>
    <w:p w14:paraId="335FB650" w14:textId="77777777" w:rsidR="00586463" w:rsidRPr="00586463" w:rsidRDefault="00586463" w:rsidP="00586463">
      <w:pPr>
        <w:jc w:val="center"/>
      </w:pPr>
      <w:r w:rsidRPr="00586463">
        <w:rPr>
          <w:color w:val="000000"/>
          <w:lang w:val="en-FR"/>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w:t>
      </w:r>
      <w:r w:rsidRPr="00586463">
        <w:rPr>
          <w:color w:val="000000"/>
          <w:lang w:val="en-FR"/>
        </w:rPr>
        <w:lastRenderedPageBreak/>
        <w:t>doit pas excéder un maximum qui est fixé en euros par type de logement et dont le montant est inscrit dans le tableau du III de l'annexe à la présente convention.</w:t>
      </w:r>
    </w:p>
    <w:p w14:paraId="79E1F19A" w14:textId="77777777" w:rsidR="00586463" w:rsidRPr="00586463" w:rsidRDefault="00586463" w:rsidP="00586463">
      <w:pPr>
        <w:jc w:val="center"/>
        <w:rPr>
          <w:lang w:val="en-FR"/>
        </w:rPr>
      </w:pPr>
    </w:p>
    <w:p w14:paraId="6BFE9947" w14:textId="77777777" w:rsidR="00586463" w:rsidRPr="00586463" w:rsidRDefault="00586463" w:rsidP="00586463">
      <w:pPr>
        <w:jc w:val="center"/>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586463">
      <w:pPr>
        <w:jc w:val="center"/>
        <w:rPr>
          <w:lang w:val="en-FR"/>
        </w:rPr>
      </w:pPr>
    </w:p>
    <w:p w14:paraId="5C387301" w14:textId="77777777" w:rsidR="00586463" w:rsidRPr="00586463" w:rsidRDefault="00586463" w:rsidP="00586463">
      <w:pPr>
        <w:jc w:val="center"/>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586463">
      <w:pPr>
        <w:jc w:val="center"/>
        <w:rPr>
          <w:lang w:val="en-FR"/>
        </w:rPr>
      </w:pPr>
    </w:p>
    <w:p w14:paraId="42B2DD46" w14:textId="77777777" w:rsidR="00586463" w:rsidRPr="00586463" w:rsidRDefault="00586463" w:rsidP="00586463">
      <w:pPr>
        <w:jc w:val="center"/>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586463">
      <w:pPr>
        <w:jc w:val="center"/>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77777777"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586463">
      <w:pPr>
        <w:jc w:val="center"/>
      </w:pPr>
    </w:p>
    <w:p w14:paraId="4805B56F" w14:textId="77777777" w:rsidR="00586463" w:rsidRPr="00586463" w:rsidRDefault="00586463" w:rsidP="00586463">
      <w:pPr>
        <w:jc w:val="center"/>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586463">
      <w:pPr>
        <w:jc w:val="center"/>
        <w:rPr>
          <w:lang w:val="en-FR"/>
        </w:rPr>
      </w:pPr>
    </w:p>
    <w:p w14:paraId="21F45573" w14:textId="77777777" w:rsidR="00586463" w:rsidRPr="00586463" w:rsidRDefault="00586463" w:rsidP="00586463">
      <w:pPr>
        <w:jc w:val="center"/>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586463">
      <w:pPr>
        <w:jc w:val="center"/>
        <w:rPr>
          <w:lang w:val="en-FR"/>
        </w:rPr>
      </w:pPr>
    </w:p>
    <w:p w14:paraId="6215A516" w14:textId="77777777" w:rsidR="00586463" w:rsidRPr="00586463" w:rsidRDefault="00586463" w:rsidP="00586463">
      <w:pPr>
        <w:jc w:val="center"/>
      </w:pPr>
      <w:r w:rsidRPr="00586463">
        <w:rPr>
          <w:color w:val="000000"/>
          <w:lang w:val="en-FR"/>
        </w:rPr>
        <w:t>a) Le remboursement :</w:t>
      </w:r>
    </w:p>
    <w:p w14:paraId="736B2FB4" w14:textId="77777777" w:rsidR="00586463" w:rsidRPr="00586463" w:rsidRDefault="00586463" w:rsidP="00586463">
      <w:pPr>
        <w:jc w:val="center"/>
        <w:rPr>
          <w:lang w:val="en-FR"/>
        </w:rPr>
      </w:pPr>
    </w:p>
    <w:p w14:paraId="7212101D" w14:textId="77777777" w:rsidR="00586463" w:rsidRPr="00586463" w:rsidRDefault="00586463" w:rsidP="00586463">
      <w:pPr>
        <w:jc w:val="center"/>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586463">
      <w:pPr>
        <w:jc w:val="center"/>
        <w:rPr>
          <w:lang w:val="en-FR"/>
        </w:rPr>
      </w:pPr>
    </w:p>
    <w:p w14:paraId="55A7D8E5" w14:textId="77777777" w:rsidR="00586463" w:rsidRPr="00586463" w:rsidRDefault="00586463" w:rsidP="00586463">
      <w:pPr>
        <w:jc w:val="center"/>
      </w:pPr>
      <w:r w:rsidRPr="00586463">
        <w:rPr>
          <w:color w:val="000000"/>
          <w:lang w:val="en-FR"/>
        </w:rPr>
        <w:t>- des frais généraux du propriétaire ;</w:t>
      </w:r>
    </w:p>
    <w:p w14:paraId="2338A7C1" w14:textId="77777777" w:rsidR="00586463" w:rsidRPr="00586463" w:rsidRDefault="00586463" w:rsidP="00586463">
      <w:pPr>
        <w:jc w:val="center"/>
        <w:rPr>
          <w:lang w:val="en-FR"/>
        </w:rPr>
      </w:pPr>
    </w:p>
    <w:p w14:paraId="4F88536E" w14:textId="77777777" w:rsidR="00586463" w:rsidRPr="00586463" w:rsidRDefault="00586463" w:rsidP="00586463">
      <w:pPr>
        <w:jc w:val="center"/>
      </w:pPr>
      <w:r w:rsidRPr="00586463">
        <w:rPr>
          <w:color w:val="000000"/>
          <w:lang w:val="en-FR"/>
        </w:rPr>
        <w:t>- des charges de renouvellement des composants immobilisés ;</w:t>
      </w:r>
    </w:p>
    <w:p w14:paraId="3BF58544" w14:textId="77777777" w:rsidR="00586463" w:rsidRPr="00586463" w:rsidRDefault="00586463" w:rsidP="00586463">
      <w:pPr>
        <w:jc w:val="center"/>
        <w:rPr>
          <w:lang w:val="en-FR"/>
        </w:rPr>
      </w:pPr>
    </w:p>
    <w:p w14:paraId="55066788" w14:textId="77777777" w:rsidR="00586463" w:rsidRPr="00586463" w:rsidRDefault="00586463" w:rsidP="00586463">
      <w:pPr>
        <w:jc w:val="center"/>
      </w:pPr>
      <w:r w:rsidRPr="00586463">
        <w:rPr>
          <w:color w:val="000000"/>
          <w:lang w:val="en-FR"/>
        </w:rPr>
        <w:t>- du montant de la prime d'assurance de l'immeuble ;</w:t>
      </w:r>
    </w:p>
    <w:p w14:paraId="71BEA079" w14:textId="77777777" w:rsidR="00586463" w:rsidRPr="00586463" w:rsidRDefault="00586463" w:rsidP="00586463">
      <w:pPr>
        <w:jc w:val="center"/>
        <w:rPr>
          <w:lang w:val="en-FR"/>
        </w:rPr>
      </w:pPr>
    </w:p>
    <w:p w14:paraId="391F3A84" w14:textId="77777777" w:rsidR="00586463" w:rsidRPr="00586463" w:rsidRDefault="00586463" w:rsidP="00586463">
      <w:pPr>
        <w:jc w:val="center"/>
      </w:pPr>
      <w:r w:rsidRPr="00586463">
        <w:rPr>
          <w:color w:val="000000"/>
          <w:lang w:val="en-FR"/>
        </w:rPr>
        <w:t>- de la taxe foncière sur les propriétés bâties ;</w:t>
      </w:r>
    </w:p>
    <w:p w14:paraId="7E14BDD4" w14:textId="77777777" w:rsidR="00586463" w:rsidRPr="00586463" w:rsidRDefault="00586463" w:rsidP="00586463">
      <w:pPr>
        <w:jc w:val="center"/>
        <w:rPr>
          <w:lang w:val="en-FR"/>
        </w:rPr>
      </w:pPr>
    </w:p>
    <w:p w14:paraId="7CC37316" w14:textId="77777777" w:rsidR="00586463" w:rsidRPr="00586463" w:rsidRDefault="00586463" w:rsidP="00586463">
      <w:pPr>
        <w:jc w:val="center"/>
      </w:pPr>
      <w:r w:rsidRPr="00586463">
        <w:rPr>
          <w:color w:val="000000"/>
          <w:lang w:val="en-FR"/>
        </w:rPr>
        <w:t>b) Les frais de fonctionnement relatifs au foyer, à savoir :</w:t>
      </w:r>
    </w:p>
    <w:p w14:paraId="7123039B" w14:textId="77777777" w:rsidR="00586463" w:rsidRPr="00586463" w:rsidRDefault="00586463" w:rsidP="00586463">
      <w:pPr>
        <w:jc w:val="center"/>
        <w:rPr>
          <w:lang w:val="en-FR"/>
        </w:rPr>
      </w:pPr>
    </w:p>
    <w:p w14:paraId="674E51CF" w14:textId="77777777" w:rsidR="00586463" w:rsidRPr="00586463" w:rsidRDefault="00586463" w:rsidP="00586463">
      <w:pPr>
        <w:jc w:val="center"/>
      </w:pPr>
      <w:r w:rsidRPr="00586463">
        <w:rPr>
          <w:color w:val="000000"/>
          <w:lang w:val="en-FR"/>
        </w:rPr>
        <w:t>- les frais de siège du gestionnaire ;</w:t>
      </w:r>
    </w:p>
    <w:p w14:paraId="42A55FD2" w14:textId="77777777" w:rsidR="00586463" w:rsidRPr="00586463" w:rsidRDefault="00586463" w:rsidP="00586463">
      <w:pPr>
        <w:jc w:val="center"/>
        <w:rPr>
          <w:lang w:val="en-FR"/>
        </w:rPr>
      </w:pPr>
    </w:p>
    <w:p w14:paraId="5D59CB29" w14:textId="77777777" w:rsidR="00586463" w:rsidRPr="00586463" w:rsidRDefault="00586463" w:rsidP="00586463">
      <w:pPr>
        <w:jc w:val="center"/>
      </w:pPr>
      <w:r w:rsidRPr="00586463">
        <w:rPr>
          <w:color w:val="000000"/>
          <w:lang w:val="en-FR"/>
        </w:rPr>
        <w:t>- les frais fixes de personnel administratif ;</w:t>
      </w:r>
    </w:p>
    <w:p w14:paraId="58D3D5DC" w14:textId="77777777" w:rsidR="00586463" w:rsidRPr="00586463" w:rsidRDefault="00586463" w:rsidP="00586463">
      <w:pPr>
        <w:jc w:val="center"/>
        <w:rPr>
          <w:lang w:val="en-FR"/>
        </w:rPr>
      </w:pPr>
    </w:p>
    <w:p w14:paraId="51C03D53" w14:textId="77777777" w:rsidR="00586463" w:rsidRPr="00586463" w:rsidRDefault="00586463" w:rsidP="00586463">
      <w:pPr>
        <w:jc w:val="center"/>
      </w:pPr>
      <w:r w:rsidRPr="00586463">
        <w:rPr>
          <w:color w:val="000000"/>
          <w:lang w:val="en-FR"/>
        </w:rPr>
        <w:t>- toutes dépenses de menu entretien au sens des articles 1754 et 1755 du code civil ;</w:t>
      </w:r>
    </w:p>
    <w:p w14:paraId="56FD8247" w14:textId="77777777" w:rsidR="00586463" w:rsidRPr="00586463" w:rsidRDefault="00586463" w:rsidP="00586463">
      <w:pPr>
        <w:jc w:val="center"/>
        <w:rPr>
          <w:lang w:val="en-FR"/>
        </w:rPr>
      </w:pPr>
    </w:p>
    <w:p w14:paraId="567BB190" w14:textId="77777777" w:rsidR="00586463" w:rsidRPr="00586463" w:rsidRDefault="00586463" w:rsidP="00586463">
      <w:pPr>
        <w:jc w:val="center"/>
      </w:pPr>
      <w:r w:rsidRPr="00586463">
        <w:rPr>
          <w:color w:val="000000"/>
          <w:lang w:val="en-FR"/>
        </w:rPr>
        <w:lastRenderedPageBreak/>
        <w:t>- les charges de gros entretien et frais de personnel et fournitures afférents à ces travaux.</w:t>
      </w:r>
    </w:p>
    <w:p w14:paraId="6257BDFF" w14:textId="77777777" w:rsidR="00586463" w:rsidRPr="00586463" w:rsidRDefault="00586463" w:rsidP="00586463">
      <w:pPr>
        <w:jc w:val="center"/>
        <w:rPr>
          <w:lang w:val="en-FR"/>
        </w:rPr>
      </w:pPr>
    </w:p>
    <w:p w14:paraId="5B20D3ED" w14:textId="77777777" w:rsidR="00586463" w:rsidRPr="00586463" w:rsidRDefault="00586463" w:rsidP="00586463">
      <w:pPr>
        <w:jc w:val="center"/>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586463">
      <w:pPr>
        <w:jc w:val="center"/>
        <w:rPr>
          <w:lang w:val="en-FR"/>
        </w:rPr>
      </w:pPr>
    </w:p>
    <w:p w14:paraId="5E934311" w14:textId="77777777" w:rsidR="00586463" w:rsidRPr="00586463" w:rsidRDefault="00586463" w:rsidP="00586463">
      <w:pPr>
        <w:jc w:val="center"/>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586463">
      <w:pPr>
        <w:jc w:val="center"/>
        <w:rPr>
          <w:lang w:val="en-FR"/>
        </w:rPr>
      </w:pPr>
    </w:p>
    <w:p w14:paraId="30B4CA8E" w14:textId="77777777" w:rsidR="00586463" w:rsidRPr="00586463" w:rsidRDefault="00586463" w:rsidP="00586463">
      <w:pPr>
        <w:jc w:val="center"/>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586463">
      <w:pPr>
        <w:jc w:val="center"/>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77777777" w:rsidR="00586463" w:rsidRPr="00586463" w:rsidRDefault="00586463" w:rsidP="00586463">
      <w:pPr>
        <w:jc w:val="center"/>
      </w:pPr>
      <w:r w:rsidRPr="00586463">
        <w:rPr>
          <w:i/>
          <w:iCs/>
        </w:rPr>
        <w:t>Prestations.</w:t>
      </w:r>
    </w:p>
    <w:p w14:paraId="4B0F28F0" w14:textId="77777777" w:rsidR="00586463" w:rsidRPr="00586463" w:rsidRDefault="00586463" w:rsidP="00586463">
      <w:pPr>
        <w:jc w:val="center"/>
      </w:pPr>
    </w:p>
    <w:p w14:paraId="1FA250F0" w14:textId="77777777" w:rsidR="00586463" w:rsidRPr="00586463" w:rsidRDefault="00586463" w:rsidP="00586463">
      <w:pPr>
        <w:jc w:val="center"/>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586463">
      <w:pPr>
        <w:jc w:val="center"/>
        <w:rPr>
          <w:lang w:val="en-FR"/>
        </w:rPr>
      </w:pPr>
    </w:p>
    <w:p w14:paraId="118AF22E" w14:textId="77777777" w:rsidR="00586463" w:rsidRPr="00586463" w:rsidRDefault="00586463" w:rsidP="00586463">
      <w:pPr>
        <w:jc w:val="center"/>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586463">
      <w:pPr>
        <w:jc w:val="center"/>
        <w:rPr>
          <w:lang w:val="en-FR"/>
        </w:rPr>
      </w:pPr>
    </w:p>
    <w:p w14:paraId="4635F290" w14:textId="77777777" w:rsidR="00586463" w:rsidRPr="00586463" w:rsidRDefault="00586463" w:rsidP="00586463">
      <w:pPr>
        <w:jc w:val="center"/>
      </w:pPr>
      <w:r w:rsidRPr="00586463">
        <w:rPr>
          <w:color w:val="000000"/>
          <w:lang w:val="en-FR"/>
        </w:rPr>
        <w:t>Les prestations obligatoirement intégrées dans la redevance et non prises en compte pour le calcul de l'APL, et de ce fait non prises en compte au titre des charges récupérables, sont les suivantes :</w:t>
      </w:r>
    </w:p>
    <w:p w14:paraId="1EA74A98" w14:textId="77777777" w:rsidR="00586463" w:rsidRPr="00586463" w:rsidRDefault="00586463" w:rsidP="00586463">
      <w:pPr>
        <w:jc w:val="center"/>
        <w:rPr>
          <w:lang w:val="en-FR"/>
        </w:rPr>
      </w:pPr>
    </w:p>
    <w:p w14:paraId="12E55940"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obligatoirement intégrées dans la redevance</w:t>
      </w:r>
    </w:p>
    <w:p w14:paraId="039DB04A" w14:textId="77777777" w:rsidR="00586463" w:rsidRPr="00586463" w:rsidRDefault="00586463" w:rsidP="00586463">
      <w:pPr>
        <w:jc w:val="center"/>
      </w:pPr>
      <w:r w:rsidRPr="00586463">
        <w:rPr>
          <w:color w:val="000000"/>
          <w:lang w:val="en-FR"/>
        </w:rPr>
        <w:t>-</w:t>
      </w:r>
    </w:p>
    <w:p w14:paraId="5380B7A9" w14:textId="77777777" w:rsidR="00586463" w:rsidRPr="00586463" w:rsidRDefault="00586463" w:rsidP="00586463">
      <w:pPr>
        <w:jc w:val="center"/>
      </w:pPr>
      <w:r w:rsidRPr="00586463">
        <w:rPr>
          <w:color w:val="000000"/>
          <w:lang w:val="en-FR"/>
        </w:rPr>
        <w:t>-</w:t>
      </w:r>
    </w:p>
    <w:p w14:paraId="0C12B1C1" w14:textId="77777777" w:rsidR="00586463" w:rsidRPr="00586463" w:rsidRDefault="00586463" w:rsidP="00586463">
      <w:pPr>
        <w:jc w:val="center"/>
        <w:rPr>
          <w:lang w:val="en-FR"/>
        </w:rPr>
      </w:pPr>
    </w:p>
    <w:p w14:paraId="4439E70B" w14:textId="77777777" w:rsidR="00586463" w:rsidRPr="00586463" w:rsidRDefault="00586463" w:rsidP="00586463">
      <w:pPr>
        <w:jc w:val="center"/>
      </w:pPr>
      <w:r w:rsidRPr="00586463">
        <w:rPr>
          <w:color w:val="000000"/>
          <w:lang w:val="en-FR"/>
        </w:rPr>
        <w:t>Les prestations facultatives à la demande du résident facturées séparément sont les suivantes :</w:t>
      </w:r>
    </w:p>
    <w:p w14:paraId="7C617818" w14:textId="77777777" w:rsidR="00586463" w:rsidRPr="00586463" w:rsidRDefault="00586463" w:rsidP="00586463">
      <w:pPr>
        <w:jc w:val="center"/>
        <w:rPr>
          <w:lang w:val="en-FR"/>
        </w:rPr>
      </w:pPr>
    </w:p>
    <w:p w14:paraId="42492E86"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facultatives séparées de la redevance</w:t>
      </w:r>
    </w:p>
    <w:p w14:paraId="0C8AA39F" w14:textId="77777777" w:rsidR="00586463" w:rsidRPr="00586463" w:rsidRDefault="00586463" w:rsidP="00586463">
      <w:pPr>
        <w:jc w:val="center"/>
      </w:pPr>
      <w:r w:rsidRPr="00586463">
        <w:rPr>
          <w:color w:val="000000"/>
          <w:lang w:val="en-FR"/>
        </w:rPr>
        <w:t>-</w:t>
      </w:r>
    </w:p>
    <w:p w14:paraId="3DB3D58A" w14:textId="77777777" w:rsidR="00586463" w:rsidRPr="00586463" w:rsidRDefault="00586463" w:rsidP="00586463">
      <w:pPr>
        <w:jc w:val="center"/>
      </w:pPr>
      <w:r w:rsidRPr="00586463">
        <w:rPr>
          <w:color w:val="000000"/>
          <w:lang w:val="en-FR"/>
        </w:rPr>
        <w:lastRenderedPageBreak/>
        <w:t>-</w:t>
      </w:r>
    </w:p>
    <w:p w14:paraId="3713F39D" w14:textId="77777777" w:rsidR="00586463" w:rsidRPr="00586463" w:rsidRDefault="00586463" w:rsidP="00586463">
      <w:pPr>
        <w:jc w:val="center"/>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77777777" w:rsidR="00586463" w:rsidRPr="00586463" w:rsidRDefault="00586463" w:rsidP="00586463">
      <w:pPr>
        <w:jc w:val="center"/>
      </w:pPr>
      <w:r w:rsidRPr="00586463">
        <w:rPr>
          <w:i/>
          <w:iCs/>
          <w:color w:val="000000"/>
          <w:lang w:val="en-FR"/>
        </w:rPr>
        <w:t>Modalités de paiement de la redevance et des prestations</w:t>
      </w:r>
      <w:r w:rsidRPr="00586463">
        <w:rPr>
          <w:i/>
          <w:iCs/>
          <w:color w:val="000000"/>
        </w:rPr>
        <w:t>.</w:t>
      </w:r>
    </w:p>
    <w:p w14:paraId="3B292762" w14:textId="77777777" w:rsidR="00586463" w:rsidRPr="00586463" w:rsidRDefault="00586463" w:rsidP="00586463">
      <w:pPr>
        <w:jc w:val="center"/>
        <w:rPr>
          <w:lang w:val="en-FR"/>
        </w:rPr>
      </w:pPr>
    </w:p>
    <w:p w14:paraId="34D89C51" w14:textId="77777777" w:rsidR="00586463" w:rsidRPr="00586463" w:rsidRDefault="00586463" w:rsidP="00586463">
      <w:pPr>
        <w:jc w:val="center"/>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586463">
      <w:pPr>
        <w:jc w:val="center"/>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77777777" w:rsidR="00586463" w:rsidRPr="00586463" w:rsidRDefault="00586463" w:rsidP="00586463">
      <w:pPr>
        <w:jc w:val="center"/>
      </w:pPr>
      <w:r w:rsidRPr="00586463">
        <w:rPr>
          <w:i/>
          <w:iCs/>
          <w:color w:val="000000"/>
          <w:lang w:val="en-FR"/>
        </w:rPr>
        <w:t>Conditions d'exécution des travaux et relogement</w:t>
      </w:r>
      <w:r w:rsidRPr="00586463">
        <w:rPr>
          <w:i/>
          <w:iCs/>
          <w:color w:val="000000"/>
        </w:rPr>
        <w:t>.</w:t>
      </w:r>
    </w:p>
    <w:p w14:paraId="21F51F82" w14:textId="77777777" w:rsidR="00586463" w:rsidRPr="00586463" w:rsidRDefault="00586463" w:rsidP="00586463">
      <w:pPr>
        <w:jc w:val="center"/>
        <w:rPr>
          <w:lang w:val="en-FR"/>
        </w:rPr>
      </w:pPr>
    </w:p>
    <w:p w14:paraId="53C67FCA" w14:textId="77777777" w:rsidR="00586463" w:rsidRPr="00586463" w:rsidRDefault="00586463" w:rsidP="00586463">
      <w:pPr>
        <w:jc w:val="center"/>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586463">
      <w:pPr>
        <w:jc w:val="center"/>
        <w:rPr>
          <w:lang w:val="en-FR"/>
        </w:rPr>
      </w:pPr>
    </w:p>
    <w:p w14:paraId="73977AA5" w14:textId="77777777" w:rsidR="00586463" w:rsidRPr="00586463" w:rsidRDefault="00586463" w:rsidP="00586463">
      <w:pPr>
        <w:jc w:val="center"/>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586463">
      <w:pPr>
        <w:jc w:val="center"/>
        <w:rPr>
          <w:lang w:val="en-FR"/>
        </w:rPr>
      </w:pPr>
    </w:p>
    <w:p w14:paraId="2BB4C390" w14:textId="77777777" w:rsidR="00586463" w:rsidRPr="00586463" w:rsidRDefault="00586463" w:rsidP="00586463">
      <w:pPr>
        <w:jc w:val="center"/>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586463">
      <w:pPr>
        <w:jc w:val="center"/>
        <w:rPr>
          <w:lang w:val="en-FR"/>
        </w:rPr>
      </w:pPr>
    </w:p>
    <w:p w14:paraId="52B33306" w14:textId="77777777" w:rsidR="00586463" w:rsidRPr="00586463" w:rsidRDefault="00586463" w:rsidP="00586463">
      <w:pPr>
        <w:jc w:val="center"/>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586463">
      <w:pPr>
        <w:jc w:val="center"/>
        <w:rPr>
          <w:lang w:val="en-FR"/>
        </w:rPr>
      </w:pPr>
    </w:p>
    <w:p w14:paraId="42567772" w14:textId="77777777" w:rsidR="00586463" w:rsidRPr="00586463" w:rsidRDefault="00586463" w:rsidP="00586463">
      <w:pPr>
        <w:jc w:val="center"/>
      </w:pPr>
      <w:r w:rsidRPr="00586463">
        <w:rPr>
          <w:color w:val="000000"/>
          <w:lang w:val="en-FR"/>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586463">
      <w:pPr>
        <w:jc w:val="center"/>
        <w:rPr>
          <w:lang w:val="en-FR"/>
        </w:rPr>
      </w:pPr>
    </w:p>
    <w:p w14:paraId="1A06BE9C" w14:textId="77777777" w:rsidR="00586463" w:rsidRPr="00586463" w:rsidRDefault="00586463" w:rsidP="00586463">
      <w:pPr>
        <w:jc w:val="center"/>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586463">
      <w:pPr>
        <w:jc w:val="center"/>
        <w:rPr>
          <w:b/>
          <w:bCs/>
          <w:lang w:val="en-FR"/>
        </w:rPr>
      </w:pPr>
    </w:p>
    <w:p w14:paraId="7E0491FB" w14:textId="77777777" w:rsidR="00586463" w:rsidRPr="00586463" w:rsidRDefault="00586463" w:rsidP="00586463">
      <w:pPr>
        <w:jc w:val="center"/>
      </w:pPr>
      <w:r w:rsidRPr="00586463">
        <w:rPr>
          <w:color w:val="000000"/>
          <w:lang w:val="en-FR"/>
        </w:rPr>
        <w:lastRenderedPageBreak/>
        <w:t>Article 15</w:t>
      </w:r>
    </w:p>
    <w:p w14:paraId="10614DC3" w14:textId="77777777" w:rsidR="00586463" w:rsidRPr="00586463" w:rsidRDefault="00586463" w:rsidP="00586463">
      <w:pPr>
        <w:jc w:val="center"/>
        <w:rPr>
          <w:lang w:val="en-FR"/>
        </w:rPr>
      </w:pPr>
    </w:p>
    <w:p w14:paraId="7FF0E3D0" w14:textId="77777777" w:rsidR="00586463" w:rsidRPr="00586463" w:rsidRDefault="00586463" w:rsidP="00586463">
      <w:pPr>
        <w:jc w:val="center"/>
      </w:pPr>
      <w:r w:rsidRPr="00586463">
        <w:rPr>
          <w:i/>
          <w:iCs/>
          <w:color w:val="000000"/>
          <w:lang w:val="en-FR"/>
        </w:rPr>
        <w:t>Suivi de l'exécution de la convention</w:t>
      </w:r>
      <w:r w:rsidRPr="00586463">
        <w:rPr>
          <w:i/>
          <w:iCs/>
          <w:color w:val="000000"/>
        </w:rPr>
        <w:t>.</w:t>
      </w:r>
    </w:p>
    <w:p w14:paraId="5760A8AF" w14:textId="77777777" w:rsidR="00586463" w:rsidRPr="00586463" w:rsidRDefault="00586463" w:rsidP="00586463">
      <w:pPr>
        <w:jc w:val="center"/>
        <w:rPr>
          <w:lang w:val="en-FR"/>
        </w:rPr>
      </w:pPr>
    </w:p>
    <w:p w14:paraId="323420CF" w14:textId="77777777" w:rsidR="00586463" w:rsidRPr="00586463" w:rsidRDefault="00586463" w:rsidP="00586463">
      <w:pPr>
        <w:jc w:val="center"/>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586463">
      <w:pPr>
        <w:jc w:val="center"/>
        <w:rPr>
          <w:lang w:val="en-FR"/>
        </w:rPr>
      </w:pPr>
    </w:p>
    <w:p w14:paraId="42DF1D3A" w14:textId="77777777" w:rsidR="00586463" w:rsidRPr="00586463" w:rsidRDefault="00586463" w:rsidP="00586463">
      <w:pPr>
        <w:jc w:val="center"/>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77777777" w:rsidR="00586463" w:rsidRPr="00586463" w:rsidRDefault="00586463" w:rsidP="00586463">
      <w:pPr>
        <w:jc w:val="center"/>
      </w:pPr>
      <w:r w:rsidRPr="00586463">
        <w:rPr>
          <w:color w:val="000000"/>
          <w:lang w:val="en-FR"/>
        </w:rPr>
        <w:t>Obligations à l'égard des organismes chargés de la liquidation et du paiement de l'APL</w:t>
      </w:r>
      <w:r w:rsidRPr="00586463">
        <w:rPr>
          <w:color w:val="000000"/>
        </w:rPr>
        <w:t>.</w:t>
      </w:r>
    </w:p>
    <w:p w14:paraId="5814C590" w14:textId="77777777" w:rsidR="00586463" w:rsidRPr="00586463" w:rsidRDefault="00586463" w:rsidP="00586463">
      <w:pPr>
        <w:jc w:val="center"/>
        <w:rPr>
          <w:lang w:val="en-FR"/>
        </w:rPr>
      </w:pPr>
    </w:p>
    <w:p w14:paraId="2FEC1389" w14:textId="77777777" w:rsidR="00586463" w:rsidRPr="00586463" w:rsidRDefault="00586463" w:rsidP="00586463">
      <w:pPr>
        <w:jc w:val="center"/>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586463">
      <w:pPr>
        <w:jc w:val="center"/>
        <w:rPr>
          <w:lang w:val="en-FR"/>
        </w:rPr>
      </w:pPr>
    </w:p>
    <w:p w14:paraId="7D692FC0" w14:textId="77777777" w:rsidR="00586463" w:rsidRPr="00586463" w:rsidRDefault="00586463" w:rsidP="00586463">
      <w:pPr>
        <w:jc w:val="center"/>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586463">
      <w:pPr>
        <w:jc w:val="center"/>
        <w:rPr>
          <w:lang w:val="en-FR"/>
        </w:rPr>
      </w:pPr>
    </w:p>
    <w:p w14:paraId="5EED22E7" w14:textId="77777777" w:rsidR="00586463" w:rsidRPr="00586463" w:rsidRDefault="00586463" w:rsidP="00586463">
      <w:pPr>
        <w:jc w:val="center"/>
      </w:pPr>
      <w:r w:rsidRPr="00586463">
        <w:rPr>
          <w:color w:val="000000"/>
        </w:rPr>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586463">
      <w:pPr>
        <w:jc w:val="center"/>
        <w:rPr>
          <w:lang w:val="en-FR"/>
        </w:rPr>
      </w:pPr>
    </w:p>
    <w:p w14:paraId="027DCD12" w14:textId="77777777" w:rsidR="00586463" w:rsidRPr="00586463" w:rsidRDefault="00586463" w:rsidP="00586463">
      <w:pPr>
        <w:jc w:val="center"/>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586463">
      <w:pPr>
        <w:jc w:val="center"/>
        <w:rPr>
          <w:lang w:val="en-FR"/>
        </w:rPr>
      </w:pPr>
    </w:p>
    <w:p w14:paraId="01024CF8" w14:textId="77777777" w:rsidR="00586463" w:rsidRPr="00586463" w:rsidRDefault="00586463" w:rsidP="00586463">
      <w:pPr>
        <w:jc w:val="center"/>
      </w:pPr>
      <w:r w:rsidRPr="00586463">
        <w:rPr>
          <w:color w:val="000000"/>
          <w:lang w:val="en-FR"/>
        </w:rPr>
        <w:lastRenderedPageBreak/>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586463">
      <w:pPr>
        <w:jc w:val="center"/>
        <w:rPr>
          <w:lang w:val="en-FR"/>
        </w:rPr>
      </w:pPr>
    </w:p>
    <w:p w14:paraId="11CA00CE" w14:textId="77777777" w:rsidR="00586463" w:rsidRPr="00586463" w:rsidRDefault="00586463" w:rsidP="00586463">
      <w:pPr>
        <w:jc w:val="center"/>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586463">
      <w:pPr>
        <w:jc w:val="center"/>
        <w:rPr>
          <w:lang w:val="en-FR"/>
        </w:rPr>
      </w:pPr>
    </w:p>
    <w:p w14:paraId="0BEDB055" w14:textId="77777777" w:rsidR="00586463" w:rsidRPr="00586463" w:rsidRDefault="00586463" w:rsidP="00586463">
      <w:pPr>
        <w:jc w:val="center"/>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586463">
      <w:pPr>
        <w:jc w:val="center"/>
        <w:rPr>
          <w:lang w:val="en-FR"/>
        </w:rPr>
      </w:pPr>
    </w:p>
    <w:p w14:paraId="628FF457" w14:textId="77777777" w:rsidR="00586463" w:rsidRPr="00586463" w:rsidRDefault="00586463" w:rsidP="00586463">
      <w:pPr>
        <w:jc w:val="center"/>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586463">
      <w:pPr>
        <w:jc w:val="center"/>
        <w:rPr>
          <w:lang w:val="en-FR"/>
        </w:rPr>
      </w:pPr>
    </w:p>
    <w:p w14:paraId="053625FD" w14:textId="77777777" w:rsidR="00586463" w:rsidRPr="00586463" w:rsidRDefault="00586463" w:rsidP="00586463">
      <w:pPr>
        <w:jc w:val="center"/>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586463">
      <w:pPr>
        <w:jc w:val="center"/>
        <w:rPr>
          <w:lang w:val="en-FR"/>
        </w:rPr>
      </w:pPr>
    </w:p>
    <w:p w14:paraId="2DAEC5F9" w14:textId="77777777" w:rsidR="00586463" w:rsidRPr="00586463" w:rsidRDefault="00586463" w:rsidP="00586463">
      <w:pPr>
        <w:jc w:val="center"/>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586463">
      <w:pPr>
        <w:jc w:val="center"/>
        <w:rPr>
          <w:lang w:val="en-FR"/>
        </w:rPr>
      </w:pPr>
    </w:p>
    <w:p w14:paraId="4B5D30A4" w14:textId="77777777" w:rsidR="00586463" w:rsidRPr="00586463" w:rsidRDefault="00586463" w:rsidP="00586463">
      <w:pPr>
        <w:jc w:val="center"/>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586463">
      <w:pPr>
        <w:jc w:val="center"/>
        <w:rPr>
          <w:lang w:val="en-FR"/>
        </w:rPr>
      </w:pPr>
    </w:p>
    <w:p w14:paraId="4D89CE89" w14:textId="77777777" w:rsidR="00586463" w:rsidRPr="00586463" w:rsidRDefault="00586463" w:rsidP="00586463">
      <w:pPr>
        <w:jc w:val="center"/>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586463">
      <w:pPr>
        <w:jc w:val="center"/>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7777777" w:rsidR="00586463" w:rsidRPr="00586463" w:rsidRDefault="00586463" w:rsidP="00586463">
      <w:pPr>
        <w:jc w:val="center"/>
      </w:pPr>
      <w:r w:rsidRPr="00586463">
        <w:rPr>
          <w:i/>
          <w:iCs/>
          <w:color w:val="000000"/>
          <w:lang w:val="en-FR"/>
        </w:rPr>
        <w:t>Résiliation de la convention aux torts du bailleur</w:t>
      </w:r>
      <w:r w:rsidRPr="00586463">
        <w:rPr>
          <w:i/>
          <w:iCs/>
          <w:color w:val="000000"/>
        </w:rPr>
        <w:t>.</w:t>
      </w:r>
    </w:p>
    <w:p w14:paraId="6A89CA90" w14:textId="77777777" w:rsidR="00586463" w:rsidRPr="00586463" w:rsidRDefault="00586463" w:rsidP="00586463">
      <w:pPr>
        <w:jc w:val="center"/>
        <w:rPr>
          <w:lang w:val="en-FR"/>
        </w:rPr>
      </w:pPr>
    </w:p>
    <w:p w14:paraId="432CF1B8" w14:textId="77777777" w:rsidR="00586463" w:rsidRPr="00586463" w:rsidRDefault="00586463" w:rsidP="00586463">
      <w:pPr>
        <w:jc w:val="center"/>
      </w:pPr>
      <w:r w:rsidRPr="00586463">
        <w:rPr>
          <w:color w:val="000000"/>
          <w:lang w:val="en-FR"/>
        </w:rPr>
        <w:t xml:space="preserve">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w:t>
      </w:r>
      <w:r w:rsidRPr="00586463">
        <w:rPr>
          <w:color w:val="000000"/>
          <w:lang w:val="en-FR"/>
        </w:rPr>
        <w:lastRenderedPageBreak/>
        <w:t>mois, soit satisfaire à ses obligations, soit formuler ses observations. Lorsque le préfet écarte ces observations, sa décision doit être motivée.</w:t>
      </w:r>
    </w:p>
    <w:p w14:paraId="2E41FFE7" w14:textId="77777777" w:rsidR="00586463" w:rsidRPr="00586463" w:rsidRDefault="00586463" w:rsidP="00586463">
      <w:pPr>
        <w:jc w:val="center"/>
        <w:rPr>
          <w:lang w:val="en-FR"/>
        </w:rPr>
      </w:pPr>
    </w:p>
    <w:p w14:paraId="35031583" w14:textId="77777777" w:rsidR="00586463" w:rsidRPr="00586463" w:rsidRDefault="00586463" w:rsidP="00586463">
      <w:pPr>
        <w:jc w:val="center"/>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586463">
      <w:pPr>
        <w:jc w:val="center"/>
        <w:rPr>
          <w:lang w:val="en-FR"/>
        </w:rPr>
      </w:pPr>
    </w:p>
    <w:p w14:paraId="5982D4D9" w14:textId="77777777" w:rsidR="00586463" w:rsidRPr="00586463" w:rsidRDefault="00586463" w:rsidP="00586463">
      <w:pPr>
        <w:jc w:val="center"/>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586463">
      <w:pPr>
        <w:jc w:val="center"/>
        <w:rPr>
          <w:lang w:val="en-FR"/>
        </w:rPr>
      </w:pPr>
    </w:p>
    <w:p w14:paraId="40E65140" w14:textId="77777777" w:rsidR="00586463" w:rsidRPr="00586463" w:rsidRDefault="00586463" w:rsidP="00586463">
      <w:pPr>
        <w:jc w:val="center"/>
      </w:pPr>
      <w:r w:rsidRPr="00586463">
        <w:rPr>
          <w:color w:val="000000"/>
          <w:lang w:val="en-FR"/>
        </w:rPr>
        <w:t>Le préfet informe les organismes payeurs de la résiliation de la convention.</w:t>
      </w:r>
    </w:p>
    <w:p w14:paraId="5EC7E727" w14:textId="77777777" w:rsidR="00586463" w:rsidRPr="00586463" w:rsidRDefault="00586463" w:rsidP="00586463">
      <w:pPr>
        <w:jc w:val="center"/>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77777777" w:rsidR="00586463" w:rsidRPr="00586463" w:rsidRDefault="00586463" w:rsidP="00586463">
      <w:pPr>
        <w:jc w:val="center"/>
      </w:pPr>
      <w:r w:rsidRPr="00586463">
        <w:rPr>
          <w:color w:val="000000"/>
          <w:lang w:val="en-FR"/>
        </w:rPr>
        <w:t>Sanctions</w:t>
      </w:r>
      <w:r w:rsidRPr="00586463">
        <w:rPr>
          <w:color w:val="000000"/>
        </w:rPr>
        <w:t>.</w:t>
      </w:r>
    </w:p>
    <w:p w14:paraId="0441AC21" w14:textId="77777777" w:rsidR="00586463" w:rsidRPr="00586463" w:rsidRDefault="00586463" w:rsidP="00586463">
      <w:pPr>
        <w:jc w:val="center"/>
        <w:rPr>
          <w:lang w:val="en-FR"/>
        </w:rPr>
      </w:pPr>
    </w:p>
    <w:p w14:paraId="667513FA" w14:textId="77777777" w:rsidR="00586463" w:rsidRPr="00586463" w:rsidRDefault="00586463" w:rsidP="00586463">
      <w:pPr>
        <w:jc w:val="center"/>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586463">
      <w:pPr>
        <w:jc w:val="center"/>
        <w:rPr>
          <w:lang w:val="en-FR"/>
        </w:rPr>
      </w:pPr>
    </w:p>
    <w:p w14:paraId="02C739FE" w14:textId="77777777" w:rsidR="00586463" w:rsidRPr="00586463" w:rsidRDefault="00586463" w:rsidP="00586463">
      <w:pPr>
        <w:jc w:val="center"/>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586463">
      <w:pPr>
        <w:jc w:val="center"/>
        <w:rPr>
          <w:lang w:val="en-FR"/>
        </w:rPr>
      </w:pPr>
    </w:p>
    <w:p w14:paraId="4FB4136F" w14:textId="77777777" w:rsidR="00586463" w:rsidRPr="00586463" w:rsidRDefault="00586463" w:rsidP="00586463">
      <w:pPr>
        <w:jc w:val="center"/>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586463">
      <w:pPr>
        <w:jc w:val="center"/>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1082D2E8" w14:textId="77777777" w:rsidR="00586463" w:rsidRPr="00586463" w:rsidRDefault="00586463" w:rsidP="00586463">
      <w:pPr>
        <w:jc w:val="center"/>
      </w:pPr>
      <w:r w:rsidRPr="00586463">
        <w:rPr>
          <w:color w:val="000000"/>
          <w:lang w:val="en-FR"/>
        </w:rPr>
        <w:t>Contrôle</w:t>
      </w:r>
      <w:r w:rsidRPr="00586463">
        <w:rPr>
          <w:color w:val="000000"/>
        </w:rPr>
        <w:t>.</w:t>
      </w:r>
    </w:p>
    <w:p w14:paraId="05E1D47E" w14:textId="77777777" w:rsidR="00586463" w:rsidRPr="00586463" w:rsidRDefault="00586463" w:rsidP="00586463">
      <w:pPr>
        <w:jc w:val="center"/>
        <w:rPr>
          <w:lang w:val="en-FR"/>
        </w:rPr>
      </w:pPr>
    </w:p>
    <w:p w14:paraId="43A1A0D1" w14:textId="77777777" w:rsidR="00586463" w:rsidRPr="00586463" w:rsidRDefault="00586463" w:rsidP="00586463">
      <w:pPr>
        <w:jc w:val="center"/>
      </w:pPr>
      <w:r w:rsidRPr="00586463">
        <w:rPr>
          <w:color w:val="000000"/>
          <w:lang w:val="en-FR"/>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586463">
      <w:pPr>
        <w:jc w:val="center"/>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586463" w:rsidRDefault="00586463" w:rsidP="00586463">
      <w:pPr>
        <w:jc w:val="center"/>
      </w:pPr>
      <w:r w:rsidRPr="00586463">
        <w:rPr>
          <w:color w:val="000000"/>
          <w:lang w:val="en-FR"/>
        </w:rPr>
        <w:t>Publication</w:t>
      </w:r>
    </w:p>
    <w:p w14:paraId="205A3ACF" w14:textId="77777777" w:rsidR="00586463" w:rsidRPr="00586463" w:rsidRDefault="00586463" w:rsidP="00586463">
      <w:pPr>
        <w:jc w:val="center"/>
        <w:rPr>
          <w:lang w:val="en-FR"/>
        </w:rPr>
      </w:pPr>
    </w:p>
    <w:p w14:paraId="408ECF19" w14:textId="77777777" w:rsidR="00586463" w:rsidRPr="00586463" w:rsidRDefault="00586463" w:rsidP="00586463">
      <w:pPr>
        <w:jc w:val="center"/>
      </w:pPr>
      <w:r w:rsidRPr="00586463">
        <w:rPr>
          <w:color w:val="000000"/>
          <w:lang w:val="en-FR"/>
        </w:rPr>
        <w:lastRenderedPageBreak/>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586463">
      <w:pPr>
        <w:jc w:val="center"/>
        <w:rPr>
          <w:lang w:val="en-FR"/>
        </w:rPr>
      </w:pPr>
    </w:p>
    <w:p w14:paraId="73E0CF41" w14:textId="77777777" w:rsidR="00586463" w:rsidRPr="00586463" w:rsidRDefault="00586463" w:rsidP="00586463">
      <w:pPr>
        <w:jc w:val="center"/>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586463">
      <w:pPr>
        <w:jc w:val="center"/>
        <w:rPr>
          <w:lang w:val="en-FR"/>
        </w:rPr>
      </w:pPr>
    </w:p>
    <w:p w14:paraId="33A503C8" w14:textId="77777777" w:rsidR="00586463" w:rsidRPr="00586463" w:rsidRDefault="00586463" w:rsidP="00586463">
      <w:pPr>
        <w:jc w:val="center"/>
      </w:pPr>
    </w:p>
    <w:p w14:paraId="5C8EEE8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586463">
      <w:pPr>
        <w:jc w:val="center"/>
        <w:rPr>
          <w:bdr w:val="none" w:sz="0" w:space="0" w:color="auto" w:frame="1"/>
          <w:shd w:val="clear" w:color="auto" w:fill="FFFFFF"/>
        </w:rPr>
      </w:pPr>
    </w:p>
    <w:p w14:paraId="119B5B4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586463">
      <w:pPr>
        <w:jc w:val="center"/>
        <w:rPr>
          <w:bdr w:val="none" w:sz="0" w:space="0" w:color="auto" w:frame="1"/>
          <w:shd w:val="clear" w:color="auto" w:fill="FFFFFF"/>
        </w:rPr>
      </w:pPr>
    </w:p>
    <w:p w14:paraId="446B661B" w14:textId="77777777" w:rsidR="00586463" w:rsidRPr="00586463" w:rsidRDefault="00586463" w:rsidP="00586463">
      <w:pPr>
        <w:jc w:val="center"/>
        <w:rPr>
          <w:bdr w:val="none" w:sz="0" w:space="0" w:color="auto" w:frame="1"/>
          <w:shd w:val="clear" w:color="auto" w:fill="FFFFFF"/>
        </w:rPr>
      </w:pPr>
    </w:p>
    <w:p w14:paraId="6738E64F" w14:textId="77777777" w:rsidR="00586463" w:rsidRPr="00586463" w:rsidRDefault="00586463" w:rsidP="00586463">
      <w:pPr>
        <w:jc w:val="center"/>
        <w:rPr>
          <w:bdr w:val="none" w:sz="0" w:space="0" w:color="auto" w:frame="1"/>
          <w:shd w:val="clear" w:color="auto" w:fill="FFFFFF"/>
        </w:rPr>
      </w:pPr>
    </w:p>
    <w:p w14:paraId="0CE85000" w14:textId="77777777" w:rsidR="00586463" w:rsidRPr="00586463" w:rsidRDefault="00586463" w:rsidP="00586463">
      <w:pPr>
        <w:jc w:val="center"/>
        <w:rPr>
          <w:bdr w:val="none" w:sz="0" w:space="0" w:color="auto" w:frame="1"/>
          <w:shd w:val="clear" w:color="auto" w:fill="FFFFFF"/>
        </w:rPr>
      </w:pPr>
    </w:p>
    <w:p w14:paraId="4751C7AC" w14:textId="77777777" w:rsidR="00586463" w:rsidRPr="00586463" w:rsidRDefault="00586463" w:rsidP="00586463">
      <w:pPr>
        <w:jc w:val="center"/>
        <w:rPr>
          <w:bdr w:val="none" w:sz="0" w:space="0" w:color="auto" w:frame="1"/>
          <w:shd w:val="clear" w:color="auto" w:fill="FFFFFF"/>
        </w:rPr>
      </w:pPr>
    </w:p>
    <w:p w14:paraId="2765E9C0"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586463">
      <w:pPr>
        <w:jc w:val="center"/>
        <w:rPr>
          <w:bdr w:val="none" w:sz="0" w:space="0" w:color="auto" w:frame="1"/>
          <w:shd w:val="clear" w:color="auto" w:fill="FFFFFF"/>
        </w:rPr>
      </w:pPr>
    </w:p>
    <w:p w14:paraId="29BCE857" w14:textId="77777777" w:rsidR="00586463" w:rsidRPr="00586463" w:rsidRDefault="00586463" w:rsidP="00586463">
      <w:pPr>
        <w:jc w:val="center"/>
        <w:rPr>
          <w:bdr w:val="none" w:sz="0" w:space="0" w:color="auto" w:frame="1"/>
          <w:shd w:val="clear" w:color="auto" w:fill="FFFFFF"/>
        </w:rPr>
      </w:pPr>
    </w:p>
    <w:p w14:paraId="4F2A17F6" w14:textId="77777777" w:rsidR="00586463" w:rsidRPr="00586463" w:rsidRDefault="00586463" w:rsidP="00586463">
      <w:pPr>
        <w:jc w:val="center"/>
        <w:rPr>
          <w:bdr w:val="none" w:sz="0" w:space="0" w:color="auto" w:frame="1"/>
          <w:shd w:val="clear" w:color="auto" w:fill="FFFFFF"/>
        </w:rPr>
      </w:pPr>
    </w:p>
    <w:p w14:paraId="1CE627B7" w14:textId="77777777" w:rsidR="00586463" w:rsidRPr="00586463" w:rsidRDefault="00586463" w:rsidP="00586463">
      <w:pPr>
        <w:jc w:val="center"/>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77777777" w:rsidR="00586463" w:rsidRPr="00586463" w:rsidRDefault="00586463" w:rsidP="00586463">
      <w:pPr>
        <w:jc w:val="cente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AA3F2C"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AA3F2C"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AA3F2C"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lastRenderedPageBreak/>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AA3F2C"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AA3F2C"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AA3F2C"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AA3F2C"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AA3F2C"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AA3F2C"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AA3F2C"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7B75AC60"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w:t>
            </w:r>
            <w:proofErr w:type="spellStart"/>
            <w:r w:rsidRPr="00586463">
              <w:rPr>
                <w:b/>
                <w:bCs/>
                <w:sz w:val="16"/>
                <w:szCs w:val="16"/>
              </w:rPr>
              <w:t>articke</w:t>
            </w:r>
            <w:proofErr w:type="spellEnd"/>
            <w:r w:rsidRPr="00586463">
              <w:rPr>
                <w:b/>
                <w:bCs/>
                <w:sz w:val="16"/>
                <w:szCs w:val="16"/>
              </w:rPr>
              <w:t xml:space="preserv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AA3F2C"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AA3F2C"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77079" w14:textId="77777777" w:rsidR="00172F0A" w:rsidRDefault="00172F0A">
      <w:r>
        <w:separator/>
      </w:r>
    </w:p>
  </w:endnote>
  <w:endnote w:type="continuationSeparator" w:id="0">
    <w:p w14:paraId="27FB7430" w14:textId="77777777" w:rsidR="00172F0A" w:rsidRDefault="0017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1105" w14:textId="77777777" w:rsidR="00172F0A" w:rsidRDefault="00172F0A">
      <w:r>
        <w:separator/>
      </w:r>
    </w:p>
  </w:footnote>
  <w:footnote w:type="continuationSeparator" w:id="0">
    <w:p w14:paraId="45322F79" w14:textId="77777777" w:rsidR="00172F0A" w:rsidRDefault="0017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172F0A">
      <w:rPr>
        <w:noProof/>
      </w:rPr>
      <w:pict w14:anchorId="0FB22A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72F0A">
    <w:pPr>
      <w:pStyle w:val="Header"/>
      <w:ind w:right="360"/>
    </w:pPr>
    <w:r>
      <w:rPr>
        <w:noProof/>
      </w:rPr>
      <w:pict w14:anchorId="65CD2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72F0A" w:rsidP="00D279D1">
    <w:pPr>
      <w:pStyle w:val="Header"/>
      <w:tabs>
        <w:tab w:val="clear" w:pos="4536"/>
        <w:tab w:val="clear" w:pos="9072"/>
      </w:tabs>
    </w:pPr>
    <w:r>
      <w:rPr>
        <w:noProof/>
      </w:rPr>
      <w:pict w14:anchorId="5685EB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72F0A" w:rsidP="00D279D1">
                          <w:pPr>
                            <w:pStyle w:val="Cerfa"/>
                            <w:rPr>
                              <w:sz w:val="16"/>
                              <w:szCs w:val="16"/>
                            </w:rPr>
                          </w:pPr>
                          <w:r>
                            <w:rPr>
                              <w:noProof/>
                            </w:rPr>
                            <w:object w:dxaOrig="770" w:dyaOrig="530" w14:anchorId="2BFEE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2920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72F0A" w:rsidP="00D279D1">
                    <w:pPr>
                      <w:pStyle w:val="Cerfa"/>
                      <w:rPr>
                        <w:sz w:val="16"/>
                        <w:szCs w:val="16"/>
                      </w:rPr>
                    </w:pPr>
                    <w:r>
                      <w:rPr>
                        <w:noProof/>
                      </w:rPr>
                      <w:object w:dxaOrig="770" w:dyaOrig="530" w14:anchorId="2BFEEC8A">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2920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2F0A"/>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6463"/>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12F14"/>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41</Pages>
  <Words>13781</Words>
  <Characters>78556</Characters>
  <Application>Microsoft Office Word</Application>
  <DocSecurity>0</DocSecurity>
  <Lines>654</Lines>
  <Paragraphs>184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47</cp:revision>
  <cp:lastPrinted>2021-11-30T08:37:00Z</cp:lastPrinted>
  <dcterms:created xsi:type="dcterms:W3CDTF">2022-04-08T14:14:00Z</dcterms:created>
  <dcterms:modified xsi:type="dcterms:W3CDTF">2022-12-15T16:07:00Z</dcterms:modified>
</cp:coreProperties>
</file>