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46D288C8"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xml:space="preserve">{% if programme.type_habitat %} </w:t>
      </w:r>
      <w:bookmarkStart w:id="3" w:name="Type"/>
      <w:bookmarkEnd w:id="3"/>
      <w:r w:rsidR="00C109A4">
        <w:rPr>
          <w:rFonts w:ascii="TimesNewRomanPSMT" w:hAnsi="TimesNewRomanPSMT" w:cs="TimesNewRomanPSMT"/>
        </w:rPr>
        <w:t>{{ programme.get_type_habitat_display() }}{% endif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52937D8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 }}</w:t>
      </w:r>
      <w:r w:rsidR="00703BBE">
        <w:rPr>
          <w:rFonts w:ascii="TimesNewRomanPSMT" w:hAnsi="TimesNewRomanPSMT" w:cs="TimesNewRomanPSMT"/>
        </w:rPr>
        <w:t xml:space="preserve"> {%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50CB27B"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48045975" w:rsidR="00D21B14" w:rsidRDefault="00626D7C" w:rsidP="00101463">
      <w:pPr>
        <w:rPr>
          <w:rFonts w:ascii="TimesNewRomanPSMT" w:hAnsi="TimesNewRomanPSMT" w:cs="TimesNewRomanPSMT"/>
        </w:rPr>
      </w:pPr>
      <w:bookmarkStart w:id="32" w:name="S3"/>
      <w:bookmarkEnd w:id="32"/>
      <w:r>
        <w:rPr>
          <w:rFonts w:ascii="TimesNewRomanPSMT" w:hAnsi="TimesNewRomanPSMT" w:cs="TimesNewRomanPSMT"/>
        </w:rPr>
        <w:t>{{ programme.edd_volumetrique }}</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r>
              <w:rPr>
                <w:b/>
                <w:bCs/>
                <w:sz w:val="16"/>
                <w:szCs w:val="16"/>
                <w:lang w:val="en-US"/>
              </w:rPr>
              <w:t>Numéro</w:t>
            </w:r>
          </w:p>
        </w:tc>
        <w:tc>
          <w:tcPr>
            <w:tcW w:w="2111" w:type="dxa"/>
            <w:vAlign w:val="center"/>
          </w:tcPr>
          <w:p w14:paraId="606E043D" w14:textId="190EAC03" w:rsidR="00DD6CCF" w:rsidRPr="00F96F52" w:rsidRDefault="00DD6CCF" w:rsidP="009356A2">
            <w:pPr>
              <w:jc w:val="center"/>
              <w:rPr>
                <w:b/>
                <w:bCs/>
                <w:sz w:val="16"/>
                <w:szCs w:val="16"/>
                <w:lang w:val="en-US"/>
              </w:rPr>
            </w:pPr>
            <w:r>
              <w:rPr>
                <w:b/>
                <w:bCs/>
                <w:sz w:val="16"/>
                <w:szCs w:val="16"/>
                <w:lang w:val="en-US"/>
              </w:rPr>
              <w:t>Lieudit</w:t>
            </w:r>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467BD6"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r>
              <w:rPr>
                <w:sz w:val="16"/>
                <w:szCs w:val="16"/>
                <w:lang w:val="en-US"/>
              </w:rPr>
              <w:t>{{ rc.section }}</w:t>
            </w:r>
          </w:p>
        </w:tc>
        <w:tc>
          <w:tcPr>
            <w:tcW w:w="2137" w:type="dxa"/>
          </w:tcPr>
          <w:p w14:paraId="2332973B" w14:textId="720C3F78" w:rsidR="00DD6CCF" w:rsidRPr="00F96F52" w:rsidRDefault="00DD6CCF" w:rsidP="009356A2">
            <w:pPr>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{%tr endfor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if logement_edds</w:t>
      </w:r>
      <w:r w:rsidR="00442A08">
        <w:rPr>
          <w:rFonts w:ascii="TimesNewRomanPSMT" w:hAnsi="TimesNewRomanPSMT" w:cs="TimesNewRomanPSMT"/>
        </w:rPr>
        <w:t>|len</w:t>
      </w:r>
      <w:r w:rsidRPr="00D21B14">
        <w:rPr>
          <w:rFonts w:ascii="TimesNewRomanPSMT" w:hAnsi="TimesNewRomanPSMT" w:cs="TimesNewRomanPSMT"/>
        </w:rPr>
        <w:t xml:space="preserve">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F96F52">
            <w:pPr>
              <w:jc w:val="cente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F96F52">
            <w:pPr>
              <w:jc w:val="center"/>
              <w:rPr>
                <w:b/>
                <w:bCs/>
                <w:sz w:val="16"/>
                <w:szCs w:val="16"/>
                <w:lang w:val="en-US"/>
              </w:rPr>
            </w:pPr>
            <w:r w:rsidRPr="00F96F52">
              <w:rPr>
                <w:b/>
                <w:bCs/>
                <w:sz w:val="16"/>
                <w:szCs w:val="16"/>
                <w:lang w:val="en-US"/>
              </w:rPr>
              <w:t>Désignation</w:t>
            </w:r>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467BD6"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{{i.lot_num}}</w:t>
            </w:r>
          </w:p>
        </w:tc>
        <w:tc>
          <w:tcPr>
            <w:tcW w:w="2137" w:type="dxa"/>
          </w:tcPr>
          <w:p w14:paraId="34082956" w14:textId="56124B2D" w:rsidR="003B4290" w:rsidRPr="00F96F52" w:rsidRDefault="003B4290" w:rsidP="00ED0284">
            <w:pPr>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ED0284">
            <w:pPr>
              <w:rPr>
                <w:sz w:val="16"/>
                <w:szCs w:val="16"/>
                <w:lang w:val="en-US"/>
              </w:rPr>
            </w:pPr>
            <w:r w:rsidRPr="00F96F52">
              <w:rPr>
                <w:sz w:val="16"/>
                <w:szCs w:val="16"/>
                <w:lang w:val="en-US"/>
              </w:rPr>
              <w:t>{{ i.designation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{%tr endfor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7E31277" w:rsidR="00325DDB" w:rsidRDefault="00313E3F">
      <w:r>
        <w:t xml:space="preserve">Programme de </w:t>
      </w:r>
      <w:bookmarkStart w:id="36" w:name="Type2"/>
      <w:bookmarkStart w:id="37" w:name="AutreType"/>
      <w:bookmarkEnd w:id="36"/>
      <w:bookmarkEnd w:id="37"/>
      <w:r w:rsidR="00407BF2">
        <w:t>{{ programme.</w:t>
      </w:r>
      <w:r w:rsidR="00D21B14">
        <w:t>get_</w:t>
      </w:r>
      <w:r w:rsidR="00407BF2">
        <w:t>type_habitat</w:t>
      </w:r>
      <w:r w:rsidR="00D21B14">
        <w:t>_display()</w:t>
      </w:r>
      <w:r w:rsidR="00407BF2">
        <w:t xml:space="preserve"> }}</w:t>
      </w:r>
      <w:r w:rsidR="00D21B14">
        <w:t xml:space="preserve"> </w:t>
      </w:r>
      <w:r w:rsidR="00407BF2">
        <w:t>{{</w:t>
      </w:r>
      <w:r w:rsidR="00D21B14" w:rsidRPr="00D21B14">
        <w:t xml:space="preserve"> </w:t>
      </w:r>
      <w:r w:rsidR="00D21B14">
        <w:t xml:space="preserve">programme.get_type_operation_display() </w:t>
      </w:r>
      <w:r w:rsidR="00407BF2">
        <w:t>}}</w:t>
      </w:r>
      <w:r w:rsidR="000B589D">
        <w:t xml:space="preserve"> </w:t>
      </w:r>
      <w:bookmarkStart w:id="38" w:name="NbLogement4"/>
      <w:bookmarkEnd w:id="38"/>
      <w:r w:rsidR="00407BF2">
        <w:t xml:space="preserve">{{ </w:t>
      </w:r>
      <w:r w:rsidR="00F766C6">
        <w:t>lot</w:t>
      </w:r>
      <w:r w:rsidR="00407BF2">
        <w:t>.nb_logements }}</w:t>
      </w:r>
      <w:r w:rsidR="00A7226E">
        <w:t xml:space="preserve"> </w:t>
      </w:r>
      <w:r w:rsidRPr="00313E3F">
        <w:t xml:space="preserve">logements </w:t>
      </w:r>
      <w:r>
        <w:t xml:space="preserve">en </w:t>
      </w:r>
      <w:bookmarkStart w:id="39" w:name="Fi4"/>
      <w:bookmarkEnd w:id="39"/>
      <w:r w:rsidR="00407BF2">
        <w:t>{{ lot.financement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4B0C3D"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w:t>
      </w:r>
      <w:r>
        <w:rPr>
          <w:rFonts w:ascii="TimesNewRomanPSMT" w:hAnsi="TimesNewRomanPSMT" w:cs="TimesNewRomanPSMT"/>
        </w:rPr>
        <w:lastRenderedPageBreak/>
        <w:t xml:space="preserve">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5E1B09BF"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16C38EAE" w14:textId="04F6B3B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 }}</w:t>
      </w:r>
    </w:p>
    <w:p w14:paraId="6745617B" w14:textId="77777777" w:rsidR="00325DDB" w:rsidRDefault="00325DDB">
      <w:pPr>
        <w:rPr>
          <w:rFonts w:ascii="TimesNewRomanPSMT" w:hAnsi="TimesNewRomanPSMT" w:cs="TimesNewRomanPSMT"/>
        </w:rPr>
      </w:pPr>
    </w:p>
    <w:p w14:paraId="6BB99555" w14:textId="483E1C79"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3F702AA5"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852"/>
        <w:gridCol w:w="559"/>
        <w:gridCol w:w="996"/>
        <w:gridCol w:w="989"/>
        <w:gridCol w:w="1046"/>
        <w:gridCol w:w="965"/>
        <w:gridCol w:w="873"/>
        <w:gridCol w:w="927"/>
        <w:gridCol w:w="1063"/>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jc w:val="left"/>
              <w:rPr>
                <w:rFonts w:ascii="TimesNewRomanPSMT" w:hAnsi="TimesNewRomanPSMT" w:cs="TimesNewRomanPSMT"/>
                <w:sz w:val="16"/>
                <w:szCs w:val="16"/>
              </w:rPr>
            </w:pPr>
          </w:p>
        </w:tc>
        <w:tc>
          <w:tcPr>
            <w:tcW w:w="649" w:type="dxa"/>
            <w:vMerge/>
          </w:tcPr>
          <w:p w14:paraId="11D51C65" w14:textId="77777777" w:rsidR="00BC091E" w:rsidRPr="00BC091E" w:rsidRDefault="00BC091E">
            <w:pPr>
              <w:jc w:val="left"/>
              <w:rPr>
                <w:rFonts w:ascii="TimesNewRomanPSMT" w:hAnsi="TimesNewRomanPSMT" w:cs="TimesNewRomanPSMT"/>
                <w:sz w:val="16"/>
                <w:szCs w:val="16"/>
              </w:rPr>
            </w:pPr>
          </w:p>
        </w:tc>
        <w:tc>
          <w:tcPr>
            <w:tcW w:w="869" w:type="dxa"/>
            <w:vMerge/>
          </w:tcPr>
          <w:p w14:paraId="37AF09D0" w14:textId="77777777" w:rsidR="00BC091E" w:rsidRPr="00BC091E" w:rsidRDefault="00BC091E">
            <w:pPr>
              <w:jc w:val="left"/>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jc w:val="left"/>
              <w:rPr>
                <w:rFonts w:ascii="TimesNewRomanPSMT" w:hAnsi="TimesNewRomanPSMT" w:cs="TimesNewRomanPSMT"/>
                <w:sz w:val="16"/>
                <w:szCs w:val="16"/>
              </w:rPr>
            </w:pPr>
          </w:p>
        </w:tc>
        <w:tc>
          <w:tcPr>
            <w:tcW w:w="1045" w:type="dxa"/>
            <w:vMerge/>
          </w:tcPr>
          <w:p w14:paraId="070A3072" w14:textId="77777777" w:rsidR="00BC091E" w:rsidRPr="00BC091E" w:rsidRDefault="00BC091E">
            <w:pPr>
              <w:jc w:val="left"/>
              <w:rPr>
                <w:rFonts w:ascii="TimesNewRomanPSMT" w:hAnsi="TimesNewRomanPSMT" w:cs="TimesNewRomanPSMT"/>
                <w:sz w:val="16"/>
                <w:szCs w:val="16"/>
              </w:rPr>
            </w:pPr>
          </w:p>
        </w:tc>
        <w:tc>
          <w:tcPr>
            <w:tcW w:w="1112" w:type="dxa"/>
            <w:vMerge/>
          </w:tcPr>
          <w:p w14:paraId="2CF13346" w14:textId="77777777" w:rsidR="00BC091E" w:rsidRPr="00BC091E" w:rsidRDefault="00BC091E">
            <w:pPr>
              <w:jc w:val="left"/>
              <w:rPr>
                <w:rFonts w:ascii="TimesNewRomanPSMT" w:hAnsi="TimesNewRomanPSMT" w:cs="TimesNewRomanPSMT"/>
                <w:sz w:val="16"/>
                <w:szCs w:val="16"/>
              </w:rPr>
            </w:pPr>
          </w:p>
        </w:tc>
        <w:tc>
          <w:tcPr>
            <w:tcW w:w="858" w:type="dxa"/>
            <w:vMerge/>
          </w:tcPr>
          <w:p w14:paraId="3C48BE33" w14:textId="77777777" w:rsidR="00BC091E" w:rsidRPr="00BC091E" w:rsidRDefault="00BC091E">
            <w:pPr>
              <w:jc w:val="left"/>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467BD6"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82645B" w:rsidRPr="00BC091E" w14:paraId="36A597AB" w14:textId="77777777" w:rsidTr="00C01278">
        <w:tc>
          <w:tcPr>
            <w:tcW w:w="1017"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649"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 xml:space="preserve">|f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 xml:space="preserve">|f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 xml:space="preserve">|f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 xml:space="preserve">|f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{{l.lpmc</w:t>
            </w:r>
            <w:r w:rsidR="00973B50">
              <w:rPr>
                <w:rFonts w:ascii="TimesNewRomanPSMT" w:hAnsi="TimesNewRomanPSMT" w:cs="TimesNewRomanPSMT"/>
                <w:sz w:val="16"/>
                <w:szCs w:val="16"/>
                <w:lang w:val="en-US"/>
              </w:rPr>
              <w:t xml:space="preserve">|f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r w:rsidR="00071268">
              <w:rPr>
                <w:rFonts w:ascii="TimesNewRomanPSMT" w:hAnsi="TimesNewRomanPSMT" w:cs="TimesNewRomanPSMT"/>
                <w:sz w:val="16"/>
                <w:szCs w:val="16"/>
                <w:lang w:val="en-US"/>
              </w:rPr>
              <w:t>|f</w:t>
            </w:r>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jc w:val="left"/>
              <w:rPr>
                <w:rFonts w:ascii="TimesNewRomanPSMT" w:hAnsi="TimesNewRomanPSMT" w:cs="TimesNewRomanPSMT"/>
                <w:sz w:val="16"/>
                <w:szCs w:val="16"/>
                <w:lang w:val="en-US"/>
              </w:rPr>
            </w:pPr>
            <w:r w:rsidRPr="00A75D37">
              <w:rPr>
                <w:sz w:val="16"/>
                <w:szCs w:val="16"/>
                <w:lang w:val="en-US"/>
              </w:rPr>
              <w:t>{%tr endfor %}</w:t>
            </w:r>
          </w:p>
        </w:tc>
      </w:tr>
      <w:tr w:rsidR="008F4EF0" w:rsidRPr="00BC091E" w14:paraId="23F4BED8" w14:textId="77777777" w:rsidTr="008D506B">
        <w:tc>
          <w:tcPr>
            <w:tcW w:w="1666" w:type="dxa"/>
            <w:gridSpan w:val="2"/>
          </w:tcPr>
          <w:p w14:paraId="046EB086" w14:textId="55FFDC4C"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jc w:val="left"/>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jc w:val="left"/>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endif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7" w:name="S2"/>
      <w:bookmarkEnd w:id="47"/>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467BD6"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467BD6"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2372"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_display()</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44B51A2D"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programme.nb_locaux_commerciaux }}</w:t>
      </w:r>
    </w:p>
    <w:p w14:paraId="53A4177D" w14:textId="77777777" w:rsidR="00101463" w:rsidRDefault="00101463" w:rsidP="00101463">
      <w:pPr>
        <w:rPr>
          <w:rFonts w:ascii="TimesNewRomanPSMT" w:hAnsi="TimesNewRomanPSMT" w:cs="TimesNewRomanPSMT"/>
        </w:rPr>
      </w:pPr>
    </w:p>
    <w:p w14:paraId="5925F651" w14:textId="6A2AEE55"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programme.nb_bureaux }}</w:t>
      </w:r>
    </w:p>
    <w:p w14:paraId="20676E73" w14:textId="77777777" w:rsidR="00101463" w:rsidRDefault="00101463" w:rsidP="00101463">
      <w:pPr>
        <w:rPr>
          <w:rFonts w:ascii="TimesNewRomanPSMT" w:hAnsi="TimesNewRomanPSMT" w:cs="TimesNewRomanPSMT"/>
        </w:rPr>
      </w:pPr>
    </w:p>
    <w:p w14:paraId="3B04F045" w14:textId="4B5C6074"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programme.autre_locaux_hors_convention }}</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2075BEC8"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 }}</w:t>
      </w:r>
    </w:p>
    <w:p w14:paraId="7F29394B" w14:textId="445BD7A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programme.acquereur }}</w:t>
      </w:r>
    </w:p>
    <w:p w14:paraId="6B87FC56" w14:textId="22ABFB80" w:rsidR="00101463"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5AE86674" w14:textId="7BA4165D" w:rsidR="00101463" w:rsidRDefault="00101463" w:rsidP="00101463">
      <w:r>
        <w:t xml:space="preserve">Notaire : </w:t>
      </w:r>
      <w:bookmarkStart w:id="57" w:name="Notaire"/>
      <w:bookmarkEnd w:id="57"/>
      <w:r w:rsidR="003C4B80">
        <w:rPr>
          <w:rFonts w:ascii="TimesNewRomanPSMT" w:hAnsi="TimesNewRomanPSMT" w:cs="TimesNewRomanPSMT"/>
        </w:rPr>
        <w:t>{{ programme.reference_notaire }}</w:t>
      </w:r>
    </w:p>
    <w:p w14:paraId="20AF49AF" w14:textId="65CB0BA1" w:rsidR="00101463" w:rsidRDefault="00101463" w:rsidP="00101463">
      <w:r>
        <w:t xml:space="preserve">Référence publicitaire : </w:t>
      </w:r>
      <w:bookmarkStart w:id="58" w:name="Refpublic"/>
      <w:bookmarkEnd w:id="58"/>
      <w:r w:rsidR="003C4B80">
        <w:rPr>
          <w:rFonts w:ascii="TimesNewRomanPSMT" w:hAnsi="TimesNewRomanPSMT" w:cs="TimesNewRomanPSMT"/>
        </w:rPr>
        <w:t>{{ programme.reference_publication_acte }}</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3D120D63"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programme.permis_construire }}</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lastRenderedPageBreak/>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467BD6"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{%tr for p in pret</w:t>
            </w:r>
            <w:r w:rsidR="00992BB7">
              <w:rPr>
                <w:sz w:val="16"/>
                <w:szCs w:val="16"/>
                <w:lang w:val="en-US"/>
              </w:rPr>
              <w:t>s</w:t>
            </w:r>
            <w:r w:rsidRPr="00336652">
              <w:rPr>
                <w:sz w:val="16"/>
                <w:szCs w:val="16"/>
                <w:lang w:val="en-US"/>
              </w:rPr>
              <w:t>_cdc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r w:rsidRPr="00467BD6">
              <w:rPr>
                <w:sz w:val="16"/>
                <w:szCs w:val="16"/>
                <w:lang w:val="en-US"/>
              </w:rPr>
              <w:t xml:space="preserve">{{ </w:t>
            </w:r>
            <w:r w:rsidR="002A5825" w:rsidRPr="00467BD6">
              <w:rPr>
                <w:sz w:val="16"/>
                <w:szCs w:val="16"/>
                <w:lang w:val="en-US"/>
              </w:rPr>
              <w:t>p.</w:t>
            </w:r>
            <w:r w:rsidR="002A5825">
              <w:rPr>
                <w:sz w:val="16"/>
                <w:szCs w:val="16"/>
                <w:lang w:val="en-US"/>
              </w:rPr>
              <w:t>p</w:t>
            </w:r>
            <w:r w:rsidR="001E3937">
              <w:rPr>
                <w:sz w:val="16"/>
                <w:szCs w:val="16"/>
                <w:lang w:val="en-US"/>
              </w:rPr>
              <w:t>_full</w:t>
            </w:r>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467BD6"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r>
              <w:rPr>
                <w:sz w:val="16"/>
                <w:szCs w:val="16"/>
                <w:lang w:val="en-US"/>
              </w:rPr>
              <w:t>autres_prets</w:t>
            </w:r>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r w:rsidRPr="00467BD6">
              <w:rPr>
                <w:sz w:val="16"/>
                <w:szCs w:val="16"/>
                <w:lang w:val="en-US"/>
              </w:rPr>
              <w:t xml:space="preserve">{{ </w:t>
            </w:r>
            <w:r w:rsidR="00467BD6" w:rsidRPr="00467BD6">
              <w:rPr>
                <w:sz w:val="16"/>
                <w:szCs w:val="16"/>
                <w:lang w:val="en-US"/>
              </w:rPr>
              <w:t>p.</w:t>
            </w:r>
            <w:r w:rsidR="008C4E41">
              <w:rPr>
                <w:sz w:val="16"/>
                <w:szCs w:val="16"/>
                <w:lang w:val="en-US"/>
              </w:rPr>
              <w:t xml:space="preserve">p_full()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59A37B94" w:rsidR="00325DDB" w:rsidRDefault="00325DDB">
      <w:pPr>
        <w:keepLines/>
        <w:pageBreakBefore/>
        <w:overflowPunct/>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1FBF" w14:textId="77777777" w:rsidR="007702CE" w:rsidRDefault="007702CE">
      <w:r>
        <w:separator/>
      </w:r>
    </w:p>
  </w:endnote>
  <w:endnote w:type="continuationSeparator" w:id="0">
    <w:p w14:paraId="42FF7158" w14:textId="77777777" w:rsidR="007702CE" w:rsidRDefault="0077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8BD61" w14:textId="77777777" w:rsidR="007702CE" w:rsidRDefault="007702CE">
      <w:r>
        <w:separator/>
      </w:r>
    </w:p>
  </w:footnote>
  <w:footnote w:type="continuationSeparator" w:id="0">
    <w:p w14:paraId="22551122" w14:textId="77777777" w:rsidR="007702CE" w:rsidRDefault="00770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xmlns="">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7702CE">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214686"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7702CE">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214686"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(pour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r>
                            <w:t>TAXES:</w:t>
                          </w:r>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r>
                            <w:t>CSI:</w:t>
                          </w:r>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1484"/>
    <w:rsid w:val="000D4CC4"/>
    <w:rsid w:val="000E2F9F"/>
    <w:rsid w:val="000F658F"/>
    <w:rsid w:val="00101463"/>
    <w:rsid w:val="0017444D"/>
    <w:rsid w:val="001E3937"/>
    <w:rsid w:val="001F50CA"/>
    <w:rsid w:val="00241AE3"/>
    <w:rsid w:val="00241D31"/>
    <w:rsid w:val="002507E8"/>
    <w:rsid w:val="00254CCD"/>
    <w:rsid w:val="00260D02"/>
    <w:rsid w:val="002671FC"/>
    <w:rsid w:val="00267845"/>
    <w:rsid w:val="002746C9"/>
    <w:rsid w:val="002A5825"/>
    <w:rsid w:val="002B705B"/>
    <w:rsid w:val="002D010D"/>
    <w:rsid w:val="002E174F"/>
    <w:rsid w:val="002F579A"/>
    <w:rsid w:val="00303B30"/>
    <w:rsid w:val="003060A8"/>
    <w:rsid w:val="00313E3F"/>
    <w:rsid w:val="00314118"/>
    <w:rsid w:val="00325DDB"/>
    <w:rsid w:val="00336652"/>
    <w:rsid w:val="00346C08"/>
    <w:rsid w:val="00357E7E"/>
    <w:rsid w:val="003704BD"/>
    <w:rsid w:val="00381EC1"/>
    <w:rsid w:val="003A64A9"/>
    <w:rsid w:val="003A75CF"/>
    <w:rsid w:val="003B4290"/>
    <w:rsid w:val="003C4B80"/>
    <w:rsid w:val="003F11B0"/>
    <w:rsid w:val="003F33D5"/>
    <w:rsid w:val="00407BF2"/>
    <w:rsid w:val="00442A08"/>
    <w:rsid w:val="00454376"/>
    <w:rsid w:val="00466ACA"/>
    <w:rsid w:val="00467BD6"/>
    <w:rsid w:val="004729A1"/>
    <w:rsid w:val="004A2C13"/>
    <w:rsid w:val="004B0C3D"/>
    <w:rsid w:val="004B5342"/>
    <w:rsid w:val="004E07D5"/>
    <w:rsid w:val="004E0C0D"/>
    <w:rsid w:val="00542289"/>
    <w:rsid w:val="0055590B"/>
    <w:rsid w:val="00582B0B"/>
    <w:rsid w:val="005B2229"/>
    <w:rsid w:val="005E22CD"/>
    <w:rsid w:val="005E740C"/>
    <w:rsid w:val="005F6CDA"/>
    <w:rsid w:val="00604027"/>
    <w:rsid w:val="00620A9C"/>
    <w:rsid w:val="00623898"/>
    <w:rsid w:val="00623E2D"/>
    <w:rsid w:val="00626D7C"/>
    <w:rsid w:val="00633EB8"/>
    <w:rsid w:val="0064144E"/>
    <w:rsid w:val="00663B6A"/>
    <w:rsid w:val="0067499F"/>
    <w:rsid w:val="00696A48"/>
    <w:rsid w:val="006B1B1F"/>
    <w:rsid w:val="006B3592"/>
    <w:rsid w:val="006B52D1"/>
    <w:rsid w:val="006E0E4D"/>
    <w:rsid w:val="006E768A"/>
    <w:rsid w:val="00703BBE"/>
    <w:rsid w:val="00714670"/>
    <w:rsid w:val="0072250B"/>
    <w:rsid w:val="007272EA"/>
    <w:rsid w:val="007702CE"/>
    <w:rsid w:val="00777235"/>
    <w:rsid w:val="007C1E77"/>
    <w:rsid w:val="007D57D0"/>
    <w:rsid w:val="007E5067"/>
    <w:rsid w:val="007F5409"/>
    <w:rsid w:val="00800F2D"/>
    <w:rsid w:val="00816999"/>
    <w:rsid w:val="0082645B"/>
    <w:rsid w:val="00843031"/>
    <w:rsid w:val="00844303"/>
    <w:rsid w:val="00854BBC"/>
    <w:rsid w:val="008558C6"/>
    <w:rsid w:val="008609D1"/>
    <w:rsid w:val="008663A9"/>
    <w:rsid w:val="008939B7"/>
    <w:rsid w:val="008A2452"/>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C091E"/>
    <w:rsid w:val="00BC3087"/>
    <w:rsid w:val="00BD5EFB"/>
    <w:rsid w:val="00BF1069"/>
    <w:rsid w:val="00C01278"/>
    <w:rsid w:val="00C04B0B"/>
    <w:rsid w:val="00C10164"/>
    <w:rsid w:val="00C109A4"/>
    <w:rsid w:val="00C17115"/>
    <w:rsid w:val="00C35B15"/>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656B"/>
    <w:rsid w:val="00D66851"/>
    <w:rsid w:val="00D76148"/>
    <w:rsid w:val="00D8046E"/>
    <w:rsid w:val="00D949FC"/>
    <w:rsid w:val="00DA4635"/>
    <w:rsid w:val="00DB21C7"/>
    <w:rsid w:val="00DD6789"/>
    <w:rsid w:val="00DD6CCF"/>
    <w:rsid w:val="00DD71CC"/>
    <w:rsid w:val="00DE0211"/>
    <w:rsid w:val="00DE12B1"/>
    <w:rsid w:val="00DE396D"/>
    <w:rsid w:val="00E076A5"/>
    <w:rsid w:val="00E1773D"/>
    <w:rsid w:val="00E206E9"/>
    <w:rsid w:val="00E3073A"/>
    <w:rsid w:val="00E357D7"/>
    <w:rsid w:val="00E632C1"/>
    <w:rsid w:val="00E66273"/>
    <w:rsid w:val="00E67FE4"/>
    <w:rsid w:val="00E71280"/>
    <w:rsid w:val="00E813A5"/>
    <w:rsid w:val="00E81DDA"/>
    <w:rsid w:val="00ED0284"/>
    <w:rsid w:val="00ED7DD6"/>
    <w:rsid w:val="00EE29FC"/>
    <w:rsid w:val="00EF1A41"/>
    <w:rsid w:val="00F1611B"/>
    <w:rsid w:val="00F254B5"/>
    <w:rsid w:val="00F347B9"/>
    <w:rsid w:val="00F44F36"/>
    <w:rsid w:val="00F51CD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19</Pages>
  <Words>6421</Words>
  <Characters>36601</Characters>
  <Application>Microsoft Office Word</Application>
  <DocSecurity>0</DocSecurity>
  <Lines>305</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131</cp:revision>
  <cp:lastPrinted>1899-12-31T23:50:39Z</cp:lastPrinted>
  <dcterms:created xsi:type="dcterms:W3CDTF">2021-09-08T07:59:00Z</dcterms:created>
  <dcterms:modified xsi:type="dcterms:W3CDTF">2021-09-15T10:37:00Z</dcterms:modified>
</cp:coreProperties>
</file>