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0BF0628" w14:textId="77777777"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6B5C30ED" w14:textId="77777777" w:rsidR="000E0FBA" w:rsidRPr="00C91B1B" w:rsidRDefault="000E0FBA" w:rsidP="000E0FBA">
      <w:pPr>
        <w:rPr>
          <w:rFonts w:ascii="TimesNewRomanPSMT" w:hAnsi="TimesNewRomanPSMT" w:cs="TimesNewRomanPSMT"/>
        </w:rPr>
      </w:pP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60FCD575" w:rsidR="003D5F0B" w:rsidRPr="0015004B" w:rsidRDefault="000E0FBA" w:rsidP="003D5F0B">
      <w:pPr>
        <w:rPr>
          <w:rFonts w:ascii="TimesNewRomanPSMT" w:hAnsi="TimesNewRomanPSMT" w:cs="TimesNewRomanPSMT"/>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64D214D1" w14:textId="0B1A37F6" w:rsidR="00D21B14" w:rsidRPr="000E0FBA" w:rsidRDefault="00104A2A" w:rsidP="00101463">
      <w:pPr>
        <w:rPr>
          <w:rFonts w:ascii="TimesNewRomanPSMT" w:hAnsi="TimesNewRomanPSMT" w:cs="TimesNewRomanPSMT"/>
        </w:rPr>
      </w:pPr>
      <w:r w:rsidRPr="00BF1F33">
        <w:rPr>
          <w:rFonts w:ascii="TimesNewRomanPSMT" w:hAnsi="TimesNewRomanPSMT" w:cs="TimesNewRomanPSMT"/>
        </w:rPr>
        <w:t>{% endfor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456DC79C"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AD4578" w:rsidRPr="00AD4578">
        <w:t>lot</w:t>
      </w:r>
      <w:r w:rsidR="00500998">
        <w:t>.get_type_habitat_advanced_display(</w:t>
      </w:r>
      <w:r w:rsidR="00A0292A">
        <w:t>lot.nb_logements</w:t>
      </w:r>
      <w:r w:rsidR="00500998">
        <w:t>)</w:t>
      </w:r>
      <w:r w:rsidR="00A0292A" w:rsidRPr="00A0292A">
        <w:t xml:space="preserve"> </w:t>
      </w:r>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8" w:name="Mix30111"/>
      <w:bookmarkEnd w:id="38"/>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2"/>
      <w:bookmarkEnd w:id="39"/>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0" w:name="Mix1092"/>
      <w:bookmarkEnd w:id="40"/>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1" w:name="SH"/>
      <w:bookmarkEnd w:id="41"/>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2" w:name="SA"/>
      <w:bookmarkEnd w:id="42"/>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3" w:name="Check1"/>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3"/>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B061A">
        <w:rPr>
          <w:rFonts w:ascii="TimesNewRomanPSMT" w:hAnsi="TimesNewRomanPSMT" w:cs="TimesNewRomanPSMT"/>
          <w:sz w:val="16"/>
          <w:szCs w:val="16"/>
        </w:rPr>
      </w:r>
      <w:r w:rsidR="000B06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4" w:name="SU"/>
      <w:bookmarkEnd w:id="44"/>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5" w:name="S1"/>
      <w:bookmarkEnd w:id="45"/>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6" w:name="S9"/>
      <w:bookmarkStart w:id="47" w:name="S10"/>
      <w:bookmarkEnd w:id="46"/>
      <w:bookmarkEnd w:id="47"/>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8" w:name="Locaux"/>
      <w:bookmarkEnd w:id="48"/>
      <w:r>
        <w:rPr>
          <w:rFonts w:ascii="TimesNewRomanPSMT" w:hAnsi="TimesNewRomanPSMT" w:cs="TimesNewRomanPSMT"/>
        </w:rPr>
        <w:t xml:space="preserve">Locaux commerciaux (nombre) :  </w:t>
      </w:r>
      <w:bookmarkStart w:id="49" w:name="Commerce"/>
      <w:bookmarkEnd w:id="49"/>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0" w:name="Bureau"/>
      <w:bookmarkEnd w:id="50"/>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1" w:name="Autre"/>
      <w:bookmarkEnd w:id="51"/>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2" w:name="Vendeur"/>
      <w:bookmarkEnd w:id="52"/>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3" w:name="Acquereur"/>
      <w:bookmarkEnd w:id="53"/>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4" w:name="ActeNotaire"/>
      <w:bookmarkEnd w:id="54"/>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5" w:name="Notaire"/>
      <w:bookmarkEnd w:id="55"/>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6" w:name="Refpublic"/>
      <w:bookmarkEnd w:id="56"/>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7" w:name="PC"/>
      <w:bookmarkEnd w:id="57"/>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8" w:name="Achat"/>
      <w:bookmarkEnd w:id="58"/>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59" w:name="Etat"/>
      <w:bookmarkEnd w:id="59"/>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0" w:name="Fondpropre"/>
      <w:bookmarkEnd w:id="60"/>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1" w:name="Construc"/>
      <w:bookmarkEnd w:id="61"/>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2" w:name="Siret2"/>
      <w:bookmarkEnd w:id="62"/>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F23FE" w14:textId="77777777" w:rsidR="000B061A" w:rsidRDefault="000B061A">
      <w:r>
        <w:separator/>
      </w:r>
    </w:p>
  </w:endnote>
  <w:endnote w:type="continuationSeparator" w:id="0">
    <w:p w14:paraId="3E019D11" w14:textId="77777777" w:rsidR="000B061A" w:rsidRDefault="000B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3DF8C" w14:textId="77777777" w:rsidR="000B061A" w:rsidRDefault="000B061A">
      <w:r>
        <w:separator/>
      </w:r>
    </w:p>
  </w:footnote>
  <w:footnote w:type="continuationSeparator" w:id="0">
    <w:p w14:paraId="77CD6DCB" w14:textId="77777777" w:rsidR="000B061A" w:rsidRDefault="000B0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0B061A">
                          <w:pPr>
                            <w:pStyle w:val="Cerfa"/>
                            <w:rPr>
                              <w:sz w:val="16"/>
                              <w:szCs w:val="16"/>
                            </w:rPr>
                          </w:pPr>
                          <w:r>
                            <w:rPr>
                              <w:noProof/>
                            </w:rPr>
                            <w:object w:dxaOrig="787" w:dyaOrig="520" w14:anchorId="7052D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5017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0B061A">
                    <w:pPr>
                      <w:pStyle w:val="Cerfa"/>
                      <w:rPr>
                        <w:sz w:val="16"/>
                        <w:szCs w:val="16"/>
                      </w:rPr>
                    </w:pPr>
                    <w:r>
                      <w:rPr>
                        <w:noProof/>
                      </w:rPr>
                      <w:object w:dxaOrig="787" w:dyaOrig="520" w14:anchorId="7052D869">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50170"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061A"/>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C4935"/>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77D33"/>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D4578"/>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21</Pages>
  <Words>6723</Words>
  <Characters>38327</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42</cp:revision>
  <cp:lastPrinted>2021-11-30T08:37:00Z</cp:lastPrinted>
  <dcterms:created xsi:type="dcterms:W3CDTF">2021-11-30T09:35:00Z</dcterms:created>
  <dcterms:modified xsi:type="dcterms:W3CDTF">2022-02-22T14:50:00Z</dcterms:modified>
</cp:coreProperties>
</file>