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lang w:val="fr-FR"/>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{{convention.numero</w:t>
      </w:r>
      <w:r w:rsidR="003A1661" w:rsidRPr="003A1661">
        <w:rPr>
          <w:rFonts w:ascii="TimesNewRomanPS-BoldMT" w:hAnsi="TimesNewRomanPS-BoldMT" w:cs="TimesNewRomanPS-BoldMT"/>
          <w:b/>
          <w:lang w:val="fr-FR"/>
        </w:rPr>
        <w:t>}}{% else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endif %}</w:t>
      </w:r>
    </w:p>
    <w:p w14:paraId="2E59C1E0" w14:textId="77777777" w:rsidR="000B329A" w:rsidRPr="003A1661" w:rsidRDefault="000B329A">
      <w:pPr>
        <w:jc w:val="center"/>
        <w:rPr>
          <w:rFonts w:ascii="TimesNewRomanPS-BoldMT" w:hAnsi="TimesNewRomanPS-BoldMT" w:cs="TimesNewRomanPS-BoldMT"/>
          <w:b/>
          <w:lang w:val="fr-FR"/>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sidP="00FD5A7E">
      <w:pPr>
        <w:jc w:val="center"/>
      </w:pPr>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305B4F08"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lang w:val="fr-FR"/>
        </w:rPr>
        <w:t>E</w:t>
      </w:r>
      <w:r w:rsidR="004F06C8">
        <w:rPr>
          <w:rFonts w:ascii="TimesNewRomanPSMT" w:hAnsi="TimesNewRomanPSMT" w:cs="TimesNewRomanPSMT"/>
          <w:lang w:val="fr-FR"/>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lang w:val="fr-FR"/>
        </w:rPr>
        <w:t>|upper</w:t>
      </w:r>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{{lot.nb_logements</w:t>
      </w:r>
      <w:r w:rsidR="0036005B">
        <w:rPr>
          <w:rFonts w:ascii="TimesNewRomanPSMT" w:hAnsi="TimesNewRomanPSMT" w:cs="TimesNewRomanPSMT"/>
          <w:lang w:val="fr-FR"/>
        </w:rPr>
        <w:t>|pl</w:t>
      </w:r>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lang w:val="fr-FR"/>
        </w:rPr>
        <w:t>|inline_text_multiline</w:t>
      </w:r>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6B8A20B9"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lang w:val="fr-FR"/>
        </w:rPr>
        <w:t>|upper</w:t>
      </w:r>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lang w:val="fr-FR"/>
        </w:rPr>
        <w:t>}}</w:t>
      </w:r>
      <w:r w:rsidR="00314118">
        <w:rPr>
          <w:rFonts w:ascii="TimesNewRomanPSMT" w:hAnsi="TimesNewRomanPSMT" w:cs="TimesNewRomanPSMT"/>
        </w:rPr>
        <w:t xml:space="preserve">, </w:t>
      </w:r>
      <w:r w:rsidR="00240839">
        <w:rPr>
          <w:rFonts w:ascii="TimesNewRomanPSMT" w:hAnsi="TimesNewRomanPSMT" w:cs="TimesNewRomanPSMT"/>
          <w:lang w:val="fr-FR"/>
        </w:rPr>
        <w:t xml:space="preserve">{{ </w:t>
      </w:r>
      <w:r w:rsidR="00314118">
        <w:rPr>
          <w:rFonts w:ascii="TimesNewRomanPSMT" w:hAnsi="TimesNewRomanPSMT" w:cs="TimesNewRomanPSMT"/>
        </w:rPr>
        <w:t>bailleur.code_postal</w:t>
      </w:r>
      <w:r w:rsidR="00240839">
        <w:rPr>
          <w:rFonts w:ascii="TimesNewRomanPSMT" w:hAnsi="TimesNewRomanPSMT" w:cs="TimesNewRomanPSMT"/>
          <w:lang w:val="fr-FR"/>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lang w:val="fr-FR"/>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684D177D" w14:textId="7D777CCC" w:rsidR="00325DDB" w:rsidRDefault="00325DDB" w:rsidP="00FD5A7E">
      <w:pPr>
        <w:jc w:val="both"/>
      </w:pPr>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{{lot.nb_logements</w:t>
      </w:r>
      <w:r w:rsidR="0036005B">
        <w:rPr>
          <w:rFonts w:ascii="TimesNewRomanPSMT" w:hAnsi="TimesNewRomanPSMT" w:cs="TimesNewRomanPSMT"/>
          <w:lang w:val="fr-FR"/>
        </w:rPr>
        <w:t xml:space="preserve">|pl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w:t>
      </w:r>
      <w:r w:rsidR="00240839">
        <w:rPr>
          <w:rFonts w:ascii="TimesNewRomanPSMT" w:hAnsi="TimesNewRomanPSMT" w:cs="TimesNewRomanPSMT"/>
          <w:lang w:val="fr-FR"/>
        </w:rPr>
        <w:t>|inline_text_multiline</w:t>
      </w:r>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rsidP="00FD5A7E">
      <w:pPr>
        <w:jc w:val="both"/>
        <w:rPr>
          <w:rFonts w:ascii="TimesNewRomanPSMT" w:hAnsi="TimesNewRomanPSMT" w:cs="TimesNewRomanPSMT"/>
        </w:rPr>
      </w:pPr>
    </w:p>
    <w:p w14:paraId="1EE76523" w14:textId="77777777" w:rsidR="00325DDB" w:rsidRDefault="00325DDB" w:rsidP="00FD5A7E">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rsidP="00FD5A7E">
      <w:pPr>
        <w:jc w:val="both"/>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rsidP="00FD5A7E">
      <w:pPr>
        <w:jc w:val="both"/>
        <w:rPr>
          <w:rFonts w:ascii="TimesNewRomanPSMT" w:hAnsi="TimesNewRomanPSMT" w:cs="TimesNewRomanPSMT"/>
        </w:rPr>
      </w:pPr>
    </w:p>
    <w:p w14:paraId="7A3E3ECB" w14:textId="77777777" w:rsidR="00325DDB" w:rsidRDefault="00325DDB" w:rsidP="00FD5A7E">
      <w:pPr>
        <w:jc w:val="both"/>
      </w:pPr>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rsidP="00FD5A7E">
      <w:pPr>
        <w:jc w:val="both"/>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rsidP="00FD5A7E">
      <w:pPr>
        <w:jc w:val="both"/>
        <w:rPr>
          <w:rFonts w:ascii="TimesNewRomanPSMT" w:hAnsi="TimesNewRomanPSMT" w:cs="TimesNewRomanPSMT"/>
        </w:rPr>
      </w:pPr>
    </w:p>
    <w:p w14:paraId="24438FB9" w14:textId="4F727E29" w:rsidR="00325DDB" w:rsidRDefault="00325DDB" w:rsidP="00FD5A7E">
      <w:pPr>
        <w:jc w:val="both"/>
      </w:pPr>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rsidP="00FD5A7E">
      <w:pPr>
        <w:jc w:val="both"/>
        <w:rPr>
          <w:rFonts w:ascii="TimesNewRomanPSMT" w:hAnsi="TimesNewRomanPSMT" w:cs="TimesNewRomanPSMT"/>
        </w:rPr>
      </w:pPr>
    </w:p>
    <w:p w14:paraId="0390AD58" w14:textId="77777777" w:rsidR="00325DDB" w:rsidRDefault="00325DDB" w:rsidP="00FD5A7E">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rsidP="00FD5A7E">
      <w:pPr>
        <w:jc w:val="both"/>
        <w:rPr>
          <w:rFonts w:ascii="TimesNewRomanPSMT" w:hAnsi="TimesNewRomanPSMT" w:cs="TimesNewRomanPSMT"/>
        </w:rPr>
      </w:pPr>
    </w:p>
    <w:p w14:paraId="7BE4036F" w14:textId="77777777" w:rsidR="00325DDB" w:rsidRDefault="00325DDB" w:rsidP="00FD5A7E">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rsidP="00FD5A7E">
      <w:pPr>
        <w:jc w:val="both"/>
        <w:rPr>
          <w:rFonts w:ascii="TimesNewRomanPSMT" w:hAnsi="TimesNewRomanPSMT" w:cs="TimesNewRomanPSMT"/>
        </w:rPr>
      </w:pPr>
    </w:p>
    <w:p w14:paraId="341FE283" w14:textId="77777777" w:rsidR="00325DDB" w:rsidRDefault="00325DDB" w:rsidP="00FD5A7E">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rsidP="00FD5A7E">
      <w:pPr>
        <w:jc w:val="both"/>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rsidP="00FD5A7E">
      <w:pPr>
        <w:jc w:val="both"/>
        <w:rPr>
          <w:rFonts w:ascii="TimesNewRomanPSMT" w:hAnsi="TimesNewRomanPSMT" w:cs="TimesNewRomanPSMT"/>
        </w:rPr>
      </w:pPr>
    </w:p>
    <w:p w14:paraId="3A357115" w14:textId="77777777" w:rsidR="00325DDB" w:rsidRDefault="00325DDB" w:rsidP="00FD5A7E">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44008DBC" w14:textId="77777777" w:rsidR="00325DDB" w:rsidRDefault="00325DDB" w:rsidP="00FD5A7E">
      <w:pPr>
        <w:jc w:val="both"/>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rsidP="00EB5191">
      <w:pPr>
        <w:jc w:val="both"/>
        <w:rPr>
          <w:rFonts w:ascii="TimesNewRomanPSMT" w:hAnsi="TimesNewRomanPSMT" w:cs="TimesNewRomanPSMT"/>
          <w:i/>
          <w:iCs/>
        </w:rPr>
      </w:pPr>
    </w:p>
    <w:p w14:paraId="58B21468" w14:textId="77777777" w:rsidR="00325DDB" w:rsidRDefault="00325DDB" w:rsidP="00EB5191">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rsidP="00EB5191">
      <w:pPr>
        <w:jc w:val="both"/>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rsidP="00EB5191">
      <w:pPr>
        <w:jc w:val="both"/>
        <w:rPr>
          <w:rFonts w:ascii="TimesNewRomanPSMT" w:hAnsi="TimesNewRomanPSMT" w:cs="TimesNewRomanPSMT"/>
        </w:rPr>
      </w:pPr>
    </w:p>
    <w:p w14:paraId="07AF7A15" w14:textId="77777777" w:rsidR="00325DDB" w:rsidRDefault="00325DDB" w:rsidP="00EB5191">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rsidP="00EB5191">
      <w:pPr>
        <w:jc w:val="both"/>
        <w:rPr>
          <w:rFonts w:ascii="TimesNewRomanPSMT" w:hAnsi="TimesNewRomanPSMT" w:cs="TimesNewRomanPSMT"/>
        </w:rPr>
      </w:pPr>
    </w:p>
    <w:p w14:paraId="6354F9D6" w14:textId="77777777" w:rsidR="00325DDB" w:rsidRDefault="00325DDB" w:rsidP="00EB5191">
      <w:pPr>
        <w:jc w:val="both"/>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rsidP="00EB5191">
      <w:pPr>
        <w:jc w:val="both"/>
        <w:rPr>
          <w:rFonts w:ascii="TimesNewRomanPSMT" w:hAnsi="TimesNewRomanPSMT" w:cs="TimesNewRomanPSMT"/>
        </w:rPr>
      </w:pPr>
    </w:p>
    <w:p w14:paraId="0E632FC2" w14:textId="77777777" w:rsidR="00325DDB" w:rsidRDefault="00325DDB" w:rsidP="00EB5191">
      <w:pPr>
        <w:jc w:val="both"/>
      </w:pPr>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rsidP="00EB5191">
      <w:pPr>
        <w:jc w:val="both"/>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rsidP="00C7694C">
      <w:pPr>
        <w:jc w:val="both"/>
        <w:rPr>
          <w:rFonts w:ascii="TimesNewRomanPSMT" w:hAnsi="TimesNewRomanPSMT" w:cs="TimesNewRomanPSMT"/>
        </w:rPr>
      </w:pPr>
    </w:p>
    <w:p w14:paraId="7971D8B3" w14:textId="77777777" w:rsidR="00325DDB" w:rsidRDefault="00325DDB" w:rsidP="00C7694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rsidP="00C7694C">
      <w:pPr>
        <w:jc w:val="both"/>
        <w:rPr>
          <w:rFonts w:ascii="TimesNewRomanPSMT" w:hAnsi="TimesNewRomanPSMT" w:cs="TimesNewRomanPSMT"/>
        </w:rPr>
      </w:pPr>
    </w:p>
    <w:p w14:paraId="71216386" w14:textId="77777777" w:rsidR="00325DDB" w:rsidRDefault="00325DDB" w:rsidP="00C7694C">
      <w:pPr>
        <w:jc w:val="both"/>
      </w:pPr>
      <w:r>
        <w:rPr>
          <w:rFonts w:ascii="TimesNewRomanPSMT" w:hAnsi="TimesNewRomanPSMT" w:cs="TimesNewRomanPSMT"/>
        </w:rPr>
        <w:t>1°-Conditions de location.</w:t>
      </w:r>
    </w:p>
    <w:p w14:paraId="28F3F122" w14:textId="77777777" w:rsidR="00325DDB" w:rsidRDefault="00325DDB" w:rsidP="00C7694C">
      <w:pPr>
        <w:jc w:val="both"/>
        <w:rPr>
          <w:rFonts w:ascii="TimesNewRomanPSMT" w:hAnsi="TimesNewRomanPSMT" w:cs="TimesNewRomanPSMT"/>
        </w:rPr>
      </w:pPr>
    </w:p>
    <w:p w14:paraId="31767D18" w14:textId="77777777" w:rsidR="00325DDB" w:rsidRDefault="00325DDB" w:rsidP="00C7694C">
      <w:pPr>
        <w:jc w:val="both"/>
      </w:pPr>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Default="00325DDB" w:rsidP="00C7694C">
      <w:pPr>
        <w:jc w:val="both"/>
        <w:rPr>
          <w:rFonts w:ascii="TimesNewRomanPSMT" w:hAnsi="TimesNewRomanPSMT" w:cs="TimesNewRomanPSMT"/>
        </w:rPr>
      </w:pPr>
    </w:p>
    <w:p w14:paraId="25E639E2" w14:textId="77777777" w:rsidR="00325DDB" w:rsidRDefault="00325DDB" w:rsidP="00C7694C">
      <w:pPr>
        <w:jc w:val="both"/>
      </w:pPr>
      <w:r>
        <w:rPr>
          <w:rFonts w:ascii="TimesNewRomanPSMT" w:hAnsi="TimesNewRomanPSMT" w:cs="TimesNewRomanPSMT"/>
        </w:rPr>
        <w:t>2°-Ressources.</w:t>
      </w:r>
    </w:p>
    <w:p w14:paraId="0C474E60" w14:textId="77777777" w:rsidR="00325DDB" w:rsidRDefault="00325DDB" w:rsidP="00C7694C">
      <w:pPr>
        <w:jc w:val="both"/>
        <w:rPr>
          <w:rFonts w:ascii="TimesNewRomanPSMT" w:hAnsi="TimesNewRomanPSMT" w:cs="TimesNewRomanPSMT"/>
        </w:rPr>
      </w:pPr>
    </w:p>
    <w:p w14:paraId="26965FFD" w14:textId="77777777" w:rsidR="00325DDB" w:rsidRDefault="00325DDB" w:rsidP="00C7694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rsidP="00C7694C">
      <w:pPr>
        <w:jc w:val="both"/>
        <w:rPr>
          <w:rFonts w:ascii="TimesNewRomanPSMT" w:hAnsi="TimesNewRomanPSMT" w:cs="TimesNewRomanPSMT"/>
        </w:rPr>
      </w:pPr>
    </w:p>
    <w:p w14:paraId="35B1D194" w14:textId="77777777" w:rsidR="00325DDB" w:rsidRDefault="00325DDB" w:rsidP="00C7694C">
      <w:pPr>
        <w:jc w:val="both"/>
      </w:pPr>
      <w:r>
        <w:rPr>
          <w:rFonts w:ascii="TimesNewRomanPSMT" w:hAnsi="TimesNewRomanPSMT" w:cs="TimesNewRomanPSMT"/>
        </w:rPr>
        <w:t>3°-Mixité sociale.</w:t>
      </w:r>
    </w:p>
    <w:p w14:paraId="01C1F7E8" w14:textId="77777777" w:rsidR="00325DDB" w:rsidRDefault="00325DDB" w:rsidP="00C7694C">
      <w:pPr>
        <w:jc w:val="both"/>
        <w:rPr>
          <w:rFonts w:ascii="TimesNewRomanPSMT" w:hAnsi="TimesNewRomanPSMT" w:cs="TimesNewRomanPSMT"/>
        </w:rPr>
      </w:pPr>
    </w:p>
    <w:p w14:paraId="09502A4B" w14:textId="3B5D725C" w:rsidR="00325DDB" w:rsidRDefault="00325DDB" w:rsidP="00C7694C">
      <w:pPr>
        <w:jc w:val="both"/>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|pl</w:t>
      </w:r>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r w:rsidR="00367D09">
        <w:rPr>
          <w:rFonts w:ascii="TimesNewRomanPSMT" w:hAnsi="TimesNewRomanPSMT" w:cs="TimesNewRomanPSMT"/>
          <w:bCs/>
          <w:lang w:val="fr-FR"/>
        </w:rPr>
        <w:t>inf</w:t>
      </w:r>
      <w:r w:rsidR="00367D09" w:rsidRPr="00367D09">
        <w:rPr>
          <w:rFonts w:ascii="TimesNewRomanPSMT" w:hAnsi="TimesNewRomanPSMT" w:cs="TimesNewRomanPSMT"/>
          <w:bCs/>
        </w:rPr>
        <w:t>10_30pc</w:t>
      </w:r>
      <w:r w:rsidR="0036005B">
        <w:rPr>
          <w:rFonts w:ascii="TimesNewRomanPSMT" w:hAnsi="TimesNewRomanPSMT" w:cs="TimesNewRomanPSMT"/>
          <w:lang w:val="fr-FR"/>
        </w:rPr>
        <w:t xml:space="preserve">|pl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C7694C">
      <w:pPr>
        <w:jc w:val="both"/>
        <w:rPr>
          <w:rFonts w:ascii="TimesNewRomanPSMT" w:hAnsi="TimesNewRomanPSMT" w:cs="TimesNewRomanPSMT"/>
        </w:rPr>
      </w:pPr>
    </w:p>
    <w:p w14:paraId="56EEFA8B" w14:textId="2E59E83B" w:rsidR="00325DDB" w:rsidRDefault="00325DDB" w:rsidP="00C7694C">
      <w:pPr>
        <w:jc w:val="both"/>
      </w:pPr>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00AA5A3B">
        <w:rPr>
          <w:rFonts w:ascii="TimesNewRomanPSMT" w:hAnsi="TimesNewRomanPSMT" w:cs="TimesNewRomanPSMT"/>
          <w:b/>
          <w:lang w:val="fr-FR"/>
        </w:rPr>
        <w:t>{{</w:t>
      </w:r>
      <w:r w:rsidR="008C3281">
        <w:rPr>
          <w:rFonts w:ascii="TimesNewRomanPSMT" w:hAnsi="TimesNewRomanPSMT" w:cs="TimesNewRomanPSMT"/>
          <w:b/>
          <w:lang w:val="fr-FR"/>
        </w:rPr>
        <w:t xml:space="preserve"> </w:t>
      </w:r>
      <w:r w:rsidR="00AA5A3B">
        <w:rPr>
          <w:rFonts w:ascii="TimesNewRomanPSMT" w:hAnsi="TimesNewRomanPSMT" w:cs="TimesNewRomanPSMT"/>
          <w:b/>
          <w:lang w:val="fr-FR"/>
        </w:rPr>
        <w:t>lot.</w:t>
      </w:r>
      <w:r w:rsidR="008C3281">
        <w:rPr>
          <w:rFonts w:ascii="TimesNewRomanPSMT" w:hAnsi="TimesNewRomanPSMT" w:cs="TimesNewRomanPSMT"/>
          <w:b/>
          <w:lang w:val="fr-FR"/>
        </w:rPr>
        <w:t>lgts_mixite_sociale_negocies</w:t>
      </w:r>
      <w:r w:rsidR="00E37157">
        <w:rPr>
          <w:rFonts w:ascii="TimesNewRomanPSMT" w:hAnsi="TimesNewRomanPSMT" w:cs="TimesNewRomanPSMT"/>
          <w:b/>
          <w:lang w:val="fr-FR"/>
        </w:rPr>
        <w:t>_display</w:t>
      </w:r>
      <w:r w:rsidR="00F56AAE">
        <w:rPr>
          <w:rFonts w:ascii="TimesNewRomanPSMT" w:hAnsi="TimesNewRomanPSMT" w:cs="TimesNewRomanPSMT"/>
          <w:b/>
          <w:lang w:val="fr-FR"/>
        </w:rPr>
        <w:t>()</w:t>
      </w:r>
      <w:r w:rsidR="008C3281">
        <w:rPr>
          <w:rFonts w:ascii="TimesNewRomanPSMT" w:hAnsi="TimesNewRomanPSMT" w:cs="TimesNewRomanPSMT"/>
          <w:b/>
          <w:lang w:val="fr-FR"/>
        </w:rPr>
        <w:t xml:space="preserve"> </w:t>
      </w:r>
      <w:r w:rsidR="00AA5A3B">
        <w:rPr>
          <w:rFonts w:ascii="TimesNewRomanPSMT" w:hAnsi="TimesNewRomanPSMT" w:cs="TimesNewRomanPSMT"/>
          <w:b/>
          <w:lang w:val="fr-FR"/>
        </w:rPr>
        <w:t>}}</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rsidP="00C7694C">
      <w:pPr>
        <w:jc w:val="both"/>
        <w:rPr>
          <w:rFonts w:ascii="TimesNewRomanPSMT" w:hAnsi="TimesNewRomanPSMT" w:cs="TimesNewRomanPSMT"/>
        </w:rPr>
      </w:pPr>
    </w:p>
    <w:p w14:paraId="2C21D7A2" w14:textId="77777777" w:rsidR="00325DDB" w:rsidRDefault="00325DDB" w:rsidP="00C7694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sidP="00C7694C">
      <w:pPr>
        <w:jc w:val="both"/>
      </w:pPr>
      <w:r>
        <w:rPr>
          <w:rFonts w:ascii="TimesNewRomanPSMT" w:hAnsi="TimesNewRomanPSMT" w:cs="TimesNewRomanPSMT"/>
        </w:rPr>
        <w:lastRenderedPageBreak/>
        <w:t>D. 331-12 précité pour l'attribution des logements sociaux, jusqu'à ce que l'organisme établisse que l'engagement est respecté à nouveau.</w:t>
      </w:r>
    </w:p>
    <w:p w14:paraId="01585907" w14:textId="77777777" w:rsidR="00325DDB" w:rsidRDefault="00325DDB" w:rsidP="00C7694C">
      <w:pPr>
        <w:jc w:val="both"/>
        <w:rPr>
          <w:rFonts w:ascii="TimesNewRomanPSMT" w:hAnsi="TimesNewRomanPSMT" w:cs="TimesNewRomanPSMT"/>
        </w:rPr>
      </w:pPr>
    </w:p>
    <w:p w14:paraId="355C0429" w14:textId="397C490A" w:rsidR="00325DDB" w:rsidRDefault="00325DDB" w:rsidP="00C7694C">
      <w:pPr>
        <w:jc w:val="both"/>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r w:rsidR="00367D09">
        <w:rPr>
          <w:rFonts w:ascii="TimesNewRomanPSMT" w:hAnsi="TimesNewRomanPSMT" w:cs="TimesNewRomanPSMT"/>
          <w:bCs/>
          <w:lang w:val="fr-FR"/>
        </w:rPr>
        <w:t>inf</w:t>
      </w:r>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 xml:space="preserve">|pl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rsidP="00C7694C">
      <w:pPr>
        <w:jc w:val="both"/>
        <w:rPr>
          <w:rFonts w:ascii="TimesNewRomanPSMT" w:hAnsi="TimesNewRomanPSMT" w:cs="TimesNewRomanPSMT"/>
        </w:rPr>
      </w:pPr>
    </w:p>
    <w:p w14:paraId="127DB8E8" w14:textId="77777777" w:rsidR="00325DDB" w:rsidRDefault="00325DDB" w:rsidP="00C7694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C7694C">
      <w:pPr>
        <w:jc w:val="both"/>
        <w:rPr>
          <w:rFonts w:ascii="TimesNewRomanPSMT" w:hAnsi="TimesNewRomanPSMT" w:cs="TimesNewRomanPSMT"/>
        </w:rPr>
      </w:pPr>
    </w:p>
    <w:p w14:paraId="23F1AEFA" w14:textId="77777777" w:rsidR="00325DDB" w:rsidRDefault="00325DDB" w:rsidP="00C7694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rsidP="00C7694C">
      <w:pPr>
        <w:jc w:val="both"/>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EB5191">
      <w:pPr>
        <w:jc w:val="both"/>
        <w:rPr>
          <w:rFonts w:ascii="TimesNewRomanPSMT" w:hAnsi="TimesNewRomanPSMT" w:cs="TimesNewRomanPSMT"/>
        </w:rPr>
      </w:pPr>
    </w:p>
    <w:p w14:paraId="011959EE" w14:textId="3AA59DD0" w:rsidR="00325DDB" w:rsidRDefault="00325DDB" w:rsidP="00EB5191">
      <w:pPr>
        <w:jc w:val="both"/>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rsidP="00EB5191">
      <w:pPr>
        <w:jc w:val="both"/>
        <w:rPr>
          <w:rFonts w:ascii="TimesNewRomanPSMT" w:hAnsi="TimesNewRomanPSMT" w:cs="TimesNewRomanPSMT"/>
        </w:rPr>
      </w:pPr>
    </w:p>
    <w:p w14:paraId="238B7A1B" w14:textId="77777777" w:rsidR="00325DDB" w:rsidRDefault="00325DDB" w:rsidP="00EB5191">
      <w:pPr>
        <w:jc w:val="both"/>
      </w:pPr>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rsidP="00EB5191">
      <w:pPr>
        <w:jc w:val="both"/>
        <w:rPr>
          <w:rFonts w:ascii="TimesNewRomanPSMT" w:hAnsi="TimesNewRomanPSMT" w:cs="TimesNewRomanPSMT"/>
        </w:rPr>
      </w:pPr>
    </w:p>
    <w:p w14:paraId="55D97B25" w14:textId="77777777" w:rsidR="00325DDB" w:rsidRDefault="00325DDB" w:rsidP="00EB5191">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rsidP="00EB5191">
      <w:pPr>
        <w:jc w:val="both"/>
        <w:rPr>
          <w:rFonts w:ascii="TimesNewRomanPSMT" w:hAnsi="TimesNewRomanPSMT" w:cs="TimesNewRomanPSMT"/>
        </w:rPr>
      </w:pPr>
    </w:p>
    <w:p w14:paraId="6A462974" w14:textId="77777777" w:rsidR="00325DDB" w:rsidRDefault="00325DDB" w:rsidP="00EB5191">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w:t>
      </w:r>
      <w:r>
        <w:rPr>
          <w:rFonts w:ascii="TimesNewRomanPSMT" w:hAnsi="TimesNewRomanPSMT" w:cs="TimesNewRomanPSMT"/>
          <w:i/>
          <w:iCs/>
        </w:rPr>
        <w:lastRenderedPageBreak/>
        <w:t>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lang w:val="fr-FR"/>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rsidP="00EB5191">
      <w:pPr>
        <w:jc w:val="both"/>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rsidP="00EB5191">
      <w:pPr>
        <w:jc w:val="both"/>
        <w:rPr>
          <w:rFonts w:ascii="TimesNewRomanPSMT" w:hAnsi="TimesNewRomanPSMT" w:cs="TimesNewRomanPSMT"/>
        </w:rPr>
      </w:pPr>
    </w:p>
    <w:p w14:paraId="5FA00E1E" w14:textId="77777777" w:rsidR="00325DDB" w:rsidRDefault="00325DDB" w:rsidP="00EB5191">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rsidP="00EB5191">
      <w:pPr>
        <w:jc w:val="both"/>
        <w:rPr>
          <w:rFonts w:ascii="TimesNewRomanPSMT" w:hAnsi="TimesNewRomanPSMT" w:cs="TimesNewRomanPSMT"/>
        </w:rPr>
      </w:pPr>
    </w:p>
    <w:p w14:paraId="35AC4D24" w14:textId="77777777" w:rsidR="00325DDB" w:rsidRDefault="00325DDB" w:rsidP="00EB5191">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rsidP="00EB5191">
      <w:pPr>
        <w:jc w:val="both"/>
        <w:rPr>
          <w:rFonts w:ascii="TimesNewRomanPSMT" w:hAnsi="TimesNewRomanPSMT" w:cs="TimesNewRomanPSMT"/>
        </w:rPr>
      </w:pPr>
    </w:p>
    <w:p w14:paraId="725401F9" w14:textId="77777777" w:rsidR="00325DDB" w:rsidRDefault="00325DDB" w:rsidP="00EB5191">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rsidP="00EB5191">
      <w:pPr>
        <w:jc w:val="both"/>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EB5191">
      <w:pPr>
        <w:jc w:val="both"/>
      </w:pPr>
    </w:p>
    <w:p w14:paraId="78105A6B" w14:textId="449A09C2" w:rsidR="00325DDB" w:rsidRDefault="00325DDB" w:rsidP="00EB5191">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rPr>
          <w:lang w:val="fr-FR"/>
        </w:rPr>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rsidP="00EB5191">
      <w:pPr>
        <w:jc w:val="both"/>
        <w:rPr>
          <w:rFonts w:ascii="TimesNewRomanPSMT" w:hAnsi="TimesNewRomanPSMT" w:cs="TimesNewRomanPSMT"/>
        </w:rPr>
      </w:pPr>
    </w:p>
    <w:p w14:paraId="3E0FFE1F" w14:textId="77777777" w:rsidR="00325DDB" w:rsidRDefault="00325DDB" w:rsidP="00EB5191">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rsidP="00EB5191">
      <w:pPr>
        <w:jc w:val="both"/>
        <w:rPr>
          <w:rFonts w:ascii="TimesNewRomanPSMT" w:hAnsi="TimesNewRomanPSMT" w:cs="TimesNewRomanPSMT"/>
        </w:rPr>
      </w:pPr>
    </w:p>
    <w:p w14:paraId="1143CBAF" w14:textId="77777777" w:rsidR="00325DDB" w:rsidRDefault="00325DDB" w:rsidP="00EB5191">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73C30F36" w14:textId="77777777" w:rsidR="00325DDB" w:rsidRDefault="00325DDB" w:rsidP="00EB5191">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rsidP="00EB5191">
      <w:pPr>
        <w:jc w:val="both"/>
        <w:rPr>
          <w:rFonts w:ascii="TimesNewRomanPSMT" w:hAnsi="TimesNewRomanPSMT" w:cs="TimesNewRomanPSMT"/>
        </w:rPr>
      </w:pPr>
    </w:p>
    <w:p w14:paraId="260CDEFE" w14:textId="77777777" w:rsidR="00325DDB" w:rsidRDefault="00325DDB" w:rsidP="00EB5191">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rsidP="00EB5191">
      <w:pPr>
        <w:jc w:val="both"/>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lastRenderedPageBreak/>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rsidP="00EB5191">
      <w:pPr>
        <w:jc w:val="both"/>
        <w:rPr>
          <w:rFonts w:ascii="TimesNewRomanPSMT" w:hAnsi="TimesNewRomanPSMT" w:cs="TimesNewRomanPSMT"/>
        </w:rPr>
      </w:pPr>
    </w:p>
    <w:p w14:paraId="2E4DFB16" w14:textId="77777777" w:rsidR="00325DDB" w:rsidRDefault="00325DDB" w:rsidP="00EB5191">
      <w:pPr>
        <w:jc w:val="both"/>
      </w:pPr>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sidP="00EB5191">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rsidP="00EB5191">
      <w:pPr>
        <w:jc w:val="both"/>
        <w:rPr>
          <w:rFonts w:ascii="TimesNewRomanPSMT" w:hAnsi="TimesNewRomanPSMT" w:cs="TimesNewRomanPSMT"/>
        </w:rPr>
      </w:pPr>
    </w:p>
    <w:p w14:paraId="01C96108" w14:textId="77777777" w:rsidR="00325DDB" w:rsidRDefault="00325DDB" w:rsidP="00EB5191">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rsidP="00EB5191">
      <w:pPr>
        <w:jc w:val="both"/>
        <w:rPr>
          <w:rFonts w:ascii="TimesNewRomanPSMT" w:hAnsi="TimesNewRomanPSMT" w:cs="TimesNewRomanPSMT"/>
        </w:rPr>
      </w:pPr>
    </w:p>
    <w:p w14:paraId="7032EF4C" w14:textId="77777777" w:rsidR="00325DDB" w:rsidRDefault="00325DDB" w:rsidP="00EB5191">
      <w:pPr>
        <w:jc w:val="both"/>
      </w:pPr>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rsidP="00EB5191">
      <w:pPr>
        <w:jc w:val="both"/>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rsidP="00EB5191">
      <w:pPr>
        <w:jc w:val="both"/>
        <w:rPr>
          <w:rFonts w:ascii="TimesNewRomanPSMT" w:hAnsi="TimesNewRomanPSMT" w:cs="TimesNewRomanPSMT"/>
        </w:rPr>
      </w:pPr>
    </w:p>
    <w:p w14:paraId="109BDBAB" w14:textId="77777777" w:rsidR="00325DDB" w:rsidRDefault="00325DDB" w:rsidP="00EB5191">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sidP="00EB5191">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rsidP="00EB5191">
      <w:pPr>
        <w:jc w:val="both"/>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rsidP="00EB5191">
      <w:pPr>
        <w:jc w:val="both"/>
        <w:rPr>
          <w:rFonts w:ascii="TimesNewRomanPSMT" w:hAnsi="TimesNewRomanPSMT" w:cs="TimesNewRomanPSMT"/>
        </w:rPr>
      </w:pPr>
    </w:p>
    <w:p w14:paraId="59CE7089" w14:textId="77777777" w:rsidR="00325DDB" w:rsidRDefault="00325DDB" w:rsidP="00EB5191">
      <w:pPr>
        <w:jc w:val="both"/>
      </w:pPr>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rsidP="00EB5191">
      <w:pPr>
        <w:jc w:val="both"/>
        <w:rPr>
          <w:rFonts w:ascii="TimesNewRomanPSMT" w:hAnsi="TimesNewRomanPSMT" w:cs="TimesNewRomanPSMT"/>
        </w:rPr>
      </w:pPr>
    </w:p>
    <w:p w14:paraId="69AF30F8" w14:textId="77777777" w:rsidR="00325DDB" w:rsidRDefault="00325DDB" w:rsidP="00EB5191">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rsidP="00EB5191">
      <w:pPr>
        <w:jc w:val="both"/>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rsidP="00EB5191">
      <w:pPr>
        <w:jc w:val="both"/>
        <w:rPr>
          <w:rFonts w:ascii="TimesNewRomanPSMT" w:hAnsi="TimesNewRomanPSMT" w:cs="TimesNewRomanPSMT"/>
        </w:rPr>
      </w:pPr>
    </w:p>
    <w:p w14:paraId="39EDE7A7" w14:textId="77777777" w:rsidR="00325DDB" w:rsidRDefault="00325DDB" w:rsidP="00EB5191">
      <w:pPr>
        <w:jc w:val="both"/>
      </w:pPr>
      <w:r>
        <w:rPr>
          <w:rFonts w:ascii="TimesNewRomanPSMT" w:hAnsi="TimesNewRomanPSMT" w:cs="TimesNewRomanPSMT"/>
        </w:rPr>
        <w:lastRenderedPageBreak/>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rsidP="00EB5191">
      <w:pPr>
        <w:jc w:val="both"/>
        <w:rPr>
          <w:rFonts w:ascii="TimesNewRomanPSMT" w:hAnsi="TimesNewRomanPSMT" w:cs="TimesNewRomanPSMT"/>
        </w:rPr>
      </w:pPr>
    </w:p>
    <w:p w14:paraId="0F2D4F44" w14:textId="77777777" w:rsidR="00325DDB" w:rsidRDefault="00325DDB" w:rsidP="00EB5191">
      <w:pPr>
        <w:jc w:val="both"/>
      </w:pPr>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rsidP="00EB5191">
      <w:pPr>
        <w:jc w:val="both"/>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rsidP="00EB5191">
      <w:pPr>
        <w:jc w:val="both"/>
        <w:rPr>
          <w:rFonts w:ascii="TimesNewRomanPSMT" w:hAnsi="TimesNewRomanPSMT" w:cs="TimesNewRomanPSMT"/>
        </w:rPr>
      </w:pPr>
    </w:p>
    <w:p w14:paraId="30426D12" w14:textId="77777777" w:rsidR="00325DDB" w:rsidRDefault="00325DDB" w:rsidP="00EB5191">
      <w:pPr>
        <w:jc w:val="both"/>
      </w:pPr>
      <w:r>
        <w:rPr>
          <w:rFonts w:ascii="TimesNewRomanPSMT" w:hAnsi="TimesNewRomanPSMT" w:cs="TimesNewRomanPSMT"/>
        </w:rPr>
        <w:t>Le loyer est payé mensuellement à terme échu.</w:t>
      </w:r>
    </w:p>
    <w:p w14:paraId="7F5F1A96" w14:textId="77777777" w:rsidR="00325DDB" w:rsidRDefault="00325DDB" w:rsidP="00EB5191">
      <w:pPr>
        <w:jc w:val="both"/>
        <w:rPr>
          <w:rFonts w:ascii="TimesNewRomanPSMT" w:hAnsi="TimesNewRomanPSMT" w:cs="TimesNewRomanPSMT"/>
        </w:rPr>
      </w:pPr>
    </w:p>
    <w:p w14:paraId="7E8BDE88" w14:textId="77777777" w:rsidR="00325DDB" w:rsidRDefault="00325DDB" w:rsidP="00EB5191">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rsidP="00EB5191">
      <w:pPr>
        <w:jc w:val="both"/>
        <w:rPr>
          <w:rFonts w:ascii="TimesNewRomanPSMT" w:hAnsi="TimesNewRomanPSMT" w:cs="TimesNewRomanPSMT"/>
        </w:rPr>
      </w:pPr>
    </w:p>
    <w:p w14:paraId="2848611D" w14:textId="77777777" w:rsidR="00325DDB" w:rsidRDefault="00325DDB" w:rsidP="00EB5191">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rsidP="00EB5191">
      <w:pPr>
        <w:jc w:val="both"/>
        <w:rPr>
          <w:rFonts w:ascii="TimesNewRomanPSMT" w:hAnsi="TimesNewRomanPSMT" w:cs="TimesNewRomanPSMT"/>
        </w:rPr>
      </w:pPr>
    </w:p>
    <w:p w14:paraId="6C2C3392" w14:textId="77777777" w:rsidR="00325DDB" w:rsidRDefault="00325DDB" w:rsidP="00EB5191">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rsidP="00EB5191">
      <w:pPr>
        <w:jc w:val="both"/>
        <w:rPr>
          <w:rFonts w:ascii="TimesNewRomanPSMT" w:hAnsi="TimesNewRomanPSMT" w:cs="TimesNewRomanPSMT"/>
        </w:rPr>
      </w:pPr>
    </w:p>
    <w:p w14:paraId="41662590" w14:textId="77777777" w:rsidR="00325DDB" w:rsidRDefault="00325DDB" w:rsidP="00EB5191">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rsidP="00EB5191">
      <w:pPr>
        <w:jc w:val="both"/>
        <w:rPr>
          <w:rFonts w:ascii="TimesNewRomanPSMT" w:hAnsi="TimesNewRomanPSMT" w:cs="TimesNewRomanPSMT"/>
        </w:rPr>
      </w:pPr>
    </w:p>
    <w:p w14:paraId="71D6DC8B" w14:textId="77777777" w:rsidR="00325DDB" w:rsidRDefault="00325DDB" w:rsidP="00EB5191">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rsidP="00EB5191">
      <w:pPr>
        <w:jc w:val="both"/>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rsidP="00EB5191">
      <w:pPr>
        <w:jc w:val="both"/>
        <w:rPr>
          <w:rFonts w:ascii="TimesNewRomanPSMT" w:hAnsi="TimesNewRomanPSMT" w:cs="TimesNewRomanPSMT"/>
        </w:rPr>
      </w:pPr>
    </w:p>
    <w:p w14:paraId="2C0E7849" w14:textId="77777777" w:rsidR="00325DDB" w:rsidRDefault="00325DDB" w:rsidP="00EB5191">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rsidP="00EB5191">
      <w:pPr>
        <w:jc w:val="both"/>
        <w:rPr>
          <w:rFonts w:ascii="TimesNewRomanPSMT" w:hAnsi="TimesNewRomanPSMT" w:cs="TimesNewRomanPSMT"/>
        </w:rPr>
      </w:pPr>
    </w:p>
    <w:p w14:paraId="4889D6C6" w14:textId="77777777" w:rsidR="00325DDB" w:rsidRDefault="00325DDB" w:rsidP="00EB5191">
      <w:pPr>
        <w:jc w:val="both"/>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lastRenderedPageBreak/>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rsidP="00EB5191">
      <w:pPr>
        <w:jc w:val="both"/>
        <w:rPr>
          <w:rFonts w:ascii="TimesNewRomanPSMT" w:hAnsi="TimesNewRomanPSMT" w:cs="TimesNewRomanPSMT"/>
        </w:rPr>
      </w:pPr>
    </w:p>
    <w:p w14:paraId="14F46C49" w14:textId="77777777" w:rsidR="00325DDB" w:rsidRDefault="00325DDB" w:rsidP="00EB5191">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rsidP="00EB5191">
      <w:pPr>
        <w:jc w:val="both"/>
        <w:rPr>
          <w:rFonts w:ascii="TimesNewRomanPSMT" w:hAnsi="TimesNewRomanPSMT" w:cs="TimesNewRomanPSMT"/>
        </w:rPr>
      </w:pPr>
    </w:p>
    <w:p w14:paraId="2B646A86" w14:textId="77777777" w:rsidR="00325DDB" w:rsidRDefault="00325DDB" w:rsidP="00EB5191">
      <w:pPr>
        <w:jc w:val="both"/>
      </w:pPr>
      <w:r>
        <w:rPr>
          <w:rFonts w:ascii="TimesNewRomanPSMT" w:hAnsi="TimesNewRomanPSMT" w:cs="TimesNewRomanPSMT"/>
        </w:rPr>
        <w:t>Les stipulations particulières suivantes s’appliquent :</w:t>
      </w:r>
    </w:p>
    <w:p w14:paraId="1C56B8EE" w14:textId="77777777" w:rsidR="006D6386" w:rsidRDefault="006D6386" w:rsidP="00EB5191">
      <w:pPr>
        <w:jc w:val="both"/>
        <w:rPr>
          <w:rFonts w:ascii="TimesNewRomanPSMT" w:hAnsi="TimesNewRomanPSMT" w:cs="TimesNewRomanPSMT"/>
        </w:rPr>
      </w:pPr>
    </w:p>
    <w:p w14:paraId="46575997" w14:textId="2E4B5DB5" w:rsidR="00325DDB" w:rsidRDefault="00325DDB" w:rsidP="00EB5191">
      <w:pPr>
        <w:jc w:val="both"/>
      </w:pPr>
      <w:r>
        <w:rPr>
          <w:rFonts w:ascii="TimesNewRomanPSMT" w:hAnsi="TimesNewRomanPSMT" w:cs="TimesNewRomanPSMT"/>
        </w:rPr>
        <w:t>1°- Conditions de location des logements de la résidence universitaire.</w:t>
      </w:r>
    </w:p>
    <w:p w14:paraId="2014D790" w14:textId="77777777" w:rsidR="00325DDB" w:rsidRDefault="00325DDB" w:rsidP="00EB5191">
      <w:pPr>
        <w:jc w:val="both"/>
        <w:rPr>
          <w:rFonts w:ascii="TimesNewRomanPSMT" w:hAnsi="TimesNewRomanPSMT" w:cs="TimesNewRomanPSMT"/>
        </w:rPr>
      </w:pPr>
    </w:p>
    <w:p w14:paraId="5A9E83C1" w14:textId="77777777" w:rsidR="00325DDB" w:rsidRDefault="00325DDB" w:rsidP="00EB5191">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rsidP="00EB5191">
      <w:pPr>
        <w:jc w:val="both"/>
        <w:rPr>
          <w:rFonts w:ascii="TimesNewRomanPSMT" w:hAnsi="TimesNewRomanPSMT" w:cs="TimesNewRomanPSMT"/>
        </w:rPr>
      </w:pPr>
    </w:p>
    <w:p w14:paraId="1ADB3F5F" w14:textId="77777777" w:rsidR="00325DDB" w:rsidRDefault="00325DDB" w:rsidP="00EB5191">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rsidP="00EB5191">
      <w:pPr>
        <w:jc w:val="both"/>
        <w:rPr>
          <w:rFonts w:ascii="TimesNewRomanPSMT" w:hAnsi="TimesNewRomanPSMT" w:cs="TimesNewRomanPSMT"/>
        </w:rPr>
      </w:pPr>
    </w:p>
    <w:p w14:paraId="681465F8" w14:textId="77777777" w:rsidR="00325DDB" w:rsidRDefault="00325DDB" w:rsidP="00EB5191">
      <w:pPr>
        <w:jc w:val="both"/>
      </w:pPr>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rsidP="00EB5191">
      <w:pPr>
        <w:jc w:val="both"/>
        <w:rPr>
          <w:rFonts w:ascii="TimesNewRomanPSMT" w:hAnsi="TimesNewRomanPSMT" w:cs="TimesNewRomanPSMT"/>
        </w:rPr>
      </w:pPr>
    </w:p>
    <w:p w14:paraId="0C2B11F0" w14:textId="77777777" w:rsidR="00325DDB" w:rsidRDefault="00325DDB" w:rsidP="00EB5191">
      <w:pPr>
        <w:jc w:val="both"/>
      </w:pPr>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rsidP="00EB5191">
      <w:pPr>
        <w:jc w:val="both"/>
        <w:rPr>
          <w:rFonts w:ascii="TimesNewRomanPSMT" w:hAnsi="TimesNewRomanPSMT" w:cs="TimesNewRomanPSMT"/>
        </w:rPr>
      </w:pPr>
    </w:p>
    <w:p w14:paraId="3CE92C61" w14:textId="77777777" w:rsidR="00325DDB" w:rsidRDefault="00325DDB" w:rsidP="00EB5191">
      <w:pPr>
        <w:jc w:val="both"/>
      </w:pPr>
      <w:r>
        <w:rPr>
          <w:rFonts w:ascii="TimesNewRomanPSMT" w:hAnsi="TimesNewRomanPSMT" w:cs="TimesNewRomanPSMT"/>
        </w:rPr>
        <w:t>Il ne peut donner lieu à révision en cours de bail.</w:t>
      </w:r>
    </w:p>
    <w:p w14:paraId="58585C61" w14:textId="77777777" w:rsidR="00325DDB" w:rsidRDefault="00325DDB" w:rsidP="00EB5191">
      <w:pPr>
        <w:jc w:val="both"/>
        <w:rPr>
          <w:rFonts w:ascii="TimesNewRomanPSMT" w:hAnsi="TimesNewRomanPSMT" w:cs="TimesNewRomanPSMT"/>
        </w:rPr>
      </w:pPr>
    </w:p>
    <w:p w14:paraId="50DCD898" w14:textId="77777777" w:rsidR="00325DDB" w:rsidRDefault="00325DDB" w:rsidP="00EB5191">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rsidP="00EB5191">
      <w:pPr>
        <w:jc w:val="both"/>
        <w:rPr>
          <w:rFonts w:ascii="TimesNewRomanPSMT" w:hAnsi="TimesNewRomanPSMT" w:cs="TimesNewRomanPSMT"/>
        </w:rPr>
      </w:pPr>
    </w:p>
    <w:p w14:paraId="70EF6FB0" w14:textId="77777777" w:rsidR="00325DDB" w:rsidRDefault="00325DDB" w:rsidP="00EB5191">
      <w:pPr>
        <w:jc w:val="both"/>
      </w:pPr>
      <w:r>
        <w:rPr>
          <w:rFonts w:ascii="TimesNewRomanPSMT" w:hAnsi="TimesNewRomanPSMT" w:cs="TimesNewRomanPSMT"/>
        </w:rPr>
        <w:t>3°- Durée du contrat et congé donné par le locataire.</w:t>
      </w:r>
    </w:p>
    <w:p w14:paraId="2C9CB0BE" w14:textId="77777777" w:rsidR="00325DDB" w:rsidRDefault="00325DDB" w:rsidP="00EB5191">
      <w:pPr>
        <w:jc w:val="both"/>
        <w:rPr>
          <w:rFonts w:ascii="TimesNewRomanPSMT" w:hAnsi="TimesNewRomanPSMT" w:cs="TimesNewRomanPSMT"/>
        </w:rPr>
      </w:pPr>
    </w:p>
    <w:p w14:paraId="123541F7" w14:textId="77777777" w:rsidR="00325DDB" w:rsidRDefault="00325DDB" w:rsidP="00EB5191">
      <w:pPr>
        <w:jc w:val="both"/>
      </w:pPr>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rsidP="00EB5191">
      <w:pPr>
        <w:jc w:val="both"/>
        <w:rPr>
          <w:rFonts w:ascii="TimesNewRomanPSMT" w:hAnsi="TimesNewRomanPSMT" w:cs="TimesNewRomanPSMT"/>
        </w:rPr>
      </w:pPr>
    </w:p>
    <w:p w14:paraId="7C993EB4" w14:textId="77777777" w:rsidR="00325DDB" w:rsidRDefault="00325DDB" w:rsidP="00EB5191">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rsidP="00EB5191">
      <w:pPr>
        <w:jc w:val="both"/>
        <w:rPr>
          <w:rFonts w:ascii="TimesNewRomanPSMT" w:hAnsi="TimesNewRomanPSMT" w:cs="TimesNewRomanPSMT"/>
        </w:rPr>
      </w:pPr>
    </w:p>
    <w:p w14:paraId="003004BB" w14:textId="753A6781" w:rsidR="00325DDB" w:rsidRPr="00EB5191" w:rsidRDefault="00325DDB" w:rsidP="00EB5191">
      <w:pPr>
        <w:jc w:val="both"/>
      </w:pPr>
      <w:r>
        <w:rPr>
          <w:rFonts w:ascii="TimesNewRomanPSMT" w:hAnsi="TimesNewRomanPSMT" w:cs="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Default="00325DDB" w:rsidP="00EB5191">
      <w:pPr>
        <w:jc w:val="both"/>
        <w:rPr>
          <w:rFonts w:ascii="TimesNewRomanPSMT" w:hAnsi="TimesNewRomanPSMT" w:cs="TimesNewRomanPSMT"/>
        </w:rPr>
      </w:pPr>
    </w:p>
    <w:p w14:paraId="16B4C176" w14:textId="77777777" w:rsidR="00325DDB" w:rsidRDefault="00325DDB" w:rsidP="00EB5191">
      <w:pPr>
        <w:jc w:val="both"/>
      </w:pPr>
      <w:r>
        <w:rPr>
          <w:rFonts w:ascii="TimesNewRomanPSMT" w:hAnsi="TimesNewRomanPSMT" w:cs="TimesNewRomanPSMT"/>
        </w:rPr>
        <w:t>4°- Forfait de charges.</w:t>
      </w:r>
    </w:p>
    <w:p w14:paraId="2F6E923A" w14:textId="77777777" w:rsidR="00325DDB" w:rsidRDefault="00325DDB" w:rsidP="00EB5191">
      <w:pPr>
        <w:jc w:val="both"/>
        <w:rPr>
          <w:rFonts w:ascii="TimesNewRomanPSMT" w:hAnsi="TimesNewRomanPSMT" w:cs="TimesNewRomanPSMT"/>
        </w:rPr>
      </w:pPr>
    </w:p>
    <w:p w14:paraId="6F92BD6A" w14:textId="484F8963" w:rsidR="00325DDB" w:rsidRDefault="00325DDB" w:rsidP="00EB5191">
      <w:pPr>
        <w:jc w:val="both"/>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rPr>
          <w:lang w:val="fr-FR"/>
        </w:rP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rsidP="00EB5191">
      <w:pPr>
        <w:jc w:val="both"/>
        <w:rPr>
          <w:rFonts w:ascii="TimesNewRomanPSMT" w:hAnsi="TimesNewRomanPSMT" w:cs="TimesNewRomanPSMT"/>
        </w:rPr>
      </w:pPr>
    </w:p>
    <w:p w14:paraId="6B796B6A" w14:textId="2E568165" w:rsidR="00325DDB" w:rsidRDefault="00325DDB" w:rsidP="00EB5191">
      <w:pPr>
        <w:jc w:val="both"/>
      </w:pPr>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rsidP="00EB5191">
      <w:pPr>
        <w:jc w:val="both"/>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rsidP="00EB5191">
      <w:pPr>
        <w:jc w:val="both"/>
        <w:rPr>
          <w:rFonts w:ascii="TimesNewRomanPSMT" w:hAnsi="TimesNewRomanPSMT" w:cs="TimesNewRomanPSMT"/>
        </w:rPr>
      </w:pPr>
    </w:p>
    <w:p w14:paraId="5874E1D1" w14:textId="77777777" w:rsidR="00325DDB" w:rsidRDefault="00325DDB" w:rsidP="00EB5191">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rsidP="00EB5191">
      <w:pPr>
        <w:jc w:val="both"/>
        <w:rPr>
          <w:rFonts w:ascii="TimesNewRomanPSMT" w:hAnsi="TimesNewRomanPSMT" w:cs="TimesNewRomanPSMT"/>
        </w:rPr>
      </w:pPr>
    </w:p>
    <w:p w14:paraId="26510F2D" w14:textId="77777777" w:rsidR="00325DDB" w:rsidRDefault="00325DDB" w:rsidP="00EB5191">
      <w:pPr>
        <w:jc w:val="both"/>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rsidP="00EB5191">
      <w:pPr>
        <w:jc w:val="both"/>
        <w:rPr>
          <w:rFonts w:ascii="TimesNewRomanPSMT" w:hAnsi="TimesNewRomanPSMT" w:cs="TimesNewRomanPSMT"/>
        </w:rPr>
      </w:pPr>
    </w:p>
    <w:p w14:paraId="685D7AEE" w14:textId="77777777" w:rsidR="00325DDB" w:rsidRDefault="00325DDB" w:rsidP="00EB5191">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rsidP="00EB5191">
      <w:pPr>
        <w:jc w:val="both"/>
        <w:rPr>
          <w:rFonts w:ascii="TimesNewRomanPSMT" w:hAnsi="TimesNewRomanPSMT" w:cs="TimesNewRomanPSMT"/>
        </w:rPr>
      </w:pPr>
    </w:p>
    <w:p w14:paraId="2E0B6881" w14:textId="77777777" w:rsidR="00325DDB" w:rsidRDefault="00325DDB" w:rsidP="00EB5191">
      <w:pPr>
        <w:jc w:val="both"/>
      </w:pPr>
      <w:r>
        <w:rPr>
          <w:rFonts w:ascii="TimesNewRomanPSMT" w:hAnsi="TimesNewRomanPSMT" w:cs="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Pr>
          <w:rFonts w:ascii="TimesNewRomanPSMT" w:hAnsi="TimesNewRomanPSMT" w:cs="TimesNewRomanPSMT"/>
        </w:rPr>
        <w:lastRenderedPageBreak/>
        <w:t>justifications nécessaires à l'obtention de l'aide personnalisée au logement et à son renouvellement :</w:t>
      </w:r>
    </w:p>
    <w:p w14:paraId="06B4D6C9" w14:textId="77777777" w:rsidR="00325DDB" w:rsidRDefault="00325DDB" w:rsidP="00EB5191">
      <w:pPr>
        <w:jc w:val="both"/>
        <w:rPr>
          <w:rFonts w:ascii="TimesNewRomanPSMT" w:hAnsi="TimesNewRomanPSMT" w:cs="TimesNewRomanPSMT"/>
        </w:rPr>
      </w:pPr>
    </w:p>
    <w:p w14:paraId="62A0A027" w14:textId="77777777" w:rsidR="00325DDB" w:rsidRDefault="00325DDB" w:rsidP="00EB5191">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rsidP="00EB5191">
      <w:pPr>
        <w:jc w:val="both"/>
        <w:rPr>
          <w:rFonts w:ascii="TimesNewRomanPSMT" w:hAnsi="TimesNewRomanPSMT" w:cs="TimesNewRomanPSMT"/>
        </w:rPr>
      </w:pPr>
    </w:p>
    <w:p w14:paraId="21D136BD" w14:textId="77777777" w:rsidR="00325DDB" w:rsidRDefault="00325DDB" w:rsidP="00EB5191">
      <w:pPr>
        <w:jc w:val="both"/>
      </w:pPr>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rsidP="00EB5191">
      <w:pPr>
        <w:jc w:val="both"/>
        <w:rPr>
          <w:rFonts w:ascii="TimesNewRomanPSMT" w:hAnsi="TimesNewRomanPSMT" w:cs="TimesNewRomanPSMT"/>
        </w:rPr>
      </w:pPr>
    </w:p>
    <w:p w14:paraId="603D3380" w14:textId="77777777" w:rsidR="00325DDB" w:rsidRDefault="00325DDB" w:rsidP="00EB5191">
      <w:pPr>
        <w:jc w:val="both"/>
      </w:pPr>
      <w:r>
        <w:rPr>
          <w:rFonts w:ascii="TimesNewRomanPSMT" w:hAnsi="TimesNewRomanPSMT" w:cs="TimesNewRomanPSMT"/>
        </w:rPr>
        <w:t>Ces transmissions peuvent s’effectuer grâce à un dispositif de collecte dématérialisé.</w:t>
      </w:r>
    </w:p>
    <w:p w14:paraId="26ED9E07" w14:textId="77777777" w:rsidR="00325DDB" w:rsidRDefault="00325DDB" w:rsidP="00EB5191">
      <w:pPr>
        <w:jc w:val="both"/>
        <w:rPr>
          <w:rFonts w:ascii="TimesNewRomanPSMT" w:hAnsi="TimesNewRomanPSMT" w:cs="TimesNewRomanPSMT"/>
        </w:rPr>
      </w:pPr>
    </w:p>
    <w:p w14:paraId="04D434EF" w14:textId="77777777" w:rsidR="00325DDB" w:rsidRDefault="00325DDB" w:rsidP="00EB5191">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rsidP="00EB5191">
      <w:pPr>
        <w:jc w:val="both"/>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rsidP="00EB5191">
      <w:pPr>
        <w:jc w:val="both"/>
        <w:rPr>
          <w:rFonts w:ascii="TimesNewRomanPSMT" w:hAnsi="TimesNewRomanPSMT" w:cs="TimesNewRomanPSMT"/>
        </w:rPr>
      </w:pPr>
    </w:p>
    <w:p w14:paraId="5B6F975C" w14:textId="77777777" w:rsidR="00325DDB" w:rsidRDefault="00325DDB" w:rsidP="00EB5191">
      <w:pPr>
        <w:jc w:val="both"/>
      </w:pPr>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rsidP="00EB5191">
      <w:pPr>
        <w:jc w:val="both"/>
        <w:rPr>
          <w:rFonts w:ascii="TimesNewRomanPSMT" w:hAnsi="TimesNewRomanPSMT" w:cs="TimesNewRomanPSMT"/>
        </w:rPr>
      </w:pPr>
    </w:p>
    <w:p w14:paraId="411F5EB5" w14:textId="77777777" w:rsidR="00325DDB" w:rsidRDefault="00325DDB" w:rsidP="00EB5191">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rsidP="00EB5191">
      <w:pPr>
        <w:jc w:val="both"/>
        <w:rPr>
          <w:rFonts w:ascii="TimesNewRomanPSMT" w:hAnsi="TimesNewRomanPSMT" w:cs="TimesNewRomanPSMT"/>
        </w:rPr>
      </w:pPr>
    </w:p>
    <w:p w14:paraId="51B49243" w14:textId="77777777" w:rsidR="00325DDB" w:rsidRDefault="00325DDB" w:rsidP="00EB5191">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rsidP="00EB5191">
      <w:pPr>
        <w:jc w:val="both"/>
        <w:rPr>
          <w:rFonts w:ascii="TimesNewRomanPSMT" w:hAnsi="TimesNewRomanPSMT" w:cs="TimesNewRomanPSMT"/>
        </w:rPr>
      </w:pPr>
    </w:p>
    <w:p w14:paraId="401A465C" w14:textId="77777777" w:rsidR="00325DDB" w:rsidRPr="00AB7E70" w:rsidRDefault="00325DDB" w:rsidP="00EB5191">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E9AEE1C" w14:textId="77777777" w:rsidR="00325DDB" w:rsidRDefault="00325DDB" w:rsidP="00EB5191">
      <w:pPr>
        <w:jc w:val="both"/>
        <w:rPr>
          <w:rFonts w:ascii="TimesNewRomanPS-BoldMT" w:hAnsi="TimesNewRomanPS-BoldMT" w:cs="TimesNewRomanPS-BoldMT"/>
          <w:b/>
        </w:rPr>
      </w:pPr>
    </w:p>
    <w:p w14:paraId="78AD9ABC" w14:textId="77777777" w:rsidR="00325DDB" w:rsidRDefault="00325DDB" w:rsidP="00EB5191">
      <w:pPr>
        <w:jc w:val="both"/>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rsidP="00EB5191">
      <w:pPr>
        <w:jc w:val="both"/>
        <w:rPr>
          <w:rFonts w:ascii="TimesNewRomanPSMT" w:hAnsi="TimesNewRomanPSMT" w:cs="TimesNewRomanPSMT"/>
        </w:rPr>
      </w:pPr>
    </w:p>
    <w:p w14:paraId="09FFAD5B" w14:textId="77777777" w:rsidR="00325DDB" w:rsidRDefault="00325DDB" w:rsidP="00EB5191">
      <w:pPr>
        <w:jc w:val="both"/>
      </w:pPr>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rsidP="00EB5191">
      <w:pPr>
        <w:jc w:val="both"/>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rsidP="00EB5191">
      <w:pPr>
        <w:jc w:val="both"/>
        <w:rPr>
          <w:rFonts w:ascii="TimesNewRomanPSMT" w:hAnsi="TimesNewRomanPSMT" w:cs="TimesNewRomanPSMT"/>
        </w:rPr>
      </w:pPr>
    </w:p>
    <w:p w14:paraId="1598474A" w14:textId="77777777" w:rsidR="00325DDB" w:rsidRDefault="00325DDB" w:rsidP="00EB5191">
      <w:pPr>
        <w:jc w:val="both"/>
      </w:pPr>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rsidP="00EB5191">
      <w:pPr>
        <w:jc w:val="both"/>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rsidP="00EB5191">
      <w:pPr>
        <w:jc w:val="both"/>
        <w:rPr>
          <w:rFonts w:ascii="TimesNewRomanPSMT" w:hAnsi="TimesNewRomanPSMT" w:cs="TimesNewRomanPSMT"/>
        </w:rPr>
      </w:pPr>
    </w:p>
    <w:p w14:paraId="12D8FF61" w14:textId="77777777" w:rsidR="00325DDB" w:rsidRDefault="00325DDB" w:rsidP="00EB5191">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rsidP="00EB5191">
      <w:pPr>
        <w:jc w:val="both"/>
        <w:rPr>
          <w:rFonts w:ascii="TimesNewRomanPSMT" w:hAnsi="TimesNewRomanPSMT" w:cs="TimesNewRomanPSMT"/>
        </w:rPr>
      </w:pPr>
    </w:p>
    <w:p w14:paraId="41CEB32F" w14:textId="77777777" w:rsidR="00325DDB" w:rsidRDefault="00325DDB" w:rsidP="00EB5191">
      <w:pPr>
        <w:jc w:val="both"/>
      </w:pPr>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rsidP="00EB5191">
      <w:pPr>
        <w:jc w:val="both"/>
        <w:rPr>
          <w:rFonts w:ascii="TimesNewRomanPSMT" w:hAnsi="TimesNewRomanPSMT" w:cs="TimesNewRomanPSMT"/>
        </w:rPr>
      </w:pPr>
    </w:p>
    <w:p w14:paraId="39EC6813" w14:textId="77777777" w:rsidR="00325DDB" w:rsidRDefault="00325DDB" w:rsidP="00EB5191">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rsidP="00EB5191">
      <w:pPr>
        <w:jc w:val="both"/>
        <w:rPr>
          <w:rFonts w:ascii="TimesNewRomanPSMT" w:hAnsi="TimesNewRomanPSMT" w:cs="TimesNewRomanPSMT"/>
        </w:rPr>
      </w:pPr>
    </w:p>
    <w:p w14:paraId="5E10AF51" w14:textId="77777777" w:rsidR="00325DDB" w:rsidRDefault="00325DDB" w:rsidP="00EB5191">
      <w:pPr>
        <w:jc w:val="both"/>
      </w:pPr>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rsidP="00EB5191">
      <w:pPr>
        <w:jc w:val="both"/>
        <w:rPr>
          <w:rFonts w:ascii="TimesNewRomanPSMT" w:hAnsi="TimesNewRomanPSMT" w:cs="TimesNewRomanPSMT"/>
        </w:rPr>
      </w:pPr>
    </w:p>
    <w:p w14:paraId="68A5F41C" w14:textId="77777777" w:rsidR="00325DDB" w:rsidRDefault="00325DDB" w:rsidP="00EB5191">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rsidP="00EB5191">
      <w:pPr>
        <w:jc w:val="both"/>
        <w:rPr>
          <w:rFonts w:ascii="TimesNewRomanPSMT" w:hAnsi="TimesNewRomanPSMT" w:cs="TimesNewRomanPSMT"/>
        </w:rPr>
      </w:pPr>
    </w:p>
    <w:p w14:paraId="385C7C60" w14:textId="77777777" w:rsidR="00325DDB" w:rsidRDefault="00325DDB" w:rsidP="00EB5191">
      <w:pPr>
        <w:jc w:val="both"/>
      </w:pPr>
      <w:r>
        <w:rPr>
          <w:rFonts w:ascii="TimesNewRomanPSMT" w:hAnsi="TimesNewRomanPSMT" w:cs="TimesNewRomanPSMT"/>
        </w:rPr>
        <w:t>Lorsque le préfet écarte ces observations, sa décision doit être motivée.</w:t>
      </w:r>
    </w:p>
    <w:p w14:paraId="4F1C4E8F" w14:textId="77777777" w:rsidR="00325DDB" w:rsidRDefault="00325DDB" w:rsidP="00EB5191">
      <w:pPr>
        <w:jc w:val="both"/>
        <w:rPr>
          <w:rFonts w:ascii="TimesNewRomanPSMT" w:hAnsi="TimesNewRomanPSMT" w:cs="TimesNewRomanPSMT"/>
        </w:rPr>
      </w:pPr>
    </w:p>
    <w:p w14:paraId="0BFE9C12" w14:textId="77777777" w:rsidR="00325DDB" w:rsidRDefault="00325DDB" w:rsidP="00EB5191">
      <w:pPr>
        <w:jc w:val="both"/>
      </w:pPr>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rsidP="00EB5191">
      <w:pPr>
        <w:jc w:val="both"/>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rsidP="00EB5191">
      <w:pPr>
        <w:jc w:val="both"/>
        <w:rPr>
          <w:rFonts w:ascii="TimesNewRomanPSMT" w:hAnsi="TimesNewRomanPSMT" w:cs="TimesNewRomanPSMT"/>
        </w:rPr>
      </w:pPr>
    </w:p>
    <w:p w14:paraId="093FB750" w14:textId="77777777" w:rsidR="00325DDB" w:rsidRDefault="00325DDB" w:rsidP="00EB5191">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rsidP="00EB5191">
      <w:pPr>
        <w:jc w:val="both"/>
        <w:rPr>
          <w:rFonts w:ascii="TimesNewRomanPSMT" w:hAnsi="TimesNewRomanPSMT" w:cs="TimesNewRomanPSMT"/>
        </w:rPr>
      </w:pPr>
    </w:p>
    <w:p w14:paraId="75D3825A" w14:textId="77777777" w:rsidR="00325DDB" w:rsidRDefault="00325DDB" w:rsidP="00EB5191">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rsidP="00EB5191">
      <w:pPr>
        <w:jc w:val="both"/>
        <w:rPr>
          <w:rFonts w:ascii="TimesNewRomanPSMT" w:hAnsi="TimesNewRomanPSMT" w:cs="TimesNewRomanPSMT"/>
        </w:rPr>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4FB9CF23" w:rsidR="007E5067" w:rsidRDefault="007E5067" w:rsidP="00323340">
      <w:pPr>
        <w:jc w:val="both"/>
      </w:pPr>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77777777"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C288D">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C288D">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9C288D">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9C288D">
            <w:pPr>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7ACEBFFA" w14:textId="77777777" w:rsidR="00150178" w:rsidRDefault="000E0FBA" w:rsidP="00150178">
      <w:pPr>
        <w:jc w:val="both"/>
        <w:rPr>
          <w:rFonts w:ascii="TimesNewRomanPSMT" w:hAnsi="TimesNewRomanPSMT" w:cs="TimesNewRomanPSMT"/>
        </w:rPr>
      </w:pPr>
      <w:r w:rsidRPr="00E7749B">
        <w:rPr>
          <w:rFonts w:ascii="TimesNewRomanPSMT" w:hAnsi="TimesNewRomanPSMT" w:cs="TimesNewRomanPSMT"/>
        </w:rPr>
        <w:t>{% endif %}</w:t>
      </w:r>
      <w:r w:rsidR="00150178">
        <w:rPr>
          <w:rFonts w:ascii="TimesNewRomanPSMT" w:hAnsi="TimesNewRomanPSMT" w:cs="TimesNewRomanPSMT"/>
        </w:rPr>
        <w:t>{% for image in effet_relatif_images %}</w:t>
      </w:r>
    </w:p>
    <w:p w14:paraId="68A7E58F" w14:textId="77777777" w:rsidR="00150178" w:rsidRDefault="00150178" w:rsidP="00150178">
      <w:pPr>
        <w:jc w:val="both"/>
        <w:rPr>
          <w:rFonts w:ascii="TimesNewRomanPSMT" w:hAnsi="TimesNewRomanPSMT" w:cs="TimesNewRomanPSMT"/>
        </w:rPr>
      </w:pPr>
      <w:r>
        <w:rPr>
          <w:rFonts w:ascii="TimesNewRomanPSMT" w:hAnsi="TimesNewRomanPSMT" w:cs="TimesNewRomanPSMT"/>
        </w:rPr>
        <w:t>{{image}}</w:t>
      </w:r>
    </w:p>
    <w:p w14:paraId="1AFB108A" w14:textId="0C1E9604" w:rsidR="003D5F0B" w:rsidRPr="0015004B" w:rsidRDefault="00150178" w:rsidP="00150178">
      <w:pPr>
        <w:jc w:val="both"/>
        <w:rPr>
          <w:rFonts w:ascii="TimesNewRomanPSMT" w:hAnsi="TimesNewRomanPSMT" w:cs="TimesNewRomanPSMT"/>
        </w:rPr>
      </w:pPr>
      <w:r>
        <w:rPr>
          <w:rFonts w:ascii="TimesNewRomanPSMT" w:hAnsi="TimesNewRomanPSMT" w:cs="TimesNewRomanPSMT"/>
          <w:lang w:val="en-US"/>
        </w:rPr>
        <w:t>{% endfor %}</w:t>
      </w:r>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23340">
      <w:pPr>
        <w:jc w:val="both"/>
        <w:rPr>
          <w:rFonts w:ascii="TimesNewRomanPSMT" w:hAnsi="TimesNewRomanPSMT" w:cs="TimesNewRomanPSMT"/>
        </w:rPr>
      </w:pPr>
      <w:r>
        <w:rPr>
          <w:rFonts w:ascii="TimesNewRomanPSMT" w:hAnsi="TimesNewRomanPSMT" w:cs="TimesNewRomanPSMT"/>
        </w:rPr>
        <w:t xml:space="preserve">{{ </w:t>
      </w:r>
      <w:r w:rsidR="00030A99" w:rsidRPr="000953B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67198F85" w14:textId="3528150F" w:rsidR="00BB7802" w:rsidRPr="00C91B1B" w:rsidRDefault="003D5F0B" w:rsidP="00323340">
      <w:pPr>
        <w:jc w:val="both"/>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B96C26B" w14:textId="5FD94BB7" w:rsidR="00BB7802" w:rsidRPr="00C91B1B" w:rsidRDefault="00BB7802" w:rsidP="00323340">
      <w:pPr>
        <w:jc w:val="both"/>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323340">
      <w:pPr>
        <w:jc w:val="both"/>
        <w:rPr>
          <w:rFonts w:ascii="TimesNewRomanPSMT" w:hAnsi="TimesNewRomanPSMT" w:cs="TimesNewRomanPSMT"/>
        </w:rPr>
      </w:pPr>
      <w:r w:rsidRPr="00BF1F33">
        <w:rPr>
          <w:rFonts w:ascii="TimesNewRomanPSMT" w:hAnsi="TimesNewRomanPSMT" w:cs="TimesNewRomanPSMT"/>
        </w:rPr>
        <w:t xml:space="preserve">{% endfor </w:t>
      </w:r>
      <w:r w:rsidR="0060540B" w:rsidRPr="00BF1F33">
        <w:rPr>
          <w:rFonts w:ascii="TimesNewRomanPSMT" w:hAnsi="TimesNewRomanPSMT" w:cs="TimesNewRomanPSMT"/>
        </w:rPr>
        <w:t>%}</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r w:rsidR="0070437A" w:rsidRPr="0015004B">
        <w:rPr>
          <w:rFonts w:ascii="TimesNewRomanPSMT" w:hAnsi="TimesNewRomanPSMT" w:cs="TimesNewRomanPSMT"/>
        </w:rPr>
        <w:t xml:space="preserv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60540B" w:rsidRPr="0015004B">
        <w:rPr>
          <w:rFonts w:ascii="TimesNewRomanPSMT" w:hAnsi="TimesNewRomanPSMT" w:cs="TimesNewRomanPSMT"/>
        </w:rPr>
        <w:t xml:space="preserve">{% if </w:t>
      </w:r>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_text()|len %}</w:t>
      </w:r>
    </w:p>
    <w:p w14:paraId="38E388D1" w14:textId="77777777" w:rsidR="0060540B" w:rsidRDefault="0060540B"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04EEEE2F" w:rsidR="00104A2A" w:rsidRPr="00C91B1B" w:rsidRDefault="0060540B" w:rsidP="00323340">
      <w:pPr>
        <w:jc w:val="both"/>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45EEBA2C" w14:textId="09F03977" w:rsidR="00104A2A" w:rsidRPr="00C91B1B" w:rsidRDefault="00104A2A" w:rsidP="00323340">
      <w:pPr>
        <w:jc w:val="both"/>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323340">
      <w:pPr>
        <w:jc w:val="both"/>
        <w:rPr>
          <w:rFonts w:ascii="TimesNewRomanPSMT" w:hAnsi="TimesNewRomanPSMT" w:cs="TimesNewRomanPSMT"/>
        </w:rPr>
      </w:pPr>
      <w:r w:rsidRPr="00BF1F33">
        <w:rPr>
          <w:rFonts w:ascii="TimesNewRomanPSMT" w:hAnsi="TimesNewRomanPSMT" w:cs="TimesNewRomanPSMT"/>
        </w:rPr>
        <w:t>{% endfor %}</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r w:rsidR="0070437A" w:rsidRPr="0015004B">
        <w:rPr>
          <w:rFonts w:ascii="TimesNewRomanPSMT" w:hAnsi="TimesNewRomanPSMT" w:cs="TimesNewRomanPSMT"/>
        </w:rPr>
        <w:t xml:space="preserve"> %}</w:t>
      </w:r>
    </w:p>
    <w:p w14:paraId="35EAE13E" w14:textId="77777777"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9C288D">
            <w:pPr>
              <w:rPr>
                <w:b/>
                <w:bCs/>
                <w:sz w:val="16"/>
                <w:szCs w:val="16"/>
                <w:lang w:val="en-US"/>
              </w:rPr>
            </w:pPr>
            <w:r>
              <w:rPr>
                <w:b/>
                <w:bCs/>
                <w:sz w:val="16"/>
                <w:szCs w:val="16"/>
                <w:lang w:val="en-US"/>
              </w:rPr>
              <w:t>Numéro du lot</w:t>
            </w:r>
          </w:p>
        </w:tc>
        <w:tc>
          <w:tcPr>
            <w:tcW w:w="2137" w:type="dxa"/>
            <w:vAlign w:val="center"/>
          </w:tcPr>
          <w:p w14:paraId="36970A22" w14:textId="135358FC" w:rsidR="003B4290" w:rsidRPr="00F96F52" w:rsidRDefault="003B4290" w:rsidP="009C288D">
            <w:pPr>
              <w:rPr>
                <w:b/>
                <w:bCs/>
                <w:sz w:val="16"/>
                <w:szCs w:val="16"/>
                <w:lang w:val="en-US"/>
              </w:rPr>
            </w:pPr>
            <w:r w:rsidRPr="00F96F52">
              <w:rPr>
                <w:b/>
                <w:bCs/>
                <w:sz w:val="16"/>
                <w:szCs w:val="16"/>
                <w:lang w:val="en-US"/>
              </w:rPr>
              <w:t>Financement</w:t>
            </w:r>
          </w:p>
        </w:tc>
        <w:tc>
          <w:tcPr>
            <w:tcW w:w="2111" w:type="dxa"/>
            <w:vAlign w:val="center"/>
          </w:tcPr>
          <w:p w14:paraId="5B6C9E61" w14:textId="44E8ABF0" w:rsidR="003B4290" w:rsidRPr="00F96F52" w:rsidRDefault="003B4290" w:rsidP="009C288D">
            <w:pPr>
              <w:rPr>
                <w:b/>
                <w:bCs/>
                <w:sz w:val="16"/>
                <w:szCs w:val="16"/>
                <w:lang w:val="en-US"/>
              </w:rPr>
            </w:pPr>
            <w:r w:rsidRPr="00F96F52">
              <w:rPr>
                <w:b/>
                <w:bCs/>
                <w:sz w:val="16"/>
                <w:szCs w:val="16"/>
                <w:lang w:val="en-US"/>
              </w:rPr>
              <w:t>Désignation</w:t>
            </w:r>
          </w:p>
        </w:tc>
        <w:tc>
          <w:tcPr>
            <w:tcW w:w="2495" w:type="dxa"/>
            <w:vAlign w:val="center"/>
          </w:tcPr>
          <w:p w14:paraId="7104DBE2" w14:textId="060D199A" w:rsidR="003B4290" w:rsidRPr="00F96F52" w:rsidRDefault="003B4290" w:rsidP="009C288D">
            <w:pP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{{i.lot_num}}</w:t>
            </w:r>
          </w:p>
        </w:tc>
        <w:tc>
          <w:tcPr>
            <w:tcW w:w="2137" w:type="dxa"/>
          </w:tcPr>
          <w:p w14:paraId="34082956" w14:textId="56124B2D" w:rsidR="003B4290" w:rsidRPr="00F96F52" w:rsidRDefault="003B4290" w:rsidP="00323340">
            <w:pPr>
              <w:jc w:val="both"/>
              <w:rPr>
                <w:sz w:val="16"/>
                <w:szCs w:val="16"/>
                <w:lang w:val="en-US"/>
              </w:rPr>
            </w:pPr>
            <w:r w:rsidRPr="00F96F52">
              <w:rPr>
                <w:sz w:val="16"/>
                <w:szCs w:val="16"/>
                <w:lang w:val="en-US"/>
              </w:rPr>
              <w:t>{{ i.financement }}</w:t>
            </w:r>
          </w:p>
        </w:tc>
        <w:tc>
          <w:tcPr>
            <w:tcW w:w="2111" w:type="dxa"/>
          </w:tcPr>
          <w:p w14:paraId="3826A6A7" w14:textId="0C9FAE24" w:rsidR="003B4290" w:rsidRPr="00F96F52" w:rsidRDefault="003B4290" w:rsidP="00323340">
            <w:pPr>
              <w:jc w:val="both"/>
              <w:rPr>
                <w:sz w:val="16"/>
                <w:szCs w:val="16"/>
                <w:lang w:val="en-US"/>
              </w:rPr>
            </w:pPr>
            <w:r w:rsidRPr="00F96F52">
              <w:rPr>
                <w:sz w:val="16"/>
                <w:szCs w:val="16"/>
                <w:lang w:val="en-US"/>
              </w:rPr>
              <w:t>{{ i.designation }}</w:t>
            </w:r>
          </w:p>
        </w:tc>
        <w:tc>
          <w:tcPr>
            <w:tcW w:w="2495" w:type="dxa"/>
          </w:tcPr>
          <w:p w14:paraId="3DD4296A" w14:textId="1207F04E" w:rsidR="003B4290" w:rsidRPr="00F96F52" w:rsidRDefault="003B4290"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i.typologie}}</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34" w:name="S7"/>
      <w:bookmarkEnd w:id="34"/>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77777777" w:rsidR="00325DDB" w:rsidRDefault="00325DDB" w:rsidP="00323340">
      <w:pPr>
        <w:jc w:val="both"/>
      </w:pPr>
      <w:r>
        <w:rPr>
          <w:rFonts w:ascii="TimesNewRomanPSMT" w:hAnsi="TimesNewRomanPSMT" w:cs="TimesNewRomanPSMT"/>
        </w:rPr>
        <w:t>3° Composition de l'opération.</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lastRenderedPageBreak/>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77777777" w:rsidR="00325DDB" w:rsidRDefault="00325DDB" w:rsidP="00323340">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rsidP="00323340">
      <w:pPr>
        <w:jc w:val="both"/>
        <w:rPr>
          <w:rFonts w:ascii="TimesNewRomanPSMT" w:hAnsi="TimesNewRomanPSMT" w:cs="TimesNewRomanPSMT"/>
        </w:rPr>
      </w:pPr>
    </w:p>
    <w:p w14:paraId="46C12FC9" w14:textId="73B1D9DB" w:rsidR="00325DDB" w:rsidRDefault="00325DDB" w:rsidP="00323340">
      <w:pPr>
        <w:jc w:val="both"/>
      </w:pPr>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lang w:val="fr-FR"/>
        </w:rPr>
        <w:t>_</w:t>
      </w:r>
      <w:r w:rsidR="008A72E8" w:rsidRPr="008A72E8">
        <w:rPr>
          <w:rFonts w:ascii="TimesNewRomanPSMT" w:hAnsi="TimesNewRomanPSMT" w:cs="TimesNewRomanPSMT"/>
          <w:bCs/>
        </w:rPr>
        <w:t>30pc</w:t>
      </w:r>
      <w:r w:rsidR="0036005B">
        <w:rPr>
          <w:rFonts w:ascii="TimesNewRomanPSMT" w:hAnsi="TimesNewRomanPSMT" w:cs="TimesNewRomanPSMT"/>
          <w:lang w:val="fr-FR"/>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61E24F2D" w:rsidR="00325DDB" w:rsidRDefault="00325DDB" w:rsidP="00323340">
      <w:pPr>
        <w:jc w:val="both"/>
      </w:pPr>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rsidP="00323340">
      <w:pPr>
        <w:jc w:val="both"/>
        <w:rPr>
          <w:rFonts w:ascii="TimesNewRomanPSMT" w:hAnsi="TimesNewRomanPSMT" w:cs="TimesNewRomanPSMT"/>
        </w:rPr>
      </w:pPr>
    </w:p>
    <w:p w14:paraId="3CD5BF1E" w14:textId="4AC3F86F" w:rsidR="00325DDB" w:rsidRDefault="00325DDB" w:rsidP="00323340">
      <w:pPr>
        <w:jc w:val="both"/>
      </w:pPr>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877D6B0"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440E0237" w14:textId="77777777" w:rsid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6F8E4ACB" w14:textId="40D8464E" w:rsidR="00B35348" w:rsidRDefault="00644093" w:rsidP="00B3534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4357F3">
        <w:rPr>
          <w:rFonts w:ascii="TimesNewRomanPSMT" w:hAnsi="TimesNewRomanPSMT" w:cs="TimesNewRomanPSMT"/>
          <w:sz w:val="16"/>
          <w:szCs w:val="16"/>
        </w:rPr>
      </w:r>
      <w:r w:rsidR="004357F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00B35348" w:rsidRPr="00B35348">
        <w:rPr>
          <w:rFonts w:ascii="TimesNewRomanPSMT" w:hAnsi="TimesNewRomanPSMT" w:cs="TimesNewRomanPSMT"/>
        </w:rPr>
        <w:t xml:space="preserve"> </w:t>
      </w:r>
      <w:r w:rsidR="00B35348" w:rsidRPr="00644093">
        <w:rPr>
          <w:rFonts w:ascii="TimesNewRomanPSMT" w:hAnsi="TimesNewRomanPSMT" w:cs="TimesNewRomanPSMT"/>
        </w:rPr>
        <w:t>Caves</w:t>
      </w:r>
      <w:r w:rsidR="00B35348" w:rsidRPr="00644093">
        <w:rPr>
          <w:rFonts w:ascii="TimesNewRomanPSMT" w:hAnsi="TimesNewRomanPSMT" w:cs="TimesNewRomanPSMT"/>
          <w:sz w:val="16"/>
          <w:szCs w:val="16"/>
        </w:rPr>
        <w:t xml:space="preserve"> </w:t>
      </w:r>
    </w:p>
    <w:p w14:paraId="7392F858" w14:textId="4ADF3202" w:rsidR="00C05BC5" w:rsidRP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w:t>
      </w:r>
      <w:r w:rsidR="00C05BC5" w:rsidRPr="00644093">
        <w:rPr>
          <w:rFonts w:ascii="TimesNewRomanPSMT" w:hAnsi="TimesNewRomanPSMT" w:cs="TimesNewRomanPSMT"/>
          <w:sz w:val="16"/>
          <w:szCs w:val="16"/>
        </w:rPr>
        <w:t xml:space="preserve"> </w:t>
      </w:r>
    </w:p>
    <w:p w14:paraId="0DF50A82" w14:textId="77777777" w:rsidR="00B35348"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lot.annexe_soussols %}</w:t>
      </w:r>
    </w:p>
    <w:p w14:paraId="1050DC9E" w14:textId="77777777" w:rsidR="00B35348" w:rsidRDefault="00644093" w:rsidP="00323340">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357F3">
        <w:rPr>
          <w:rFonts w:ascii="TimesNewRomanPSMT" w:hAnsi="TimesNewRomanPSMT" w:cs="TimesNewRomanPSMT"/>
          <w:sz w:val="16"/>
          <w:szCs w:val="16"/>
        </w:rPr>
      </w:r>
      <w:r w:rsidR="004357F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00B35348" w:rsidRPr="00B35348">
        <w:rPr>
          <w:rFonts w:ascii="TimesNewRomanPSMT" w:hAnsi="TimesNewRomanPSMT" w:cs="TimesNewRomanPSMT"/>
        </w:rPr>
        <w:t xml:space="preserve"> </w:t>
      </w:r>
      <w:r w:rsidR="00B35348" w:rsidRPr="00644093">
        <w:rPr>
          <w:rFonts w:ascii="TimesNewRomanPSMT" w:hAnsi="TimesNewRomanPSMT" w:cs="TimesNewRomanPSMT"/>
        </w:rPr>
        <w:t>Sous-sols</w:t>
      </w:r>
      <w:r w:rsidR="00B35348" w:rsidRPr="00644093">
        <w:rPr>
          <w:rFonts w:ascii="TimesNewRomanPSMT" w:hAnsi="TimesNewRomanPSMT" w:cs="TimesNewRomanPSMT"/>
          <w:sz w:val="16"/>
          <w:szCs w:val="16"/>
        </w:rPr>
        <w:t xml:space="preserve"> </w:t>
      </w:r>
    </w:p>
    <w:p w14:paraId="05ECFD93" w14:textId="248D053A" w:rsidR="00C05BC5" w:rsidRPr="00644093" w:rsidRDefault="00644093" w:rsidP="00323340">
      <w:pPr>
        <w:ind w:firstLine="708"/>
        <w:jc w:val="both"/>
        <w:rPr>
          <w:rFonts w:ascii="TimesNewRomanPSMT" w:hAnsi="TimesNewRomanPSMT" w:cs="TimesNewRomanPSMT"/>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775F37A6" w14:textId="77777777" w:rsidR="00B35348"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p>
    <w:p w14:paraId="017A06F0" w14:textId="546D6ACB" w:rsidR="00C05BC5" w:rsidRPr="00644093"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357F3">
        <w:rPr>
          <w:rFonts w:ascii="TimesNewRomanPSMT" w:hAnsi="TimesNewRomanPSMT" w:cs="TimesNewRomanPSMT"/>
          <w:sz w:val="16"/>
          <w:szCs w:val="16"/>
        </w:rPr>
      </w:r>
      <w:r w:rsidR="004357F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644093">
        <w:rPr>
          <w:rFonts w:ascii="TimesNewRomanPSMT" w:hAnsi="TimesNewRomanPSMT" w:cs="TimesNewRomanPSMT"/>
          <w:lang w:val="en-US"/>
        </w:rPr>
        <w:t>Remise</w:t>
      </w:r>
    </w:p>
    <w:p w14:paraId="47B9B6D3" w14:textId="77777777" w:rsidR="00B35348" w:rsidRPr="00644093" w:rsidRDefault="00B35348" w:rsidP="00B3534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26156230"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ateliers</w:t>
      </w:r>
      <w:r w:rsidRPr="00644093">
        <w:rPr>
          <w:rFonts w:ascii="TimesNewRomanPSMT" w:hAnsi="TimesNewRomanPSMT" w:cs="TimesNewRomanPSMT"/>
          <w:sz w:val="16"/>
          <w:szCs w:val="16"/>
        </w:rPr>
        <w:t xml:space="preserve"> %}</w:t>
      </w:r>
    </w:p>
    <w:p w14:paraId="6D4FCECF" w14:textId="6D1A53FF"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357F3">
        <w:rPr>
          <w:rFonts w:ascii="TimesNewRomanPSMT" w:hAnsi="TimesNewRomanPSMT" w:cs="TimesNewRomanPSMT"/>
          <w:sz w:val="16"/>
          <w:szCs w:val="16"/>
        </w:rPr>
      </w:r>
      <w:r w:rsidR="004357F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Ateliers</w:t>
      </w:r>
    </w:p>
    <w:p w14:paraId="5753923D"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542D336"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72188170" w14:textId="1D648B5B"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357F3">
        <w:rPr>
          <w:rFonts w:ascii="TimesNewRomanPSMT" w:hAnsi="TimesNewRomanPSMT" w:cs="TimesNewRomanPSMT"/>
          <w:sz w:val="16"/>
          <w:szCs w:val="16"/>
        </w:rPr>
      </w:r>
      <w:r w:rsidR="004357F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Séchoirs</w:t>
      </w:r>
    </w:p>
    <w:p w14:paraId="6989FE20"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2A487D5"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9C288D">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9C288D">
        <w:rPr>
          <w:rFonts w:ascii="TimesNewRomanPSMT" w:hAnsi="TimesNewRomanPSMT" w:cs="TimesNewRomanPSMT"/>
          <w:sz w:val="16"/>
          <w:szCs w:val="16"/>
          <w:lang w:val="en-US"/>
        </w:rPr>
        <w:t>celliers</w:t>
      </w:r>
      <w:r w:rsidRPr="00644093">
        <w:rPr>
          <w:rFonts w:ascii="TimesNewRomanPSMT" w:hAnsi="TimesNewRomanPSMT" w:cs="TimesNewRomanPSMT"/>
          <w:sz w:val="16"/>
          <w:szCs w:val="16"/>
        </w:rPr>
        <w:t xml:space="preserve"> %}</w:t>
      </w:r>
    </w:p>
    <w:p w14:paraId="4A172593" w14:textId="5FAD9E73" w:rsidR="00C05BC5" w:rsidRDefault="00644093" w:rsidP="00323340">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357F3">
        <w:rPr>
          <w:rFonts w:ascii="TimesNewRomanPSMT" w:hAnsi="TimesNewRomanPSMT" w:cs="TimesNewRomanPSMT"/>
          <w:sz w:val="16"/>
          <w:szCs w:val="16"/>
        </w:rPr>
      </w:r>
      <w:r w:rsidR="004357F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lang w:val="fr-FR"/>
        </w:rPr>
        <w:t>Celliers extérieurs au logement</w:t>
      </w:r>
    </w:p>
    <w:p w14:paraId="4F821ECA"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7FF4AE1A"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644093">
        <w:rPr>
          <w:rFonts w:ascii="TimesNewRomanPSMT" w:hAnsi="TimesNewRomanPSMT" w:cs="TimesNewRomanPSMT"/>
          <w:sz w:val="16"/>
          <w:szCs w:val="16"/>
        </w:rPr>
        <w:t xml:space="preserve"> %}</w:t>
      </w:r>
    </w:p>
    <w:p w14:paraId="2843BC4E" w14:textId="1CFBB8FE" w:rsidR="00C05BC5" w:rsidRPr="00644093"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357F3">
        <w:rPr>
          <w:rFonts w:ascii="TimesNewRomanPSMT" w:hAnsi="TimesNewRomanPSMT" w:cs="TimesNewRomanPSMT"/>
          <w:sz w:val="16"/>
          <w:szCs w:val="16"/>
        </w:rPr>
      </w:r>
      <w:r w:rsidR="004357F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644093">
        <w:rPr>
          <w:rFonts w:ascii="TimesNewRomanPSMT" w:hAnsi="TimesNewRomanPSMT" w:cs="TimesNewRomanPSMT"/>
          <w:lang w:val="en-US"/>
        </w:rPr>
        <w:t>Resserres</w:t>
      </w:r>
    </w:p>
    <w:p w14:paraId="4021E7F3"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6182EDE9" w14:textId="51AC90BC"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lastRenderedPageBreak/>
        <w:t>{%</w:t>
      </w:r>
      <w:r w:rsidR="00B35348"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w:t>
      </w:r>
      <w:r w:rsidR="00A65946" w:rsidRPr="009C288D">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644093">
        <w:rPr>
          <w:rFonts w:ascii="TimesNewRomanPSMT" w:hAnsi="TimesNewRomanPSMT" w:cs="TimesNewRomanPSMT"/>
          <w:sz w:val="16"/>
          <w:szCs w:val="16"/>
        </w:rPr>
        <w:t xml:space="preserve"> %}</w:t>
      </w:r>
    </w:p>
    <w:p w14:paraId="79B0D6CF" w14:textId="3E8C2D77" w:rsidR="00C05BC5" w:rsidRDefault="00644093" w:rsidP="00323340">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357F3">
        <w:rPr>
          <w:rFonts w:ascii="TimesNewRomanPSMT" w:hAnsi="TimesNewRomanPSMT" w:cs="TimesNewRomanPSMT"/>
          <w:sz w:val="16"/>
          <w:szCs w:val="16"/>
        </w:rPr>
      </w:r>
      <w:r w:rsidR="004357F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lang w:val="fr-FR"/>
        </w:rPr>
        <w:t>Combles et greniers aménageable</w:t>
      </w:r>
    </w:p>
    <w:p w14:paraId="0436063C"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1028D9BB"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lang w:val="en-US"/>
        </w:rPr>
        <w:t>balcons</w:t>
      </w:r>
      <w:r w:rsidRPr="00644093">
        <w:rPr>
          <w:rFonts w:ascii="TimesNewRomanPSMT" w:hAnsi="TimesNewRomanPSMT" w:cs="TimesNewRomanPSMT"/>
          <w:sz w:val="16"/>
          <w:szCs w:val="16"/>
        </w:rPr>
        <w:t xml:space="preserve"> %}</w:t>
      </w:r>
    </w:p>
    <w:p w14:paraId="485D44C4" w14:textId="5E37724D"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357F3">
        <w:rPr>
          <w:rFonts w:ascii="TimesNewRomanPSMT" w:hAnsi="TimesNewRomanPSMT" w:cs="TimesNewRomanPSMT"/>
          <w:sz w:val="16"/>
          <w:szCs w:val="16"/>
        </w:rPr>
      </w:r>
      <w:r w:rsidR="004357F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Balcons</w:t>
      </w:r>
    </w:p>
    <w:p w14:paraId="53D56096"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1BC79CD"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039240A0" w14:textId="10ED8475" w:rsidR="00C05BC5" w:rsidRPr="00F34A24" w:rsidRDefault="00644093" w:rsidP="00323340">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357F3">
        <w:rPr>
          <w:rFonts w:ascii="TimesNewRomanPSMT" w:hAnsi="TimesNewRomanPSMT" w:cs="TimesNewRomanPSMT"/>
          <w:sz w:val="16"/>
          <w:szCs w:val="16"/>
        </w:rPr>
      </w:r>
      <w:r w:rsidR="004357F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lang w:val="fr-FR"/>
        </w:rPr>
        <w:t>Loggias et Vérandas</w:t>
      </w:r>
    </w:p>
    <w:p w14:paraId="2FEC3142"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4FA22B87" w14:textId="77777777" w:rsidR="00F34A24" w:rsidRDefault="00644093" w:rsidP="00323340">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p>
    <w:p w14:paraId="6A4522BE" w14:textId="67A56860" w:rsidR="00C05BC5" w:rsidRDefault="00644093" w:rsidP="00323340">
      <w:pPr>
        <w:ind w:left="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357F3">
        <w:rPr>
          <w:rFonts w:ascii="TimesNewRomanPSMT" w:hAnsi="TimesNewRomanPSMT" w:cs="TimesNewRomanPSMT"/>
          <w:sz w:val="16"/>
          <w:szCs w:val="16"/>
        </w:rPr>
      </w:r>
      <w:r w:rsidR="004357F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619DCB49"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29728908" w14:textId="10F56548" w:rsidR="00C05BC5" w:rsidRPr="00F34A24" w:rsidRDefault="00DE31D6" w:rsidP="00323340">
      <w:pPr>
        <w:jc w:val="both"/>
        <w:rPr>
          <w:rFonts w:ascii="Open Sans" w:hAnsi="Open Sans" w:cs="Open Sans"/>
          <w:color w:val="3F4350"/>
          <w:sz w:val="20"/>
          <w:szCs w:val="20"/>
          <w:lang w:val="fr-FR"/>
        </w:rPr>
      </w:pPr>
      <w:r>
        <w:rPr>
          <w:rFonts w:ascii="Open Sans" w:hAnsi="Open Sans" w:cs="Open Sans"/>
          <w:color w:val="3F4350"/>
          <w:sz w:val="20"/>
          <w:szCs w:val="20"/>
          <w:lang w:val="fr-FR"/>
        </w:rPr>
        <w:tab/>
      </w: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9C288D">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(art. R. 111-2)</w:t>
            </w:r>
          </w:p>
        </w:tc>
        <w:tc>
          <w:tcPr>
            <w:tcW w:w="850" w:type="dxa"/>
            <w:vAlign w:val="center"/>
          </w:tcPr>
          <w:p w14:paraId="35030AE6" w14:textId="77777777" w:rsidR="00D80797" w:rsidRPr="009D530B" w:rsidRDefault="00D80797" w:rsidP="009C288D">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réelle</w:t>
            </w:r>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9C288D">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9C288D">
            <w:pP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9C288D">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9C288D">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9C288D">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C288D">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rsidP="00323340">
            <w:pPr>
              <w:jc w:val="both"/>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150A3E58"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27263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 xml:space="preserve">Au cas où ces annexes ne trouveraient pas preneur auprès des locataires de l'immeuble ou de tout autre immeuble conventionné appartenant au même bailleur ou géré par lui, </w:t>
      </w:r>
      <w:r>
        <w:rPr>
          <w:rFonts w:ascii="TimesNewRomanPSMT" w:hAnsi="TimesNewRomanPSMT" w:cs="TimesNewRomanPSMT"/>
        </w:rPr>
        <w:lastRenderedPageBreak/>
        <w:t>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9" w:name="Locaux"/>
      <w:bookmarkEnd w:id="49"/>
      <w:r>
        <w:rPr>
          <w:rFonts w:ascii="TimesNewRomanPSMT" w:hAnsi="TimesNewRomanPSMT" w:cs="TimesNewRomanPSMT"/>
        </w:rPr>
        <w:t xml:space="preserve">Locaux commerciaux (nombre) :  </w:t>
      </w:r>
      <w:bookmarkStart w:id="50" w:name="Commerce"/>
      <w:bookmarkEnd w:id="50"/>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51" w:name="Bureau"/>
      <w:bookmarkEnd w:id="51"/>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2B50BA02"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52" w:name="Autre"/>
      <w:bookmarkEnd w:id="52"/>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r>
        <w:rPr>
          <w:rFonts w:ascii="TimesNewRomanPSMT" w:hAnsi="TimesNewRomanPSMT" w:cs="TimesNewRomanPSMT"/>
        </w:rPr>
        <w:t>{{ programme.vendeur</w:t>
      </w:r>
      <w:r>
        <w:rPr>
          <w:rFonts w:ascii="TimesNewRomanPSMT" w:hAnsi="TimesNewRomanPSMT" w:cs="TimesNewRomanPSMT"/>
          <w:lang w:val="fr-FR"/>
        </w:rPr>
        <w:t>_text()</w:t>
      </w:r>
      <w:r>
        <w:rPr>
          <w:rFonts w:ascii="TimesNewRomanPSMT" w:hAnsi="TimesNewRomanPSMT" w:cs="TimesNewRomanPSMT"/>
        </w:rPr>
        <w:t xml:space="preserve">  }}</w:t>
      </w:r>
    </w:p>
    <w:p w14:paraId="4E6D0CF0"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for image in vendeur_images %}</w:t>
      </w:r>
    </w:p>
    <w:p w14:paraId="48963EB6"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{{image}}</w:t>
      </w:r>
    </w:p>
    <w:p w14:paraId="46F098B2" w14:textId="77777777" w:rsidR="000953BF" w:rsidRDefault="000953BF" w:rsidP="00323340">
      <w:pPr>
        <w:jc w:val="both"/>
        <w:rPr>
          <w:rFonts w:ascii="TimesNewRomanPSMT" w:hAnsi="TimesNewRomanPSMT" w:cs="TimesNewRomanPSMT"/>
          <w:lang w:val="fr-FR"/>
        </w:rPr>
      </w:pPr>
    </w:p>
    <w:p w14:paraId="2F6CC9B0" w14:textId="4090B5FC" w:rsidR="000953BF" w:rsidRP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r w:rsidR="003C4B80">
        <w:rPr>
          <w:rFonts w:ascii="TimesNewRomanPSMT" w:hAnsi="TimesNewRomanPSMT" w:cs="TimesNewRomanPSMT"/>
        </w:rPr>
        <w:t>{{ programme.acquereu</w:t>
      </w:r>
      <w:r w:rsidR="00D81C7A">
        <w:rPr>
          <w:rFonts w:ascii="TimesNewRomanPSMT" w:hAnsi="TimesNewRomanPSMT" w:cs="TimesNewRomanPSMT"/>
          <w:lang w:val="fr-FR"/>
        </w:rPr>
        <w:t>r</w:t>
      </w:r>
      <w:r w:rsidR="007F4478">
        <w:rPr>
          <w:rFonts w:ascii="TimesNewRomanPSMT" w:hAnsi="TimesNewRomanPSMT" w:cs="TimesNewRomanPSMT"/>
          <w:lang w:val="fr-FR"/>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55" w:name="ActeNotaire"/>
      <w:bookmarkEnd w:id="55"/>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56" w:name="Notaire"/>
      <w:bookmarkEnd w:id="56"/>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57" w:name="Refpublic"/>
      <w:bookmarkEnd w:id="57"/>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_acte</w:t>
      </w:r>
      <w:r w:rsidRPr="00C91B1B">
        <w:rPr>
          <w:rFonts w:ascii="TimesNewRomanPSMT" w:hAnsi="TimesNewRomanPSMT" w:cs="TimesNewRomanPSMT"/>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lang w:val="fr-FR"/>
        </w:rPr>
        <w:t>{% endfor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58" w:name="PC"/>
      <w:bookmarkEnd w:id="58"/>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lang w:val="fr-FR"/>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59" w:name="Achat"/>
      <w:bookmarkEnd w:id="59"/>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59E0C65D"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6663D3F9" w14:textId="15AC64E0" w:rsidR="00815BB2" w:rsidRDefault="00B77B63" w:rsidP="00323340">
      <w:pPr>
        <w:jc w:val="both"/>
        <w:rPr>
          <w:rFonts w:ascii="TimesNewRomanPSMT" w:hAnsi="TimesNewRomanPSMT" w:cs="TimesNewRomanPSMT"/>
        </w:rPr>
      </w:pPr>
      <w:r>
        <w:rPr>
          <w:rFonts w:ascii="TimesNewRomanPSMT" w:hAnsi="TimesNewRomanPSMT" w:cs="TimesNewRomanPSMT"/>
        </w:rPr>
        <w:t>{% if prets_cdc.count() %}</w:t>
      </w:r>
      <w:r w:rsidR="00815BB2" w:rsidRPr="00815BB2">
        <w:rPr>
          <w:rFonts w:ascii="TimesNewRomanPSMT" w:hAnsi="TimesNewRomanPSMT" w:cs="TimesNewRomanPSMT"/>
        </w:rPr>
        <w:t>{% for p in prets_cdc %}</w:t>
      </w:r>
    </w:p>
    <w:p w14:paraId="0ABF9304" w14:textId="6B8AF444"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Numéro : {{ p.n }}</w:t>
      </w:r>
    </w:p>
    <w:p w14:paraId="75A5FE79" w14:textId="16E0E63A"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Date d’octroi : {{ p.do|sd }}</w:t>
      </w:r>
    </w:p>
    <w:p w14:paraId="0300B65E" w14:textId="1A0F1637"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lastRenderedPageBreak/>
        <w:t>Durée: {{ p</w:t>
      </w:r>
      <w:r w:rsidR="009C6587">
        <w:rPr>
          <w:rFonts w:ascii="TimesNewRomanPSMT" w:hAnsi="TimesNewRomanPSMT" w:cs="TimesNewRomanPSMT"/>
          <w:lang w:val="fr-FR"/>
        </w:rPr>
        <w:t>.d</w:t>
      </w:r>
      <w:r>
        <w:rPr>
          <w:rFonts w:ascii="TimesNewRomanPSMT" w:hAnsi="TimesNewRomanPSMT" w:cs="TimesNewRomanPSMT"/>
          <w:lang w:val="fr-FR"/>
        </w:rPr>
        <w:t xml:space="preserve"> }}</w:t>
      </w:r>
      <w:r w:rsidR="000D0B95">
        <w:rPr>
          <w:rFonts w:ascii="TimesNewRomanPSMT" w:hAnsi="TimesNewRomanPSMT" w:cs="TimesNewRomanPSMT"/>
          <w:lang w:val="fr-FR"/>
        </w:rPr>
        <w:t xml:space="preserve"> an</w:t>
      </w:r>
      <w:r w:rsidR="005E5E92">
        <w:rPr>
          <w:rFonts w:ascii="TimesNewRomanPSMT" w:hAnsi="TimesNewRomanPSMT" w:cs="TimesNewRomanPSMT"/>
          <w:lang w:val="fr-FR"/>
        </w:rPr>
        <w:t>{{ p.d|pl }}</w:t>
      </w:r>
    </w:p>
    <w:p w14:paraId="1B57A325" w14:textId="5C646E1C"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Montant : {{ p.m|f }}</w:t>
      </w:r>
      <w:r w:rsidR="000D0B95">
        <w:rPr>
          <w:rFonts w:ascii="TimesNewRomanPSMT" w:hAnsi="TimesNewRomanPSMT" w:cs="TimesNewRomanPSMT"/>
          <w:lang w:val="fr-FR"/>
        </w:rPr>
        <w:t xml:space="preserve"> €</w:t>
      </w:r>
    </w:p>
    <w:p w14:paraId="2C96AF51" w14:textId="39D2E436" w:rsidR="00815BB2" w:rsidRP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Prêteur : {{ p.p_full()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endfor %}</w:t>
      </w:r>
      <w:r w:rsidR="00336652">
        <w:t>{% endif %}</w:t>
      </w:r>
    </w:p>
    <w:p w14:paraId="2A509057" w14:textId="2BEDB191" w:rsidR="00710717" w:rsidRPr="0006524C" w:rsidRDefault="00992BB7" w:rsidP="00710717">
      <w:pPr>
        <w:jc w:val="both"/>
      </w:pPr>
      <w:bookmarkStart w:id="60" w:name="Etat"/>
      <w:bookmarkEnd w:id="60"/>
      <w:r>
        <w:rPr>
          <w:rFonts w:ascii="TimesNewRomanPSMT" w:hAnsi="TimesNewRomanPSMT" w:cs="TimesNewRomanPSMT"/>
        </w:rPr>
        <w:t xml:space="preserve">{% if autres_prets.count()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815BB2">
        <w:rPr>
          <w:rFonts w:ascii="TimesNewRomanPSMT" w:hAnsi="TimesNewRomanPSMT" w:cs="TimesNewRomanPSMT"/>
        </w:rPr>
        <w:t xml:space="preserve">{% for p in </w:t>
      </w:r>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815BB2">
        <w:rPr>
          <w:rFonts w:ascii="TimesNewRomanPSMT" w:hAnsi="TimesNewRomanPSMT" w:cs="TimesNewRomanPSMT"/>
        </w:rPr>
        <w:t>prets %}</w:t>
      </w:r>
      <w:r w:rsidRPr="000618F0">
        <w:rPr>
          <w:rFonts w:ascii="TimesNewRomanPSMT" w:hAnsi="TimesNewRomanPSMT" w:cs="TimesNewRomanPSMT"/>
          <w:lang w:val="en-US"/>
        </w:rPr>
        <w:t>{% if p.n %}</w:t>
      </w:r>
    </w:p>
    <w:p w14:paraId="2B44544F" w14:textId="24B9C8DB"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0234F00" w14:textId="6CFDB5FB" w:rsidR="000618F0" w:rsidRPr="000D0B95" w:rsidRDefault="000618F0" w:rsidP="000618F0">
      <w:pPr>
        <w:pStyle w:val="ListParagraph"/>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Durée : {{ p.d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p.d|pl }}</w:t>
      </w:r>
      <w:r>
        <w:t>{% endif %}</w:t>
      </w:r>
      <w:r w:rsidRPr="000D0B95">
        <w:rPr>
          <w:rFonts w:ascii="TimesNewRomanPSMT" w:hAnsi="TimesNewRomanPSMT" w:cs="TimesNewRomanPSMT"/>
          <w:lang w:val="en-US"/>
        </w:rPr>
        <w:t>{% if p.m %}</w:t>
      </w:r>
    </w:p>
    <w:p w14:paraId="559A87BE" w14:textId="76D704A8"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sidR="000D0B95">
        <w:rPr>
          <w:rFonts w:ascii="TimesNewRomanPSMT" w:hAnsi="TimesNewRomanPSMT" w:cs="TimesNewRomanPSMT"/>
          <w:lang w:val="en-US"/>
        </w:rPr>
        <w:t xml:space="preserve"> €</w:t>
      </w:r>
      <w: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ListParagraph"/>
        <w:numPr>
          <w:ilvl w:val="0"/>
          <w:numId w:val="3"/>
        </w:numPr>
        <w:jc w:val="both"/>
        <w:rPr>
          <w:rFonts w:ascii="TimesNewRomanPSMT" w:hAnsi="TimesNewRomanPSMT" w:cs="TimesNewRomanPSMT"/>
          <w:lang w:val="fr-FR"/>
        </w:rPr>
      </w:pPr>
      <w:r w:rsidRPr="000618F0">
        <w:rPr>
          <w:rFonts w:ascii="TimesNewRomanPSMT" w:hAnsi="TimesNewRomanPSMT" w:cs="TimesNewRomanPSMT"/>
          <w:lang w:val="fr-FR"/>
        </w:rPr>
        <w:t>Prêteur : {{ p.preteur_display() }}</w:t>
      </w:r>
      <w:r>
        <w:t>{% endif %}</w:t>
      </w:r>
    </w:p>
    <w:p w14:paraId="0D6D0ACF" w14:textId="3D2A0E49" w:rsidR="000618F0" w:rsidRPr="00436A6A" w:rsidRDefault="000618F0" w:rsidP="00323340">
      <w:pPr>
        <w:jc w:val="both"/>
        <w:rPr>
          <w:rFonts w:ascii="TimesNewRomanPSMT" w:hAnsi="TimesNewRomanPSMT" w:cs="TimesNewRomanPSMT"/>
          <w:lang w:val="fr-FR"/>
        </w:rPr>
      </w:pPr>
      <w:r w:rsidRPr="000618F0">
        <w:rPr>
          <w:rFonts w:ascii="TimesNewRomanPSMT" w:hAnsi="TimesNewRomanPSMT" w:cs="TimesNewRomanPSMT"/>
          <w:lang w:val="fr-FR"/>
        </w:rPr>
        <w:t>{% endfor %}</w:t>
      </w:r>
      <w:r>
        <w:t>{% endif %}</w:t>
      </w:r>
    </w:p>
    <w:p w14:paraId="4A69A834" w14:textId="73F93D40" w:rsidR="0094342C" w:rsidRDefault="0094342C" w:rsidP="00323340">
      <w:pPr>
        <w:jc w:val="both"/>
        <w:rPr>
          <w:rFonts w:ascii="TimesNewRomanPSMT" w:hAnsi="TimesNewRomanPSMT" w:cs="TimesNewRomanPSMT"/>
        </w:rPr>
      </w:pPr>
      <w:bookmarkStart w:id="61" w:name="Fondpropre"/>
      <w:bookmarkEnd w:id="61"/>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endif %}</w:t>
      </w:r>
      <w:r w:rsidR="00101463">
        <w:rPr>
          <w:rFonts w:ascii="TimesNewRomanPSMT" w:hAnsi="TimesNewRomanPSMT" w:cs="TimesNewRomanPSMT"/>
        </w:rPr>
        <w:t xml:space="preserve">Date d'achèvement de la construction ou certificat de conformité : </w:t>
      </w:r>
      <w:bookmarkStart w:id="62" w:name="Construc"/>
      <w:bookmarkEnd w:id="62"/>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67392536" w14:textId="50ECB8C0"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63" w:name="Siret2"/>
      <w:bookmarkEnd w:id="63"/>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r w:rsidR="00916C62">
        <w:rPr>
          <w:rFonts w:ascii="TimesNewRomanPSMT" w:hAnsi="TimesNewRomanPSMT" w:cs="TimesNewRomanPSMT"/>
          <w:lang w:val="fr-FR"/>
        </w:rPr>
        <w:t>get_</w:t>
      </w:r>
      <w:r w:rsidR="00DE0211">
        <w:rPr>
          <w:rFonts w:ascii="TimesNewRomanPSMT" w:hAnsi="TimesNewRomanPSMT" w:cs="TimesNewRomanPSMT"/>
        </w:rPr>
        <w:t>ville_signature</w:t>
      </w:r>
      <w:r w:rsidR="00916C62">
        <w:rPr>
          <w:rFonts w:ascii="TimesNewRomanPSMT" w:hAnsi="TimesNewRomanPSMT" w:cs="TimesNewRomanPSMT"/>
          <w:lang w:val="fr-FR"/>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EF0FA5">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3"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0E8E5" w14:textId="77777777" w:rsidR="004357F3" w:rsidRDefault="004357F3">
      <w:r>
        <w:separator/>
      </w:r>
    </w:p>
  </w:endnote>
  <w:endnote w:type="continuationSeparator" w:id="0">
    <w:p w14:paraId="10B680EC" w14:textId="77777777" w:rsidR="004357F3" w:rsidRDefault="00435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variable"/>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90C22" w14:textId="77777777" w:rsidR="004357F3" w:rsidRDefault="004357F3">
      <w:r>
        <w:separator/>
      </w:r>
    </w:p>
  </w:footnote>
  <w:footnote w:type="continuationSeparator" w:id="0">
    <w:p w14:paraId="7E6A93BE" w14:textId="77777777" w:rsidR="004357F3" w:rsidRDefault="004357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696B3CD3" w:rsidR="00BC3087" w:rsidRDefault="004357F3">
    <w:pPr>
      <w:pStyle w:val="Header"/>
    </w:pPr>
    <w:r>
      <w:rPr>
        <w:noProof/>
      </w:rPr>
      <w:pict w14:anchorId="52094A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120631" o:spid="_x0000_s1027" type="#_x0000_t136" alt="" style="position:absolute;left:0;text-align:left;margin-left:0;margin-top:0;width:554.2pt;height:29.15pt;rotation:315;z-index:-251642880;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 convention.display_not_validated_status() }}"/>
        </v:shape>
      </w:pict>
    </w:r>
    <w:r w:rsidR="00EF0FA5">
      <w:rPr>
        <w:noProof/>
      </w:rPr>
      <mc:AlternateContent>
        <mc:Choice Requires="wps">
          <w:drawing>
            <wp:anchor distT="0" distB="0" distL="0" distR="0" simplePos="0" relativeHeight="251665408" behindDoc="0" locked="0" layoutInCell="1" allowOverlap="1" wp14:anchorId="1C468005" wp14:editId="2361B0EB">
              <wp:simplePos x="0" y="0"/>
              <wp:positionH relativeFrom="page">
                <wp:posOffset>6844665</wp:posOffset>
              </wp:positionH>
              <wp:positionV relativeFrom="page">
                <wp:posOffset>252518</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538.95pt;margin-top:19.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4357F3">
    <w:pPr>
      <w:pStyle w:val="Header"/>
      <w:ind w:right="360"/>
    </w:pPr>
    <w:r>
      <w:rPr>
        <w:noProof/>
      </w:rPr>
      <w:pict w14:anchorId="529DFD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120632" o:spid="_x0000_s1026" type="#_x0000_t136" alt="" style="position:absolute;left:0;text-align:left;margin-left:0;margin-top:0;width:554.2pt;height:29.15pt;rotation:315;z-index:-251638784;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 convention.display_not_validated_status() }}"/>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izt7QEAANI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lang w:val="fr-FR"/>
            </w:rPr>
          </w:pPr>
        </w:p>
        <w:p w14:paraId="0BFD1B76" w14:textId="75FE36B4" w:rsidR="00795E35" w:rsidRDefault="00795E35" w:rsidP="00795E35">
          <w:pPr>
            <w:jc w:val="center"/>
            <w:rPr>
              <w:lang w:val="fr-FR"/>
            </w:rP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42j6mu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pPr>
            <w:rPr>
              <w:lang w:val="fr-FR"/>
            </w:rPr>
          </w:pPr>
        </w:p>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pPr>
            <w:rPr>
              <w:lang w:val="fr-FR"/>
            </w:rPr>
          </w:pPr>
        </w:p>
      </w:tc>
      <w:tc>
        <w:tcPr>
          <w:tcW w:w="3466" w:type="dxa"/>
        </w:tcPr>
        <w:p w14:paraId="30DFF294" w14:textId="77777777" w:rsidR="00795E35" w:rsidRPr="001E531F" w:rsidRDefault="00795E35" w:rsidP="00795E35">
          <w:pPr>
            <w:rPr>
              <w:sz w:val="4"/>
              <w:szCs w:val="4"/>
              <w:lang w:val="fr-FR"/>
            </w:rPr>
          </w:pPr>
        </w:p>
        <w:p w14:paraId="1A69F355" w14:textId="77777777" w:rsidR="00795E35" w:rsidRDefault="00795E35" w:rsidP="00795E35">
          <w:pPr>
            <w:rPr>
              <w:sz w:val="20"/>
              <w:szCs w:val="20"/>
              <w:lang w:val="fr-FR"/>
            </w:rPr>
          </w:pPr>
          <w:r w:rsidRPr="001E531F">
            <w:rPr>
              <w:sz w:val="20"/>
              <w:szCs w:val="20"/>
              <w:lang w:val="fr-FR"/>
            </w:rPr>
            <w:t>DATE</w:t>
          </w:r>
        </w:p>
        <w:p w14:paraId="6DA8B601" w14:textId="77777777" w:rsidR="00795E35" w:rsidRDefault="00795E35" w:rsidP="00795E35">
          <w:pPr>
            <w:rPr>
              <w:sz w:val="20"/>
              <w:szCs w:val="20"/>
              <w:lang w:val="fr-FR"/>
            </w:rPr>
          </w:pPr>
        </w:p>
        <w:p w14:paraId="7C5B320E" w14:textId="77777777" w:rsidR="00795E35" w:rsidRDefault="00795E35" w:rsidP="00795E35">
          <w:pPr>
            <w:rPr>
              <w:sz w:val="20"/>
              <w:szCs w:val="20"/>
              <w:lang w:val="fr-FR"/>
            </w:rPr>
          </w:pPr>
        </w:p>
        <w:p w14:paraId="519C404A" w14:textId="77777777" w:rsidR="00795E35" w:rsidRPr="001E531F" w:rsidRDefault="00795E35" w:rsidP="00795E35">
          <w:pPr>
            <w:rPr>
              <w:sz w:val="20"/>
              <w:szCs w:val="20"/>
              <w:lang w:val="fr-FR"/>
            </w:rPr>
          </w:pPr>
          <w:r>
            <w:rPr>
              <w:sz w:val="20"/>
              <w:szCs w:val="20"/>
              <w:lang w:val="fr-FR"/>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4357F3" w:rsidP="00D279D1">
    <w:pPr>
      <w:pStyle w:val="Header"/>
      <w:tabs>
        <w:tab w:val="clear" w:pos="4536"/>
        <w:tab w:val="clear" w:pos="9072"/>
      </w:tabs>
    </w:pPr>
    <w:r>
      <w:rPr>
        <w:noProof/>
      </w:rPr>
      <w:pict w14:anchorId="66CAA6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120630" o:spid="_x0000_s1025" type="#_x0000_t136" alt="" style="position:absolute;left:0;text-align:left;margin-left:0;margin-top:0;width:554.2pt;height:29.1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 convention.display_not_validated_status() }}"/>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4357F3" w:rsidP="00D279D1">
                          <w:pPr>
                            <w:pStyle w:val="Cerfa"/>
                            <w:rPr>
                              <w:sz w:val="16"/>
                              <w:szCs w:val="16"/>
                            </w:rPr>
                          </w:pPr>
                          <w:r>
                            <w:rPr>
                              <w:noProof/>
                            </w:rPr>
                            <w:object w:dxaOrig="777" w:dyaOrig="512" w14:anchorId="6BBA4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85pt;height:25.6pt;mso-width-percent:0;mso-height-percent:0;mso-width-percent:0;mso-height-percent:0" filled="t">
                                <v:fill color2="black"/>
                                <v:imagedata r:id="rId2" o:title="" croptop="-22f" cropbottom="-22f" cropleft="-25f" cropright="-25f"/>
                              </v:shape>
                              <o:OLEObject Type="Embed" ProgID="Word.Picture.8" ShapeID="_x0000_i1025" DrawAspect="Content" ObjectID="_1714828959"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4357F3" w:rsidP="00D279D1">
                    <w:pPr>
                      <w:pStyle w:val="Cerfa"/>
                      <w:rPr>
                        <w:sz w:val="16"/>
                        <w:szCs w:val="16"/>
                      </w:rPr>
                    </w:pPr>
                    <w:r>
                      <w:rPr>
                        <w:noProof/>
                      </w:rPr>
                      <w:object w:dxaOrig="777" w:dyaOrig="512" w14:anchorId="6BBA4968">
                        <v:shape id="_x0000_i1025" type="#_x0000_t75" alt="" style="width:38.85pt;height:25.6pt;mso-width-percent:0;mso-height-percent:0;mso-width-percent:0;mso-height-percent:0" filled="t">
                          <v:fill color2="black"/>
                          <v:imagedata r:id="rId2" o:title="" croptop="-22f" cropbottom="-22f" cropleft="-25f" cropright="-25f"/>
                        </v:shape>
                        <o:OLEObject Type="Embed" ProgID="Word.Picture.8" ShapeID="_x0000_i1025" DrawAspect="Content" ObjectID="_1714828959"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yAa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OjbqfloGj0zzVRO9kk6cxeJV42wfCyCYaX&#13;&#10;TTD+Lhsv7oNScXcQ3NHuWgr/E/sTmNpOWk9/veVv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B1HIBq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&#13;&#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7FAC"/>
    <w:rsid w:val="00135103"/>
    <w:rsid w:val="0015004B"/>
    <w:rsid w:val="00150178"/>
    <w:rsid w:val="0017444D"/>
    <w:rsid w:val="0017551D"/>
    <w:rsid w:val="001917D3"/>
    <w:rsid w:val="001A3701"/>
    <w:rsid w:val="001B32E7"/>
    <w:rsid w:val="001D0F40"/>
    <w:rsid w:val="001E36ED"/>
    <w:rsid w:val="001E3937"/>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262F8"/>
    <w:rsid w:val="0053630C"/>
    <w:rsid w:val="00542289"/>
    <w:rsid w:val="005507A3"/>
    <w:rsid w:val="0055590B"/>
    <w:rsid w:val="0056496D"/>
    <w:rsid w:val="00566537"/>
    <w:rsid w:val="00582B0B"/>
    <w:rsid w:val="005877A2"/>
    <w:rsid w:val="005979F0"/>
    <w:rsid w:val="00597D67"/>
    <w:rsid w:val="005A29D7"/>
    <w:rsid w:val="005A3E25"/>
    <w:rsid w:val="005B2229"/>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2EC1"/>
    <w:rsid w:val="00CF6E00"/>
    <w:rsid w:val="00CF7D43"/>
    <w:rsid w:val="00D0619A"/>
    <w:rsid w:val="00D12017"/>
    <w:rsid w:val="00D12232"/>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1D6"/>
    <w:rsid w:val="00DE396D"/>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20</Pages>
  <Words>6720</Words>
  <Characters>38305</Characters>
  <Application>Microsoft Office Word</Application>
  <DocSecurity>0</DocSecurity>
  <Lines>319</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34</cp:revision>
  <cp:lastPrinted>2021-11-30T08:37:00Z</cp:lastPrinted>
  <dcterms:created xsi:type="dcterms:W3CDTF">2022-04-08T14:14:00Z</dcterms:created>
  <dcterms:modified xsi:type="dcterms:W3CDTF">2022-05-23T14:36:00Z</dcterms:modified>
</cp:coreProperties>
</file>