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w:t>
      </w:r>
      <w:proofErr w:type="spellStart"/>
      <w:r w:rsidRPr="00BB7802">
        <w:rPr>
          <w:rFonts w:ascii="TimesNewRomanPSMT" w:hAnsi="TimesNewRomanPSMT" w:cs="TimesNewRomanPSMT"/>
          <w:lang w:val="en-US"/>
        </w:rPr>
        <w:t>classique</w:t>
      </w:r>
      <w:proofErr w:type="spellEnd"/>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FAFAF27" w14:textId="100448A1" w:rsidR="00BB7802" w:rsidRPr="00C91B1B" w:rsidRDefault="003D5F0B" w:rsidP="00BB7802">
      <w:pPr>
        <w:rPr>
          <w:rFonts w:ascii="TimesNewRomanPSMT" w:hAnsi="TimesNewRomanPSMT" w:cs="TimesNewRomanPSMT"/>
        </w:rPr>
      </w:pPr>
      <w:r w:rsidRPr="002324F0">
        <w:rPr>
          <w:rFonts w:ascii="TimesNewRomanPSMT" w:hAnsi="TimesNewRomanPSMT" w:cs="TimesNewRomanPSMT"/>
          <w:lang w:val="en-US"/>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w:t>
      </w:r>
      <w:r w:rsidR="00BB7802">
        <w:rPr>
          <w:rFonts w:ascii="TimesNewRomanPSMT" w:hAnsi="TimesNewRomanPSMT" w:cs="TimesNewRomanPSMT"/>
          <w:lang w:val="fr-FR"/>
        </w:rPr>
        <w:t>classique</w:t>
      </w:r>
      <w:r w:rsidR="00BB7802" w:rsidRPr="00C91B1B">
        <w:rPr>
          <w:rFonts w:ascii="TimesNewRomanPSMT" w:hAnsi="TimesNewRomanPSMT" w:cs="TimesNewRomanPSMT"/>
        </w:rPr>
        <w:t>_images %}</w:t>
      </w:r>
    </w:p>
    <w:p w14:paraId="21DF41B6"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0CE8B518" w14:textId="77777777" w:rsidR="00BB7802" w:rsidRPr="00C91B1B" w:rsidRDefault="00BB7802" w:rsidP="00BB7802">
      <w:pPr>
        <w:rPr>
          <w:rFonts w:ascii="TimesNewRomanPSMT" w:hAnsi="TimesNewRomanPSMT" w:cs="TimesNewRomanPSMT"/>
        </w:rPr>
      </w:pPr>
    </w:p>
    <w:p w14:paraId="271CE8EB" w14:textId="56780241" w:rsidR="00DD6CCF" w:rsidRPr="002324F0" w:rsidRDefault="00BB7802" w:rsidP="00BB7802">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D21B14">
        <w:rPr>
          <w:rFonts w:ascii="TimesNewRomanPSMT" w:hAnsi="TimesNewRomanPSMT" w:cs="TimesNewRomanPSMT"/>
        </w:rPr>
        <w:t>{</w:t>
      </w:r>
      <w:proofErr w:type="gramEnd"/>
      <w:r w:rsidR="00DD6CCF">
        <w:rPr>
          <w:rFonts w:ascii="TimesNewRomanPSMT" w:hAnsi="TimesNewRomanPSMT" w:cs="TimesNewRomanPSMT"/>
        </w:rPr>
        <w:t>% 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lastRenderedPageBreak/>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lastRenderedPageBreak/>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25191267" w14:textId="77777777" w:rsidR="0075141F" w:rsidRDefault="003431FC" w:rsidP="0075141F">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r w:rsidR="00101463">
        <w:rPr>
          <w:rFonts w:ascii="TimesNewRomanPSMT" w:hAnsi="TimesNewRomanPSMT" w:cs="TimesNewRomanPSMT"/>
        </w:rPr>
        <w:t>Acquéreur</w:t>
      </w:r>
      <w:proofErr w:type="gramEnd"/>
      <w:r w:rsidR="00101463">
        <w:rPr>
          <w:rFonts w:ascii="TimesNewRomanPSMT" w:hAnsi="TimesNewRomanPSMT" w:cs="TimesNewRomanPSMT" w:hint="eastAsia"/>
        </w:rPr>
        <w:t> </w:t>
      </w:r>
      <w:r w:rsidR="00101463">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Default="0075141F" w:rsidP="0075141F">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acquereur</w:t>
      </w:r>
      <w:r>
        <w:rPr>
          <w:rFonts w:ascii="TimesNewRomanPSMT" w:hAnsi="TimesNewRomanPSMT" w:cs="TimesNewRomanPSMT"/>
          <w:lang w:val="fr-FR"/>
        </w:rPr>
        <w:t>_images</w:t>
      </w:r>
      <w:proofErr w:type="spellEnd"/>
      <w:r>
        <w:rPr>
          <w:rFonts w:ascii="TimesNewRomanPSMT" w:hAnsi="TimesNewRomanPSMT" w:cs="TimesNewRomanPSMT"/>
          <w:lang w:val="fr-FR"/>
        </w:rPr>
        <w:t xml:space="preserve"> %}</w:t>
      </w:r>
    </w:p>
    <w:p w14:paraId="6495F90C" w14:textId="77777777" w:rsidR="0075141F" w:rsidRDefault="0075141F" w:rsidP="0075141F">
      <w:pPr>
        <w:rPr>
          <w:rFonts w:ascii="TimesNewRomanPSMT" w:hAnsi="TimesNewRomanPSMT" w:cs="TimesNewRomanPSMT"/>
          <w:lang w:val="fr-FR"/>
        </w:rPr>
      </w:pPr>
      <w:r>
        <w:rPr>
          <w:rFonts w:ascii="TimesNewRomanPSMT" w:hAnsi="TimesNewRomanPSMT" w:cs="TimesNewRomanPSMT"/>
          <w:lang w:val="fr-FR"/>
        </w:rPr>
        <w:t>{{image}}</w:t>
      </w:r>
    </w:p>
    <w:p w14:paraId="6880381E" w14:textId="77777777" w:rsidR="0075141F" w:rsidRDefault="0075141F" w:rsidP="0075141F">
      <w:pPr>
        <w:rPr>
          <w:rFonts w:ascii="TimesNewRomanPSMT" w:hAnsi="TimesNewRomanPSMT" w:cs="TimesNewRomanPSMT"/>
          <w:lang w:val="fr-FR"/>
        </w:rPr>
      </w:pPr>
    </w:p>
    <w:p w14:paraId="6B87FC56" w14:textId="19F5D348" w:rsidR="00101463" w:rsidRDefault="0075141F" w:rsidP="0075141F">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r w:rsidR="00101463">
        <w:t>Acte</w:t>
      </w:r>
      <w:proofErr w:type="gramEnd"/>
      <w:r w:rsidR="00101463">
        <w:t xml:space="preserv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020BED5D" w14:textId="77777777" w:rsidR="00AA4364" w:rsidRDefault="00AA4364" w:rsidP="00101463"/>
    <w:p w14:paraId="5AE86674" w14:textId="24A2510C" w:rsidR="00101463" w:rsidRDefault="00101463" w:rsidP="00101463">
      <w:r>
        <w:lastRenderedPageBreak/>
        <w:t xml:space="preserve">Notaire : </w:t>
      </w:r>
      <w:bookmarkStart w:id="57" w:name="Notaire"/>
      <w:bookmarkEnd w:id="57"/>
      <w:r w:rsidR="003C4B80">
        <w:rPr>
          <w:rFonts w:ascii="TimesNewRomanPSMT" w:hAnsi="TimesNewRomanPSMT" w:cs="TimesNewRomanPSMT"/>
        </w:rPr>
        <w:t>{{ programme.reference_notaire</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20AF49AF" w14:textId="16973B48" w:rsidR="00101463" w:rsidRDefault="00C91B1B" w:rsidP="00C91B1B">
      <w:r w:rsidRPr="00C91B1B">
        <w:rPr>
          <w:rFonts w:ascii="TimesNewRomanPSMT" w:hAnsi="TimesNewRomanPSMT" w:cs="TimesNewRomanPSMT"/>
        </w:rPr>
        <w:t>{% endfor %}</w:t>
      </w:r>
      <w:r w:rsidR="00101463">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3DA5BD5E"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8730" w14:textId="77777777" w:rsidR="004940B5" w:rsidRDefault="004940B5">
      <w:r>
        <w:separator/>
      </w:r>
    </w:p>
  </w:endnote>
  <w:endnote w:type="continuationSeparator" w:id="0">
    <w:p w14:paraId="586B691E" w14:textId="77777777" w:rsidR="004940B5" w:rsidRDefault="0049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9473" w14:textId="77777777" w:rsidR="004940B5" w:rsidRDefault="004940B5">
      <w:r>
        <w:separator/>
      </w:r>
    </w:p>
  </w:footnote>
  <w:footnote w:type="continuationSeparator" w:id="0">
    <w:p w14:paraId="4C4CEB59" w14:textId="77777777" w:rsidR="004940B5" w:rsidRDefault="00494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940B5">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501898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940B5">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501898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A3661"/>
    <w:rsid w:val="000B589D"/>
    <w:rsid w:val="000C6768"/>
    <w:rsid w:val="000D1484"/>
    <w:rsid w:val="000D4CC4"/>
    <w:rsid w:val="000E2F9F"/>
    <w:rsid w:val="000E6D13"/>
    <w:rsid w:val="000F658F"/>
    <w:rsid w:val="00101463"/>
    <w:rsid w:val="001043D5"/>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F11B0"/>
    <w:rsid w:val="003F33D5"/>
    <w:rsid w:val="00404835"/>
    <w:rsid w:val="00407BF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20</Pages>
  <Words>6545</Words>
  <Characters>37310</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185</cp:revision>
  <cp:lastPrinted>1899-12-31T23:50:39Z</cp:lastPrinted>
  <dcterms:created xsi:type="dcterms:W3CDTF">2021-09-08T07:59:00Z</dcterms:created>
  <dcterms:modified xsi:type="dcterms:W3CDTF">2021-10-06T07:49:00Z</dcterms:modified>
</cp:coreProperties>
</file>