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Normal"/>
        <w:jc w:val="center"/>
        <w:rPr/>
      </w:pPr>
      <w:r>
        <w:rPr>
          <w:rFonts w:cs="TimesNewRomanPS-BoldMT" w:ascii="TimesNewRomanPS-BoldMT" w:hAnsi="TimesNewRomanPS-BoldMT"/>
          <w:b/>
        </w:rPr>
        <w:t>A</w:t>
      </w:r>
      <w:r>
        <w:rPr>
          <w:rFonts w:cs="TimesNewRomanPS-BoldMT" w:ascii="TimesNewRomanPS-BoldMT" w:hAnsi="TimesNewRomanPS-BoldMT"/>
          <w:b/>
          <w:sz w:val="16"/>
        </w:rPr>
        <w:t xml:space="preserve">NNEXE </w:t>
      </w:r>
      <w:r>
        <w:rPr>
          <w:rFonts w:cs="TimesNewRomanPS-BoldMT" w:ascii="TimesNewRomanPS-BoldMT" w:hAnsi="TimesNewRomanPS-BoldMT"/>
          <w:b/>
        </w:rPr>
        <w:t xml:space="preserve">I </w:t>
      </w:r>
      <w:r>
        <w:rPr>
          <w:rFonts w:cs="TimesNewRomanPS-BoldMT" w:ascii="TimesNewRomanPS-BoldMT" w:hAnsi="TimesNewRomanPS-BoldMT"/>
          <w:b/>
          <w:sz w:val="16"/>
        </w:rPr>
        <w:t>À L</w:t>
      </w:r>
      <w:r>
        <w:rPr>
          <w:rFonts w:cs="TimesNewRomanPS-BoldMT" w:ascii="TimesNewRomanPS-BoldMT" w:hAnsi="TimesNewRomanPS-BoldMT"/>
          <w:b/>
        </w:rPr>
        <w:t>'</w:t>
      </w:r>
      <w:r>
        <w:rPr>
          <w:rFonts w:cs="TimesNewRomanPS-BoldMT" w:ascii="TimesNewRomanPS-BoldMT" w:hAnsi="TimesNewRomanPS-BoldMT"/>
          <w:b/>
          <w:sz w:val="16"/>
        </w:rPr>
        <w:t xml:space="preserve">ARTICLE </w:t>
      </w:r>
      <w:r>
        <w:rPr>
          <w:rFonts w:cs="TimesNewRomanPS-BoldMT" w:ascii="TimesNewRomanPS-BoldMT" w:hAnsi="TimesNewRomanPS-BoldMT"/>
          <w:b/>
        </w:rPr>
        <w:t xml:space="preserve">D. 353-1 </w:t>
      </w:r>
      <w:r>
        <w:rPr>
          <w:rFonts w:cs="TimesNewRomanPS-BoldMT" w:ascii="TimesNewRomanPS-BoldMT" w:hAnsi="TimesNewRomanPS-BoldMT"/>
          <w:b/>
          <w:sz w:val="16"/>
        </w:rPr>
        <w:t>DU CODE DE LA CONSTRUCTION ET DE L</w:t>
      </w:r>
      <w:r>
        <w:rPr>
          <w:rFonts w:cs="TimesNewRomanPS-BoldMT" w:ascii="TimesNewRomanPS-BoldMT" w:hAnsi="TimesNewRomanPS-BoldMT"/>
          <w:b/>
        </w:rPr>
        <w:t>’</w:t>
      </w:r>
      <w:r>
        <w:rPr>
          <w:rFonts w:cs="TimesNewRomanPS-BoldMT" w:ascii="TimesNewRomanPS-BoldMT" w:hAnsi="TimesNewRomanPS-BoldMT"/>
          <w:b/>
          <w:sz w:val="16"/>
        </w:rPr>
        <w:t>HABITATION</w:t>
      </w:r>
    </w:p>
    <w:p>
      <w:pPr>
        <w:pStyle w:val="Normal"/>
        <w:jc w:val="center"/>
        <w:rPr>
          <w:rFonts w:ascii="TimesNewRomanPS-BoldMT" w:hAnsi="TimesNewRomanPS-BoldMT" w:cs="TimesNewRomanPS-BoldMT"/>
          <w:b/>
          <w:b/>
          <w:sz w:val="16"/>
        </w:rPr>
      </w:pPr>
      <w:r>
        <w:rPr>
          <w:rFonts w:cs="TimesNewRomanPS-BoldMT" w:ascii="TimesNewRomanPS-BoldMT" w:hAnsi="TimesNewRomanPS-BoldMT"/>
          <w:b/>
          <w:sz w:val="16"/>
        </w:rPr>
      </w:r>
    </w:p>
    <w:p>
      <w:pPr>
        <w:pStyle w:val="Normal"/>
        <w:jc w:val="center"/>
        <w:rPr/>
      </w:pPr>
      <w:r>
        <w:rPr>
          <w:rFonts w:cs="TimesNewRomanPS-BoldMT" w:ascii="TimesNewRomanPS-BoldMT" w:hAnsi="TimesNewRomanPS-BoldMT"/>
          <w:b/>
        </w:rPr>
        <w:t>Convention type conclue en application des articles L. 353-1 et L. 831-1            (2° ou 3°) du code de la construction et de l'habitation entre l'Etat et l'organisme d'habitations à loyer modéré</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Convention type conclue entre l'</w:t>
      </w:r>
      <w:r>
        <w:rPr>
          <w:rFonts w:cs="TimesNewRomanPSMT" w:ascii="TimesNewRomanPSMT" w:hAnsi="TimesNewRomanPSMT"/>
          <w:lang w:val="fr-FR"/>
        </w:rPr>
        <w:t>ETAT</w:t>
      </w:r>
      <w:r>
        <w:rPr>
          <w:rFonts w:cs="TimesNewRomanPSMT" w:ascii="TimesNewRomanPSMT" w:hAnsi="TimesNewRomanPSMT"/>
        </w:rPr>
        <w:t xml:space="preserve"> et </w:t>
      </w:r>
      <w:bookmarkStart w:id="0" w:name="NomBailleur1"/>
      <w:bookmarkEnd w:id="0"/>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en application des articles L. 353-1 et L. 831-1 (2° ou 3°) du code de la construction et de l'habitation pour l'opération </w:t>
      </w:r>
      <w:bookmarkStart w:id="1" w:name="NomProgramme1"/>
      <w:bookmarkEnd w:id="1"/>
      <w:r>
        <w:rPr>
          <w:rFonts w:cs="TimesNewRomanPSMT" w:ascii="TimesNewRomanPSMT" w:hAnsi="TimesNewRomanPSMT"/>
        </w:rPr>
        <w:t xml:space="preserve">{{ programme.nom }}, de </w:t>
      </w:r>
      <w:bookmarkStart w:id="2" w:name="NbLogement1"/>
      <w:bookmarkEnd w:id="2"/>
      <w:r>
        <w:rPr>
          <w:rFonts w:cs="TimesNewRomanPSMT" w:ascii="TimesNewRomanPSMT" w:hAnsi="TimesNewRomanPSMT"/>
        </w:rPr>
        <w:t>{{ lot.nb_logements }} logement</w:t>
      </w:r>
      <w:bookmarkStart w:id="3" w:name="Type"/>
      <w:bookmarkEnd w:id="3"/>
      <w:r>
        <w:rPr>
          <w:rFonts w:cs="TimesNewRomanPSMT" w:ascii="TimesNewRomanPSMT" w:hAnsi="TimesNewRomanPSMT"/>
          <w:lang w:val="fr-FR"/>
        </w:rPr>
        <w:t xml:space="preserve">{{lot.nb_logements|pl}} </w:t>
      </w:r>
      <w:r>
        <w:rPr>
          <w:rFonts w:cs="TimesNewRomanPSMT" w:ascii="TimesNewRomanPSMT" w:hAnsi="TimesNewRomanPSMT"/>
        </w:rPr>
        <w:t xml:space="preserve">{{ lot.financement }}, </w:t>
      </w:r>
      <w:bookmarkStart w:id="4" w:name="Adresse1"/>
      <w:bookmarkEnd w:id="4"/>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5" w:name="CodePostal1"/>
      <w:bookmarkEnd w:id="5"/>
      <w:r>
        <w:rPr>
          <w:rFonts w:cs="TimesNewRomanPSMT" w:ascii="TimesNewRomanPSMT" w:hAnsi="TimesNewRomanPSMT"/>
        </w:rPr>
        <w:t xml:space="preserve">{{ programme.code_postal }},  </w:t>
      </w:r>
      <w:bookmarkStart w:id="6" w:name="Ville1"/>
      <w:bookmarkEnd w:id="6"/>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et </w:t>
      </w:r>
      <w:bookmarkStart w:id="7" w:name="NomBailleur2"/>
      <w:bookmarkEnd w:id="7"/>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représenté (e) par </w:t>
      </w:r>
      <w:bookmarkStart w:id="8" w:name="NomDG1"/>
      <w:bookmarkEnd w:id="8"/>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_nom }}, </w:t>
      </w:r>
      <w:bookmarkStart w:id="9" w:name="Fonction"/>
      <w:bookmarkEnd w:id="9"/>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_fonction }} (3) agissant en vertu de la délibération du Conseil d’Administration en date du </w:t>
      </w:r>
      <w:bookmarkStart w:id="10" w:name="DateDelib1"/>
      <w:bookmarkEnd w:id="10"/>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_date_deliberation|d }}, inscrit sous le numéro </w:t>
      </w:r>
      <w:bookmarkStart w:id="11" w:name="Siret1"/>
      <w:bookmarkEnd w:id="11"/>
      <w:r>
        <w:rPr>
          <w:rFonts w:cs="TimesNewRomanPSMT" w:ascii="TimesNewRomanPSMT" w:hAnsi="TimesNewRomanPSMT"/>
        </w:rPr>
        <w:t xml:space="preserve">{{ bailleur.siret }}{% if bailleur.capital_social %}, au capital de </w:t>
      </w:r>
      <w:bookmarkStart w:id="12" w:name="Capital1"/>
      <w:bookmarkEnd w:id="12"/>
      <w:r>
        <w:rPr>
          <w:rFonts w:cs="TimesNewRomanPSMT" w:ascii="TimesNewRomanPSMT" w:hAnsi="TimesNewRomanPSMT"/>
        </w:rPr>
        <w:t>{{ bailleur.capital_social</w:t>
      </w:r>
      <w:r>
        <w:rPr>
          <w:rFonts w:cs="TimesNewRomanPSMT" w:ascii="TimesNewRomanPSMT" w:hAnsi="TimesNewRomanPSMT"/>
          <w:lang w:val="fr-FR"/>
        </w:rPr>
        <w:t>|f</w:t>
      </w:r>
      <w:r>
        <w:rPr>
          <w:rFonts w:cs="TimesNewRomanPSMT" w:ascii="TimesNewRomanPSMT" w:hAnsi="TimesNewRomanPSMT"/>
        </w:rPr>
        <w:t xml:space="preserve"> }} </w:t>
      </w:r>
      <w:r>
        <w:rPr>
          <w:rFonts w:cs="TimesNewRomanPSMT" w:ascii="TimesNewRomanPSMT" w:hAnsi="TimesNewRomanPSMT"/>
          <w:lang w:val="fr-FR"/>
        </w:rPr>
        <w:t xml:space="preserve">€ </w:t>
      </w:r>
      <w:r>
        <w:rPr>
          <w:rFonts w:cs="TimesNewRomanPSMT" w:ascii="TimesNewRomanPSMT" w:hAnsi="TimesNewRomanPSMT"/>
        </w:rPr>
        <w:t xml:space="preserve">{% endif %} dont le siège est </w:t>
      </w:r>
      <w:bookmarkStart w:id="13" w:name="Siege1"/>
      <w:bookmarkEnd w:id="13"/>
      <w:r>
        <w:rPr>
          <w:rFonts w:cs="TimesNewRomanPSMT" w:ascii="TimesNewRomanPSMT" w:hAnsi="TimesNewRomanPSMT"/>
        </w:rPr>
        <w:t xml:space="preserve">{{ bailleur.adresse </w:t>
      </w:r>
      <w:r>
        <w:rPr>
          <w:rFonts w:cs="TimesNewRomanPSMT" w:ascii="TimesNewRomanPSMT" w:hAnsi="TimesNewRomanPSMT"/>
          <w:lang w:val="fr-FR"/>
        </w:rPr>
        <w:t>}}</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bailleur.code_postal</w:t>
      </w:r>
      <w:r>
        <w:rPr>
          <w:rFonts w:cs="TimesNewRomanPSMT" w:ascii="TimesNewRomanPSMT" w:hAnsi="TimesNewRomanPSMT"/>
          <w:lang w:val="fr-FR"/>
        </w:rPr>
        <w:t xml:space="preserve"> }} {{ </w:t>
      </w:r>
      <w:r>
        <w:rPr>
          <w:rFonts w:cs="TimesNewRomanPSMT" w:ascii="TimesNewRomanPSMT" w:hAnsi="TimesNewRomanPSMT"/>
        </w:rPr>
        <w:t>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d'autre part,</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I.-Dispositions générales.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1er.</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Pr>
          <w:rFonts w:cs="TimesNewRomanPSMT" w:ascii="TimesNewRomanPSMT" w:hAnsi="TimesNewRomanPSMT"/>
        </w:rPr>
        <w:t xml:space="preserve">{{ programme.nom }} de </w:t>
      </w:r>
      <w:bookmarkStart w:id="15" w:name="NbLogement2"/>
      <w:bookmarkEnd w:id="15"/>
      <w:r>
        <w:rPr>
          <w:rFonts w:cs="TimesNewRomanPSMT" w:ascii="TimesNewRomanPSMT" w:hAnsi="TimesNewRomanPSMT"/>
        </w:rPr>
        <w:t>{{ lot.nb_logements }} logement</w:t>
      </w:r>
      <w:r>
        <w:rPr>
          <w:rFonts w:cs="TimesNewRomanPSMT" w:ascii="TimesNewRomanPSMT" w:hAnsi="TimesNewRomanPSMT"/>
          <w:lang w:val="fr-FR"/>
        </w:rPr>
        <w:t>{{lot.nb_logements|pl }}</w:t>
      </w:r>
      <w:r>
        <w:rPr>
          <w:rFonts w:cs="TimesNewRomanPSMT" w:ascii="TimesNewRomanPSMT" w:hAnsi="TimesNewRomanPSMT"/>
        </w:rPr>
        <w:t xml:space="preserve"> </w:t>
      </w:r>
      <w:bookmarkStart w:id="16" w:name="Fi2"/>
      <w:bookmarkEnd w:id="16"/>
      <w:r>
        <w:rPr>
          <w:rFonts w:cs="TimesNewRomanPSMT" w:ascii="TimesNewRomanPSMT" w:hAnsi="TimesNewRomanPSMT"/>
        </w:rPr>
        <w:t xml:space="preserve">{{ lot.financement }} à </w:t>
      </w:r>
      <w:bookmarkStart w:id="17" w:name="Adresse2"/>
      <w:bookmarkEnd w:id="17"/>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18" w:name="CodePostal2"/>
      <w:bookmarkEnd w:id="18"/>
      <w:r>
        <w:rPr>
          <w:rFonts w:cs="TimesNewRomanPSMT" w:ascii="TimesNewRomanPSMT" w:hAnsi="TimesNewRomanPSMT"/>
        </w:rPr>
        <w:t xml:space="preserve">{{ programme.code_postal }}, </w:t>
      </w:r>
      <w:bookmarkStart w:id="19" w:name="Ville2"/>
      <w:bookmarkEnd w:id="19"/>
      <w:r>
        <w:rPr>
          <w:rFonts w:cs="TimesNewRomanPSMT" w:ascii="TimesNewRomanPSMT" w:hAnsi="TimesNewRomanPSMT"/>
        </w:rPr>
        <w:t>{{ programme.ville }} décrite plus précisément dans le document joint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Prise d'effet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ainsi que ses avenants éventuels prennent effet à la date de leur signature.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3.</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Elle expire le </w:t>
      </w:r>
      <w:bookmarkStart w:id="20" w:name="DateExpir1"/>
      <w:bookmarkEnd w:id="20"/>
      <w:r>
        <w:rPr>
          <w:rFonts w:cs="TimesNewRomanPSMT" w:ascii="TimesNewRomanPSMT" w:hAnsi="TimesNewRomanPSMT"/>
        </w:rPr>
        <w:t>{{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i/>
          <w:i/>
          <w:iCs/>
        </w:rPr>
      </w:pPr>
      <w:r>
        <w:rPr>
          <w:rFonts w:cs="TimesNewRomanPSMT" w:ascii="TimesNewRomanPSMT" w:hAnsi="TimesNewRomanPSMT"/>
          <w:i/>
          <w:iCs/>
        </w:rPr>
      </w:r>
    </w:p>
    <w:p>
      <w:pPr>
        <w:pStyle w:val="Normal"/>
        <w:jc w:val="both"/>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6.</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7.</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Mise en gérance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8.</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faisant l'objet de la présente convention sont maintenus à usage locatif jusqu'à la date fixée pour son expiration, sous réserve des dispositions de l'article L. 443-10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1°-Conditions de location.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2°-Ressources.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3°-Mixité sociale.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ascii="TimesNewRomanPSMT" w:hAnsi="TimesNewRomanPSMT"/>
          <w:b/>
        </w:rPr>
        <w:t xml:space="preserve"> </w:t>
      </w:r>
      <w:bookmarkStart w:id="21" w:name="Mix3091"/>
      <w:bookmarkEnd w:id="21"/>
      <w:r>
        <w:rPr>
          <w:rFonts w:cs="TimesNewRomanPSMT" w:ascii="TimesNewRomanPSMT" w:hAnsi="TimesNewRomanPSMT"/>
          <w:b/>
        </w:rPr>
        <w:t xml:space="preserve">{{ mixPLUSsup10_30pc }} </w:t>
      </w:r>
      <w:r>
        <w:rPr>
          <w:rFonts w:cs="TimesNewRomanPSMT" w:ascii="TimesNewRomanPSMT" w:hAnsi="TimesNewRomanPSMT"/>
        </w:rPr>
        <w:t>(4) logement</w:t>
      </w:r>
      <w:r>
        <w:rPr>
          <w:rFonts w:cs="TimesNewRomanPSMT" w:ascii="TimesNewRomanPSMT" w:hAnsi="TimesNewRomanPSMT"/>
          <w:lang w:val="fr-FR"/>
        </w:rPr>
        <w:t>{{</w:t>
      </w:r>
      <w:r>
        <w:rPr>
          <w:rFonts w:cs="TimesNewRomanPSMT" w:ascii="TimesNewRomanPSMT" w:hAnsi="TimesNewRomanPSMT"/>
          <w:bCs/>
        </w:rPr>
        <w:t>mixPLUSsup10_30pc</w:t>
      </w:r>
      <w:r>
        <w:rPr>
          <w:rFonts w:cs="TimesNewRomanPSMT" w:ascii="TimesNewRomanPSMT" w:hAnsi="TimesNewRomanPSMT"/>
          <w:lang w:val="fr-FR"/>
        </w:rPr>
        <w:t>|pl}}</w:t>
      </w:r>
      <w:r>
        <w:rPr>
          <w:rFonts w:cs="TimesNewRomanPSMT" w:ascii="TimesNewRomanPSMT" w:hAnsi="TimesNewRomanPSMT"/>
        </w:rPr>
        <w:t>, doivent être attribués à des ménages dont les ressources n'excèdent pas le plafond fixé au I de l'article D. 331-12 précité pour l'attribution des logements</w:t>
      </w:r>
      <w:r>
        <w:rPr/>
        <w:t xml:space="preserve"> </w:t>
      </w:r>
      <w:r>
        <w:rPr>
          <w:rFonts w:cs="TimesNewRomanPSMT" w:ascii="TimesNewRomanPSMT" w:hAnsi="TimesNewRomanPSMT"/>
        </w:rPr>
        <w:t xml:space="preserve">sociaux. Toutefois, lorsque l'opération ainsi financée comporte moins de 10 logements, au moins 30 % des logements, soit </w:t>
      </w:r>
      <w:bookmarkStart w:id="22" w:name="Mix3092"/>
      <w:bookmarkEnd w:id="22"/>
      <w:r>
        <w:rPr>
          <w:rFonts w:cs="TimesNewRomanPSMT" w:ascii="TimesNewRomanPSMT" w:hAnsi="TimesNewRomanPSMT"/>
          <w:b/>
          <w:bCs/>
        </w:rPr>
        <w:t xml:space="preserve">{{ </w:t>
      </w:r>
      <w:r>
        <w:rPr>
          <w:rFonts w:cs="TimesNewRomanPSMT" w:ascii="TimesNewRomanPSMT" w:hAnsi="TimesNewRomanPSMT"/>
          <w:b/>
        </w:rPr>
        <w:t xml:space="preserve">mixPLUSinf10_30pc </w:t>
      </w:r>
      <w:r>
        <w:rPr>
          <w:rFonts w:cs="TimesNewRomanPSMT" w:ascii="TimesNewRomanPSMT" w:hAnsi="TimesNewRomanPSMT"/>
          <w:b/>
          <w:bCs/>
        </w:rPr>
        <w:t>}}</w:t>
      </w:r>
      <w:r>
        <w:rPr>
          <w:rFonts w:cs="TimesNewRomanPSMT" w:ascii="TimesNewRomanPSMT" w:hAnsi="TimesNewRomanPSMT"/>
        </w:rPr>
        <w:t xml:space="preserve"> 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10_30pc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ascii="TimesNewRomanPSMT" w:hAnsi="TimesNewRomanPSMT"/>
          <w:b/>
        </w:rPr>
        <w:t xml:space="preserve"> </w:t>
      </w:r>
      <w:r>
        <w:rPr>
          <w:rFonts w:cs="TimesNewRomanPSMT" w:ascii="TimesNewRomanPSMT" w:hAnsi="TimesNewRomanPSMT"/>
          <w:b/>
          <w:lang w:val="fr-FR"/>
        </w:rPr>
        <w:t>{{ lot.lgts_mixite_sociale_negocies_display() }}</w:t>
      </w:r>
      <w:r>
        <w:rPr>
          <w:rFonts w:cs="TimesNewRomanPSMT" w:ascii="TimesNewRomanPSMT" w:hAnsi="TimesNewRomanPSMT"/>
          <w:b/>
        </w:rPr>
        <w:t xml:space="preserve"> </w:t>
      </w:r>
      <w:r>
        <w:rPr>
          <w:rFonts w:cs="TimesNewRomanPSMT" w:ascii="TimesNewRomanPSMT" w:hAnsi="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pPr>
      <w:r>
        <w:rPr>
          <w:rFonts w:cs="TimesNewRomanPSMT" w:ascii="TimesNewRomanPSMT" w:hAnsi="TimesNewRomanPSMT"/>
        </w:rPr>
        <w:t>D. 331-12 précité pour l'attribution des logements sociaux, jusqu'à ce que l'organisme établisse que l'engagement est respecté à nouveau.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ascii="TimesNewRomanPSMT" w:hAnsi="TimesNewRomanPSMT"/>
          <w:b/>
        </w:rPr>
        <w:t xml:space="preserve"> </w:t>
      </w:r>
      <w:bookmarkStart w:id="23" w:name="Mix1091"/>
      <w:bookmarkEnd w:id="23"/>
      <w:r>
        <w:rPr>
          <w:rFonts w:cs="TimesNewRomanPSMT" w:ascii="TimesNewRomanPSMT" w:hAnsi="TimesNewRomanPSMT"/>
          <w:b/>
        </w:rPr>
        <w:t xml:space="preserve">{{ mixPLUSinf10_10pc }} </w:t>
      </w:r>
      <w:r>
        <w:rPr>
          <w:rFonts w:cs="TimesNewRomanPSMT" w:ascii="TimesNewRomanPSMT" w:hAnsi="TimesNewRomanPSMT"/>
        </w:rPr>
        <w:t>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w:t>
      </w:r>
      <w:r>
        <w:rPr>
          <w:rFonts w:cs="TimesNewRomanPSMT" w:ascii="TimesNewRomanPSMT" w:hAnsi="TimesNewRomanPSMT"/>
          <w:bCs/>
          <w:lang w:val="fr-FR"/>
        </w:rPr>
        <w:t>1</w:t>
      </w:r>
      <w:r>
        <w:rPr>
          <w:rFonts w:cs="TimesNewRomanPSMT" w:ascii="TimesNewRomanPSMT" w:hAnsi="TimesNewRomanPSMT"/>
          <w:bCs/>
        </w:rPr>
        <w:t>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montant du loyer maximum mentionné à l'article D. 353-16 du code de la construction et de l’habitation est fixé à</w:t>
      </w:r>
      <w:r>
        <w:rPr>
          <w:rFonts w:cs="TimesNewRomanPSMT" w:ascii="TimesNewRomanPSMT" w:hAnsi="TimesNewRomanPSMT"/>
          <w:b/>
        </w:rPr>
        <w:t xml:space="preserve"> </w:t>
      </w:r>
      <w:bookmarkStart w:id="24" w:name="Loyer1"/>
      <w:bookmarkEnd w:id="24"/>
      <w:r>
        <w:rPr>
          <w:rFonts w:cs="TimesNewRomanPSMT" w:ascii="TimesNewRomanPSMT" w:hAnsi="TimesNewRomanPSMT"/>
          <w:b/>
        </w:rPr>
        <w:t>{{ loyer_m2</w:t>
      </w:r>
      <w:r>
        <w:rPr>
          <w:rFonts w:cs="TimesNewRomanPSMT" w:ascii="TimesNewRomanPSMT" w:hAnsi="TimesNewRomanPSMT"/>
          <w:b/>
          <w:bCs/>
          <w:lang w:val="fr-FR"/>
        </w:rPr>
        <w:t>|f</w:t>
      </w:r>
      <w:r>
        <w:rPr>
          <w:rFonts w:cs="TimesNewRomanPSMT" w:ascii="TimesNewRomanPSMT" w:hAnsi="TimesNewRomanPSMT"/>
          <w:b/>
        </w:rPr>
        <w:t xml:space="preserve"> }} € le mètre carré par mois.</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 montant est majoré de 33 % pour les logements qui ont été attribués dans les conditions du b du 3° de l'article 8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loyers maximums sont révisés chaque année, le 1er janvier, dans les conditions prévues à l’article L. 353-9-2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 bis.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NewRomanPSMT" w:hAnsi="TimesNewRomanPSMT"/>
          <w:b/>
          <w:bCs/>
          <w:lang w:val="fr-FR"/>
        </w:rPr>
        <w:t>{{ lot.loyer_derogatoire|f }}</w:t>
      </w:r>
      <w:r>
        <w:rPr>
          <w:rFonts w:cs="TimesNewRomanPSMT" w:ascii="TimesNewRomanPSMT" w:hAnsi="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 ter.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Cette majoration de loyer s'applique pendant une durée de ... mois et concerne ... mètres carrés de logements. Le nombre de mètres carrés peut varier de plus ou moins 20 %.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majoration de loyer prévue aux alinéas précédents est appliquée, les stipulations du 3° de l'article 8 de la présente convention ne s'appliquent pas.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10.</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conventionné, dont la valeur est fixée au mètre carré, ne peut excéder le loyer maximum défini dans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10 bis.</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NewRomanPSMT" w:hAnsi="TimesNewRomanPSMT"/>
        </w:rPr>
        <w:t>.</w:t>
      </w:r>
    </w:p>
    <w:p>
      <w:pPr>
        <w:pStyle w:val="Normal"/>
        <w:jc w:val="both"/>
        <w:rPr/>
      </w:pPr>
      <w:r>
        <w:rPr/>
      </w:r>
    </w:p>
    <w:p>
      <w:pPr>
        <w:pStyle w:val="Normal"/>
        <w:jc w:val="both"/>
        <w:rPr/>
      </w:pPr>
      <w:r>
        <w:rPr>
          <w:rFonts w:cs="TimesNewRomanPSMT" w:ascii="TimesNewRomanPSMT" w:hAnsi="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cs="TimesNewRomanPSMT" w:ascii="TimesNewRomanPSMT" w:hAnsi="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III.-Engagements du bailleur à l'égard des locataires.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11.</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Établissement d'un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Travaux.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pPr>
      <w:r>
        <w:rPr>
          <w:rFonts w:cs="TimesNewRomanPSMT" w:ascii="TimesNewRomanPSMT" w:hAnsi="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 même canton ou dans les cantons limitrophes de ce canton inclus dans la même commune ou dans les communes limitrophes de ce canton, si la commune est divisée en cantons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les autres cas, sur le territoire de la même commune ou d'une commune limitrophe, sans pouvoir être éloigné de plus de cinq kilomètres.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13.</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pPr>
      <w:r>
        <w:rPr>
          <w:rFonts w:cs="TimesNewRomanPSMT" w:ascii="TimesNewRomanPSMT" w:hAnsi="TimesNewRomanPSMT"/>
        </w:rPr>
        <w:t>4 janvier 1955 modifié, par acte extrajudiciaire,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modification ou de résiliation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informe les locataires de toute modification apportée à la convention ayant des incidences sur leurs relations contractuelles.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dans les lieux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16.</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du paiement du loyer.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est payé mensuellement à terme échu.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retard du locataire dans le paiement du loyer et des charges locatives, le bailleur doit prendre toutes dispositions en vue de recouvrer sa créance.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17.</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Dépôt de garantie.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IV.-Dispositions spécifiques au statut de résidence universitaire.</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18.</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stipulations particulières suivantes s’appliquent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Conditions de location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Modalités de fixation et de révision du loyer pratiqué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ne peut donner lieu à révision en cours de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Durée du contrat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Par dérogation à l’article 15 de la présente convention, les locataires ne bénéficient pas du droit au maintien dans les lieux.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 Forfait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cs="TimesNewRomanPSMT" w:ascii="TimesNewRomanPSMT" w:hAnsi="TimesNewRomanPSMT"/>
        </w:rPr>
        <w:t>ne doit pas être manifestement disproportionné au regard des charges dont le locataire ou, le cas échéant, le précédent locataire se serait acquitté.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19.</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Renonciation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V.-Engagements du bailleur à l'égard des organismes chargés de la liquidation et du paiement de l'APL.</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20.</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générales.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une attestation concernant le montant du loyer applicable à chaque logement concerné par la présente convention, à compter du 1er juillet de l’année en cours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Ces transmissions peuvent s’effectuer grâce à un dispositif de collecte dématérialisé.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21.</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en cas d’impayé.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BoldMT" w:ascii="TimesNewRomanPS-BoldMT" w:hAnsi="TimesNewRomanPS-BoldMT"/>
          <w:b/>
        </w:rPr>
        <w:t>VI.-Dispositions relatives à l’application de la convention.</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22.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23.</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Révision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Inexécution de la convention par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En application de l'article L. 353-2 du code de la construction et de l'habitation, des sanctions administratives peuvent être mises en œuvre.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le préfet écarte ces observations, sa décision doit être motivée.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ce cas, il est fait application des dispositions prévues à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Publication.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rFonts w:ascii="TimesNewRomanPSMT" w:hAnsi="TimesNewRomanPSMT" w:cs="TimesNewRomanPSMT"/>
        </w:rPr>
      </w:pPr>
      <w:r>
        <w:rPr>
          <w:rFonts w:cs="TimesNewRomanPSMT" w:ascii="TimesNewRomanPSMT" w:hAnsi="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4F8DC28C">
                <wp:extent cx="5233670" cy="2717800"/>
                <wp:effectExtent l="0" t="0" r="635" b="1905"/>
                <wp:docPr id="1" name="Forme1"/>
                <a:graphic xmlns:a="http://schemas.openxmlformats.org/drawingml/2006/main">
                  <a:graphicData uri="http://schemas.microsoft.com/office/word/2010/wordprocessingShape">
                    <wps:wsp>
                      <wps:cNvSpPr/>
                      <wps:spPr>
                        <a:xfrm>
                          <a:off x="0" y="0"/>
                          <a:ext cx="5232960" cy="271728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15pt;width:412pt;height:213.9pt;mso-wrap-style:square;v-text-anchor:top;mso-position-vertical:top" wp14:anchorId="4F8DC28C">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des annexes I et II à l'article D. 353-1 du code de la construction et de l’habitation lorsque le loyer maximum des logements est exprimé en surface utile.</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 xml:space="preserve">Description de l'opération </w:t>
      </w:r>
      <w:bookmarkStart w:id="25" w:name="NomProgramme3"/>
      <w:bookmarkEnd w:id="25"/>
      <w:r>
        <w:rPr>
          <w:rFonts w:cs="TimesNewRomanPSMT" w:ascii="TimesNewRomanPSMT" w:hAnsi="TimesNewRomanPSMT"/>
        </w:rPr>
        <w:t xml:space="preserve">{{ programme.nom }}, pour </w:t>
      </w:r>
      <w:bookmarkStart w:id="26" w:name="NbLogement3"/>
      <w:bookmarkEnd w:id="26"/>
      <w:r>
        <w:rPr>
          <w:rFonts w:cs="TimesNewRomanPSMT" w:ascii="TimesNewRomanPSMT" w:hAnsi="TimesNewRomanPSMT"/>
        </w:rPr>
        <w:t xml:space="preserve">{{ lot.nb_logements }} logement{{lot.nb_logements|pl }} </w:t>
      </w:r>
      <w:bookmarkStart w:id="27" w:name="Fi3"/>
      <w:bookmarkEnd w:id="27"/>
      <w:r>
        <w:rPr>
          <w:rFonts w:cs="TimesNewRomanPSMT" w:ascii="TimesNewRomanPSMT" w:hAnsi="TimesNewRomanPSMT"/>
        </w:rPr>
        <w:t xml:space="preserve">{{ lot.financement }}, </w:t>
      </w:r>
      <w:bookmarkStart w:id="28" w:name="Adresse3"/>
      <w:bookmarkEnd w:id="28"/>
      <w:r>
        <w:rPr>
          <w:rFonts w:cs="TimesNewRomanPSMT" w:ascii="TimesNewRomanPSMT" w:hAnsi="TimesNewRomanPSMT"/>
        </w:rPr>
        <w:t xml:space="preserve">{{ programme.adresse|inline_text_multiline }} à </w:t>
      </w:r>
      <w:bookmarkStart w:id="29" w:name="CodePostal3"/>
      <w:bookmarkEnd w:id="29"/>
      <w:r>
        <w:rPr>
          <w:rFonts w:cs="TimesNewRomanPSMT" w:ascii="TimesNewRomanPSMT" w:hAnsi="TimesNewRomanPSMT"/>
        </w:rPr>
        <w:t xml:space="preserve">{{ programme.code_postal }}, </w:t>
      </w:r>
      <w:bookmarkStart w:id="30" w:name="Ville3"/>
      <w:bookmarkEnd w:id="30"/>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Désignation du ou des immeubles (7).</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31" w:name="S3"/>
      <w:bookmarkEnd w:id="31"/>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bookmarkStart w:id="32" w:name="S31"/>
      <w:bookmarkEnd w:id="32"/>
      <w:r>
        <w:rPr>
          <w:rFonts w:cs="TimesNewRomanPSMT" w:ascii="TimesNewRomanPSMT" w:hAnsi="TimesNewRomanPSMT"/>
        </w:rPr>
        <w:t>{% for image in effet_relatif_images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33" w:name="S4"/>
      <w:bookmarkEnd w:id="33"/>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34" w:name="S6"/>
      <w:bookmarkStart w:id="35" w:name="S6"/>
      <w:bookmarkEnd w:id="35"/>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rHeight w:val="279" w:hRule="atLeast"/>
        </w:trPr>
        <w:tc>
          <w:tcPr>
            <w:tcW w:w="1527"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 xml:space="preserve">Numéro de lot des logements </w:t>
            </w:r>
          </w:p>
          <w:p>
            <w:pPr>
              <w:pStyle w:val="Normal"/>
              <w:widowControl w:val="false"/>
              <w:suppressAutoHyphens w:val="true"/>
              <w:spacing w:before="0" w:after="0"/>
              <w:jc w:val="left"/>
              <w:rPr>
                <w:b w:val="false"/>
                <w:b w:val="false"/>
                <w:bCs w:val="false"/>
                <w:sz w:val="16"/>
                <w:szCs w:val="16"/>
                <w:lang w:val="en-US"/>
              </w:rPr>
            </w:pPr>
            <w:r>
              <w:rPr>
                <w:rFonts w:eastAsia="Times New Roman" w:cs="Times New Roman"/>
                <w:b w:val="false"/>
                <w:bCs w:val="false"/>
                <w:kern w:val="0"/>
                <w:sz w:val="16"/>
                <w:szCs w:val="16"/>
                <w:lang w:val="en-US" w:eastAsia="en-GB" w:bidi="ar-SA"/>
              </w:rPr>
              <w:t>(tel que inscrit dans les actes de vente/propriété…)</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i.numero_lot}}</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36" w:name="S7"/>
      <w:bookmarkStart w:id="37" w:name="S7"/>
      <w:bookmarkEnd w:id="37"/>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38" w:name="NbLogement4"/>
      <w:bookmarkStart w:id="39" w:name="AutreType"/>
      <w:bookmarkStart w:id="40" w:name="Type2"/>
      <w:bookmarkEnd w:id="38"/>
      <w:bookmarkEnd w:id="39"/>
      <w:bookmarkEnd w:id="40"/>
      <w:r>
        <w:rPr/>
        <w:t>{{ lot.nb_logements }} logement</w:t>
      </w:r>
      <w:r>
        <w:rPr>
          <w:rFonts w:cs="TimesNewRomanPSMT" w:ascii="TimesNewRomanPSMT" w:hAnsi="TimesNewRomanPSMT"/>
        </w:rPr>
        <w:t>{{lot.nb_logements|pl</w:t>
      </w:r>
      <w:r>
        <w:rPr/>
        <w:t xml:space="preserve"> }}{{ lot.get_type_habitat_advanced_display(lot.nb_logements) }}</w:t>
      </w:r>
      <w:bookmarkStart w:id="41" w:name="Fi4"/>
      <w:bookmarkEnd w:id="41"/>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Composition de l'opération.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pPr>
      <w:r>
        <w:rPr>
          <w:rFonts w:cs="TimesNewRomanPSMT" w:ascii="TimesNewRomanPSMT" w:hAnsi="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premier alinéa du a du 3° de l'article 8 de la présente convention : </w:t>
      </w:r>
      <w:bookmarkStart w:id="42" w:name="Mix30111"/>
      <w:bookmarkEnd w:id="42"/>
      <w:r>
        <w:rPr>
          <w:rFonts w:cs="TimesNewRomanPSMT" w:ascii="TimesNewRomanPSMT" w:hAnsi="TimesNewRomanPSMT"/>
          <w:b/>
        </w:rPr>
        <w:t>{{ mixPLUS_30pc }}</w:t>
      </w:r>
      <w:r>
        <w:rPr>
          <w:rFonts w:cs="TimesNewRomanPSMT" w:ascii="TimesNewRomanPSMT" w:hAnsi="TimesNewRomanPSMT"/>
        </w:rPr>
        <w:t xml:space="preserve"> logement{{</w:t>
      </w:r>
      <w:r>
        <w:rPr>
          <w:rFonts w:cs="TimesNewRomanPSMT" w:ascii="TimesNewRomanPSMT" w:hAnsi="TimesNewRomanPSMT"/>
          <w:bCs/>
        </w:rPr>
        <w:t>mixPLUS</w:t>
      </w:r>
      <w:r>
        <w:rPr>
          <w:rFonts w:cs="TimesNewRomanPSMT" w:ascii="TimesNewRomanPSMT" w:hAnsi="TimesNewRomanPSMT"/>
          <w:bCs/>
          <w:lang w:val="fr-FR"/>
        </w:rPr>
        <w:t>_</w:t>
      </w:r>
      <w:r>
        <w:rPr>
          <w:rFonts w:cs="TimesNewRomanPSMT" w:ascii="TimesNewRomanPSMT" w:hAnsi="TimesNewRomanPSMT"/>
          <w:bCs/>
        </w:rPr>
        <w:t>30pc</w:t>
      </w:r>
      <w:r>
        <w:rPr>
          <w:rFonts w:cs="TimesNewRomanPSMT" w:ascii="TimesNewRomanPSMT" w:hAnsi="TimesNewRomanPSMT"/>
          <w:lang w:val="fr-FR"/>
        </w:rPr>
        <w:t>|pl</w:t>
      </w:r>
      <w:r>
        <w:rPr/>
        <w:t xml:space="preserve">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deuxième alinéa du a du 3° de l'article 8 de la présente convention : </w:t>
      </w:r>
      <w:bookmarkStart w:id="43" w:name="Mix30112"/>
      <w:bookmarkEnd w:id="43"/>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4" w:name="Mix1092"/>
      <w:bookmarkEnd w:id="44"/>
      <w:r>
        <w:rPr>
          <w:rFonts w:cs="TimesNewRomanPSMT" w:ascii="TimesNewRomanPSMT" w:hAnsi="TimesNewRomanPSMT"/>
          <w:b/>
          <w:bCs/>
        </w:rPr>
        <w:t>{{ mixPLUS_10pc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2. Surface habitable totale (art. R. 111-2 du code de la construction et de l’habitation) : </w:t>
      </w:r>
      <w:bookmarkStart w:id="45" w:name="SH"/>
      <w:bookmarkEnd w:id="45"/>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46" w:name="SA"/>
      <w:bookmarkEnd w:id="46"/>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7" w:name="__Fieldmark__14376_2465517801"/>
      <w:bookmarkStart w:id="48" w:name="__Fieldmark__14376_2465517801"/>
      <w:bookmarkEnd w:id="48"/>
      <w:r>
        <w:rPr>
          <w:rFonts w:ascii="TimesNewRomanPSMT" w:hAnsi="TimesNewRomanPSMT"/>
          <w:sz w:val="16"/>
          <w:szCs w:val="16"/>
        </w:rPr>
      </w:r>
      <w:r>
        <w:rPr>
          <w:sz w:val="16"/>
          <w:szCs w:val="16"/>
          <w:rFonts w:ascii="TimesNewRomanPSMT" w:hAnsi="TimesNewRomanPSMT"/>
        </w:rPr>
        <w:fldChar w:fldCharType="end"/>
      </w:r>
      <w:bookmarkStart w:id="49" w:name="__Fieldmark__5056_816879668"/>
      <w:bookmarkStart w:id="50" w:name="__Fieldmark__6820_2465517801"/>
      <w:bookmarkEnd w:id="49"/>
      <w:bookmarkEnd w:id="50"/>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1" w:name="__Fieldmark__14392_2465517801"/>
      <w:bookmarkStart w:id="52" w:name="__Fieldmark__14392_2465517801"/>
      <w:bookmarkEnd w:id="52"/>
      <w:r>
        <w:rPr>
          <w:rFonts w:ascii="TimesNewRomanPSMT" w:hAnsi="TimesNewRomanPSMT"/>
          <w:sz w:val="16"/>
          <w:szCs w:val="16"/>
        </w:rPr>
      </w:r>
      <w:r>
        <w:rPr>
          <w:sz w:val="16"/>
          <w:szCs w:val="16"/>
          <w:rFonts w:ascii="TimesNewRomanPSMT" w:hAnsi="TimesNewRomanPSMT"/>
        </w:rPr>
        <w:fldChar w:fldCharType="end"/>
      </w:r>
      <w:bookmarkStart w:id="53" w:name="__Fieldmark__5070_816879668"/>
      <w:bookmarkStart w:id="54" w:name="__Fieldmark__6833_2465517801"/>
      <w:bookmarkEnd w:id="53"/>
      <w:bookmarkEnd w:id="54"/>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5" w:name="__Fieldmark__14412_2465517801"/>
      <w:bookmarkStart w:id="56" w:name="__Fieldmark__14412_2465517801"/>
      <w:bookmarkEnd w:id="56"/>
      <w:r>
        <w:rPr>
          <w:rFonts w:ascii="TimesNewRomanPSMT" w:hAnsi="TimesNewRomanPSMT"/>
          <w:sz w:val="16"/>
          <w:szCs w:val="16"/>
        </w:rPr>
      </w:r>
      <w:r>
        <w:rPr>
          <w:sz w:val="16"/>
          <w:szCs w:val="16"/>
          <w:rFonts w:ascii="TimesNewRomanPSMT" w:hAnsi="TimesNewRomanPSMT"/>
        </w:rPr>
        <w:fldChar w:fldCharType="end"/>
      </w:r>
      <w:bookmarkStart w:id="57" w:name="__Fieldmark__5084_816879668"/>
      <w:bookmarkStart w:id="58" w:name="__Fieldmark__6850_2465517801"/>
      <w:bookmarkEnd w:id="57"/>
      <w:bookmarkEnd w:id="58"/>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9" w:name="__Fieldmark__14428_2465517801"/>
      <w:bookmarkStart w:id="60" w:name="__Fieldmark__14428_2465517801"/>
      <w:bookmarkEnd w:id="60"/>
      <w:r>
        <w:rPr>
          <w:rFonts w:ascii="TimesNewRomanPSMT" w:hAnsi="TimesNewRomanPSMT"/>
          <w:sz w:val="16"/>
          <w:szCs w:val="16"/>
        </w:rPr>
      </w:r>
      <w:r>
        <w:rPr>
          <w:sz w:val="16"/>
          <w:szCs w:val="16"/>
          <w:rFonts w:ascii="TimesNewRomanPSMT" w:hAnsi="TimesNewRomanPSMT"/>
        </w:rPr>
        <w:fldChar w:fldCharType="end"/>
      </w:r>
      <w:bookmarkStart w:id="61" w:name="__Fieldmark__5097_816879668"/>
      <w:bookmarkStart w:id="62" w:name="__Fieldmark__6863_2465517801"/>
      <w:bookmarkEnd w:id="61"/>
      <w:bookmarkEnd w:id="62"/>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3" w:name="__Fieldmark__14442_2465517801"/>
      <w:bookmarkStart w:id="64" w:name="__Fieldmark__14442_2465517801"/>
      <w:bookmarkEnd w:id="64"/>
      <w:r>
        <w:rPr>
          <w:rFonts w:ascii="TimesNewRomanPSMT" w:hAnsi="TimesNewRomanPSMT"/>
          <w:sz w:val="16"/>
          <w:szCs w:val="16"/>
        </w:rPr>
      </w:r>
      <w:r>
        <w:rPr>
          <w:sz w:val="16"/>
          <w:szCs w:val="16"/>
          <w:rFonts w:ascii="TimesNewRomanPSMT" w:hAnsi="TimesNewRomanPSMT"/>
        </w:rPr>
        <w:fldChar w:fldCharType="end"/>
      </w:r>
      <w:bookmarkStart w:id="65" w:name="__Fieldmark__5110_816879668"/>
      <w:bookmarkStart w:id="66" w:name="__Fieldmark__6874_2465517801"/>
      <w:bookmarkEnd w:id="65"/>
      <w:bookmarkEnd w:id="66"/>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7" w:name="__Fieldmark__14460_2465517801"/>
      <w:bookmarkStart w:id="68" w:name="__Fieldmark__14460_2465517801"/>
      <w:bookmarkEnd w:id="68"/>
      <w:r>
        <w:rPr>
          <w:rFonts w:ascii="TimesNewRomanPSMT" w:hAnsi="TimesNewRomanPSMT"/>
          <w:sz w:val="16"/>
          <w:szCs w:val="16"/>
        </w:rPr>
      </w:r>
      <w:r>
        <w:rPr>
          <w:sz w:val="16"/>
          <w:szCs w:val="16"/>
          <w:rFonts w:ascii="TimesNewRomanPSMT" w:hAnsi="TimesNewRomanPSMT"/>
        </w:rPr>
        <w:fldChar w:fldCharType="end"/>
      </w:r>
      <w:bookmarkStart w:id="69" w:name="__Fieldmark__5123_816879668"/>
      <w:bookmarkStart w:id="70" w:name="__Fieldmark__6889_2465517801"/>
      <w:bookmarkEnd w:id="69"/>
      <w:bookmarkEnd w:id="70"/>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1" w:name="__Fieldmark__14480_2465517801"/>
      <w:bookmarkStart w:id="72" w:name="__Fieldmark__14480_2465517801"/>
      <w:bookmarkEnd w:id="72"/>
      <w:r>
        <w:rPr>
          <w:rFonts w:ascii="TimesNewRomanPSMT" w:hAnsi="TimesNewRomanPSMT"/>
          <w:sz w:val="16"/>
          <w:szCs w:val="16"/>
        </w:rPr>
      </w:r>
      <w:r>
        <w:rPr>
          <w:sz w:val="16"/>
          <w:szCs w:val="16"/>
          <w:rFonts w:ascii="TimesNewRomanPSMT" w:hAnsi="TimesNewRomanPSMT"/>
        </w:rPr>
        <w:fldChar w:fldCharType="end"/>
      </w:r>
      <w:bookmarkStart w:id="73" w:name="__Fieldmark__5137_816879668"/>
      <w:bookmarkStart w:id="74" w:name="__Fieldmark__6906_2465517801"/>
      <w:bookmarkEnd w:id="73"/>
      <w:bookmarkEnd w:id="74"/>
      <w:r>
        <w:rPr>
          <w:rFonts w:cs="TimesNewRomanPSMT" w:ascii="TimesNewRomanPSMT" w:hAnsi="TimesNewRomanPSMT"/>
          <w:sz w:val="16"/>
          <w:szCs w:val="16"/>
        </w:rPr>
        <w:t xml:space="preserve"> </w:t>
      </w:r>
      <w:r>
        <w:rPr>
          <w:rFonts w:cs="TimesNewRomanPSMT" w:ascii="TimesNewRomanPSMT" w:hAnsi="TimesNewRomanPSMT"/>
          <w:lang w:val="en-US"/>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en-US"/>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5" w:name="__Fieldmark__14500_2465517801"/>
      <w:bookmarkStart w:id="76" w:name="__Fieldmark__14500_2465517801"/>
      <w:bookmarkEnd w:id="76"/>
      <w:r>
        <w:rPr>
          <w:rFonts w:ascii="TimesNewRomanPSMT" w:hAnsi="TimesNewRomanPSMT"/>
          <w:sz w:val="16"/>
          <w:szCs w:val="16"/>
        </w:rPr>
      </w:r>
      <w:r>
        <w:rPr>
          <w:sz w:val="16"/>
          <w:szCs w:val="16"/>
          <w:rFonts w:ascii="TimesNewRomanPSMT" w:hAnsi="TimesNewRomanPSMT"/>
        </w:rPr>
        <w:fldChar w:fldCharType="end"/>
      </w:r>
      <w:bookmarkStart w:id="77" w:name="__Fieldmark__5151_816879668"/>
      <w:bookmarkStart w:id="78" w:name="__Fieldmark__6923_2465517801"/>
      <w:bookmarkEnd w:id="77"/>
      <w:bookmarkEnd w:id="78"/>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9" w:name="__Fieldmark__14520_2465517801"/>
      <w:bookmarkStart w:id="80" w:name="__Fieldmark__14520_2465517801"/>
      <w:bookmarkEnd w:id="80"/>
      <w:r>
        <w:rPr>
          <w:rFonts w:ascii="TimesNewRomanPSMT" w:hAnsi="TimesNewRomanPSMT"/>
          <w:sz w:val="16"/>
          <w:szCs w:val="16"/>
        </w:rPr>
      </w:r>
      <w:r>
        <w:rPr>
          <w:sz w:val="16"/>
          <w:szCs w:val="16"/>
          <w:rFonts w:ascii="TimesNewRomanPSMT" w:hAnsi="TimesNewRomanPSMT"/>
        </w:rPr>
        <w:fldChar w:fldCharType="end"/>
      </w:r>
      <w:bookmarkStart w:id="81" w:name="__Fieldmark__5164_816879668"/>
      <w:bookmarkStart w:id="82" w:name="__Fieldmark__6940_2465517801"/>
      <w:bookmarkEnd w:id="81"/>
      <w:bookmarkEnd w:id="82"/>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83" w:name="__Fieldmark__14534_2465517801"/>
      <w:bookmarkStart w:id="84" w:name="__Fieldmark__14534_2465517801"/>
      <w:bookmarkEnd w:id="84"/>
      <w:r>
        <w:rPr>
          <w:rFonts w:ascii="TimesNewRomanPSMT" w:hAnsi="TimesNewRomanPSMT"/>
          <w:sz w:val="16"/>
          <w:szCs w:val="16"/>
        </w:rPr>
      </w:r>
      <w:r>
        <w:rPr>
          <w:sz w:val="16"/>
          <w:szCs w:val="16"/>
          <w:rFonts w:ascii="TimesNewRomanPSMT" w:hAnsi="TimesNewRomanPSMT"/>
        </w:rPr>
        <w:fldChar w:fldCharType="end"/>
      </w:r>
      <w:bookmarkStart w:id="85" w:name="__Fieldmark__5177_816879668"/>
      <w:bookmarkStart w:id="86" w:name="__Fieldmark__6951_2465517801"/>
      <w:bookmarkEnd w:id="85"/>
      <w:bookmarkEnd w:id="86"/>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87" w:name="__Fieldmark__14554_2465517801"/>
      <w:bookmarkStart w:id="88" w:name="__Fieldmark__14554_2465517801"/>
      <w:bookmarkEnd w:id="88"/>
      <w:r>
        <w:rPr>
          <w:rFonts w:ascii="TimesNewRomanPSMT" w:hAnsi="TimesNewRomanPSMT"/>
          <w:sz w:val="16"/>
          <w:szCs w:val="16"/>
        </w:rPr>
      </w:r>
      <w:r>
        <w:rPr>
          <w:sz w:val="16"/>
          <w:szCs w:val="16"/>
          <w:rFonts w:ascii="TimesNewRomanPSMT" w:hAnsi="TimesNewRomanPSMT"/>
        </w:rPr>
        <w:fldChar w:fldCharType="end"/>
      </w:r>
      <w:bookmarkStart w:id="89" w:name="__Fieldmark__5190_816879668"/>
      <w:bookmarkStart w:id="90" w:name="__Fieldmark__6968_2465517801"/>
      <w:bookmarkEnd w:id="89"/>
      <w:bookmarkEnd w:id="90"/>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lang w:val="fr-FR"/>
        </w:rPr>
      </w:pPr>
      <w:r>
        <w:rPr>
          <w:rFonts w:cs="Open Sans" w:ascii="Open Sans" w:hAnsi="Open Sans"/>
          <w:color w:val="3F4350"/>
          <w:sz w:val="20"/>
          <w:szCs w:val="20"/>
          <w:lang w:val="fr-FR"/>
        </w:rPr>
        <w:tab/>
      </w:r>
    </w:p>
    <w:p>
      <w:pPr>
        <w:pStyle w:val="Normal"/>
        <w:jc w:val="both"/>
        <w:rPr/>
      </w:pPr>
      <w:r>
        <w:rPr>
          <w:rFonts w:cs="TimesNewRomanPSMT" w:ascii="TimesNewRomanPSMT" w:hAnsi="TimesNewRomanPSMT"/>
        </w:rPr>
        <w:t>3 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91" w:name="SU"/>
      <w:bookmarkEnd w:id="91"/>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92" w:name="S1"/>
      <w:bookmarkEnd w:id="92"/>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1136"/>
        <w:gridCol w:w="849"/>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5"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val="false"/>
              <w:suppressAutoHyphens w:val="true"/>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jc w:val="both"/>
        <w:rPr>
          <w:rFonts w:ascii="TimesNewRomanPSMT" w:hAnsi="TimesNewRomanPSMT" w:cs="TimesNewRomanPSMT"/>
          <w:sz w:val="20"/>
        </w:rPr>
      </w:pPr>
      <w:r>
        <w:rPr>
          <w:rFonts w:cs="TimesNewRomanPSMT" w:ascii="TimesNewRomanPSMT" w:hAnsi="TimesNewRomanPSMT"/>
          <w:lang w:eastAsia="fr-FR"/>
        </w:rPr>
        <w:t xml:space="preserve">* </w:t>
      </w:r>
      <w:r>
        <w:rPr>
          <w:rFonts w:cs="TimesNewRomanPSMT" w:ascii="TimesNewRomanPSMT" w:hAnsi="TimesNewRomanPSMT"/>
          <w:sz w:val="20"/>
          <w:lang w:eastAsia="fr-FR"/>
        </w:rPr>
        <w:t>La majoration prévue à l’article 9 de la convention est susceptible de s’appliquer à ces loyers.</w:t>
      </w:r>
    </w:p>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93" w:name="S10"/>
      <w:bookmarkStart w:id="94" w:name="S9"/>
      <w:bookmarkEnd w:id="93"/>
      <w:bookmarkEnd w:id="94"/>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95" w:name="Locaux"/>
      <w:bookmarkEnd w:id="95"/>
      <w:r>
        <w:rPr>
          <w:rFonts w:cs="TimesNewRomanPSMT" w:ascii="TimesNewRomanPSMT" w:hAnsi="TimesNewRomanPSMT"/>
        </w:rPr>
        <w:t xml:space="preserve">Locaux commerciaux (nombre) :  </w:t>
      </w:r>
      <w:bookmarkStart w:id="96" w:name="Commerce"/>
      <w:bookmarkEnd w:id="96"/>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97" w:name="Bureau"/>
      <w:bookmarkEnd w:id="97"/>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98" w:name="Autre"/>
      <w:bookmarkEnd w:id="98"/>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99" w:name="Vendeur"/>
      <w:bookmarkEnd w:id="99"/>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100" w:name="Acquereur"/>
      <w:bookmarkEnd w:id="100"/>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101" w:name="ActeNotaire"/>
      <w:bookmarkEnd w:id="101"/>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102" w:name="Notaire"/>
      <w:bookmarkEnd w:id="102"/>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103" w:name="Refpublic"/>
      <w:bookmarkEnd w:id="103"/>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5°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5.1. Permis de construire : </w:t>
      </w:r>
      <w:bookmarkStart w:id="104" w:name="PC"/>
      <w:bookmarkEnd w:id="104"/>
      <w:r>
        <w:rPr>
          <w:rFonts w:cs="TimesNewRomanPSMT" w:ascii="TimesNewRomanPSMT" w:hAnsi="TimesNewRomanPSMT"/>
        </w:rPr>
        <w:t>{{ programme.permis_construire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5.2. Date prévisible ou effective d'achèvement des travaux de construction ou d'amélioration : {{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5.3. Date d'achat : </w:t>
      </w:r>
      <w:bookmarkStart w:id="105" w:name="Achat"/>
      <w:bookmarkEnd w:id="105"/>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5.4. Modalités de financement.</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Numéro : {{ p.n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Date d’octroi : {{ p.do|sd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Durée: {{ p.d }} an{{ p.d|pl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Montant : {{ p.m|f }}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p.p_full() }}</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t>{% endif %}</w:t>
      </w:r>
    </w:p>
    <w:p>
      <w:pPr>
        <w:pStyle w:val="Normal"/>
        <w:jc w:val="both"/>
        <w:rPr/>
      </w:pPr>
      <w:bookmarkStart w:id="106" w:name="Etat"/>
      <w:bookmarkEnd w:id="106"/>
      <w:r>
        <w:rPr>
          <w:rFonts w:cs="TimesNewRomanPSMT" w:ascii="TimesNewRomanPSMT" w:hAnsi="TimesNewRomanPSMT"/>
        </w:rPr>
        <w:t>{% if autres_prets.count() %} Financement complémentaire :</w:t>
      </w:r>
    </w:p>
    <w:p>
      <w:pPr>
        <w:pStyle w:val="Normal"/>
        <w:jc w:val="both"/>
        <w:rPr>
          <w:rFonts w:ascii="TimesNewRomanPSMT" w:hAnsi="TimesNewRomanPSMT" w:cs="TimesNewRomanPSMT"/>
          <w:lang w:val="en-US"/>
        </w:rPr>
      </w:pPr>
      <w:r>
        <w:rPr>
          <w:rFonts w:cs="TimesNewRomanPSMT" w:ascii="TimesNewRomanPSMT" w:hAnsi="TimesNewRomanPSMT"/>
        </w:rPr>
        <w:t xml:space="preserve">{% for p in </w:t>
      </w:r>
      <w:r>
        <w:rPr>
          <w:rFonts w:cs="TimesNewRomanPSMT" w:ascii="TimesNewRomanPSMT" w:hAnsi="TimesNewRomanPSMT"/>
          <w:lang w:val="en-US"/>
        </w:rPr>
        <w:t>autres_</w:t>
      </w:r>
      <w:r>
        <w:rPr>
          <w:rFonts w:cs="TimesNewRomanPSMT" w:ascii="TimesNewRomanPSMT" w:hAnsi="TimesNewRomanPSMT"/>
        </w:rPr>
        <w:t>prets %}</w:t>
      </w:r>
      <w:r>
        <w:rPr>
          <w:rFonts w:cs="TimesNewRomanPSMT" w:ascii="TimesNewRomanPSMT" w:hAnsi="TimesNewRomanPSMT"/>
          <w:lang w:val="en-US"/>
        </w:rPr>
        <w:t>{% if p.n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Numéro : {{ p.n }}</w:t>
      </w:r>
      <w:r>
        <w:rPr/>
        <w:t>{% endif %}</w:t>
      </w:r>
      <w:r>
        <w:rPr>
          <w:rFonts w:cs="TimesNewRomanPSMT" w:ascii="TimesNewRomanPSMT" w:hAnsi="TimesNewRomanPSMT"/>
          <w:lang w:val="en-US"/>
        </w:rPr>
        <w:t>{% if p.do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Date d’octroi : {{ p.do|sd }}</w:t>
      </w:r>
      <w:r>
        <w:rPr/>
        <w:t>{% endif %}</w:t>
      </w:r>
      <w:r>
        <w:rPr>
          <w:rFonts w:cs="TimesNewRomanPSMT" w:ascii="TimesNewRomanPSMT" w:hAnsi="TimesNewRomanPSMT"/>
          <w:lang w:val="en-US"/>
        </w:rPr>
        <w:t>{% if p.d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Durée : {{ p.d }} an{{ p.d|pl }}</w:t>
      </w:r>
      <w:r>
        <w:rPr/>
        <w:t>{% endif %}</w:t>
      </w:r>
      <w:r>
        <w:rPr>
          <w:rFonts w:cs="TimesNewRomanPSMT" w:ascii="TimesNewRomanPSMT" w:hAnsi="TimesNewRomanPSMT"/>
          <w:lang w:val="en-US"/>
        </w:rPr>
        <w:t>{% if p.m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Montant : {{ p.m|f }} €</w:t>
      </w:r>
      <w:r>
        <w:rPr/>
        <w:t>{% endif %}</w:t>
      </w:r>
      <w:r>
        <w:rPr>
          <w:rFonts w:cs="TimesNewRomanPSMT" w:ascii="TimesNewRomanPSMT" w:hAnsi="TimesNewRomanPSMT"/>
          <w:lang w:val="en-US"/>
        </w:rPr>
        <w:t>{% if p.preteur_display()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p.preteur_display() }}</w:t>
      </w:r>
      <w:r>
        <w:rPr/>
        <w:t>{% endif %}</w:t>
      </w:r>
    </w:p>
    <w:p>
      <w:pPr>
        <w:pStyle w:val="Normal"/>
        <w:jc w:val="both"/>
        <w:rPr>
          <w:rFonts w:ascii="TimesNewRomanPSMT" w:hAnsi="TimesNewRomanPSMT" w:cs="TimesNewRomanPSMT"/>
          <w:lang w:val="fr-FR"/>
        </w:rPr>
      </w:pPr>
      <w:r>
        <w:rPr>
          <w:rFonts w:cs="TimesNewRomanPSMT" w:ascii="TimesNewRomanPSMT" w:hAnsi="TimesNewRomanPSMT"/>
          <w:lang w:val="fr-FR"/>
        </w:rPr>
        <w:t>{% endfor %}</w:t>
      </w:r>
      <w:r>
        <w:rPr/>
        <w:t>{% endif %}</w:t>
      </w:r>
    </w:p>
    <w:p>
      <w:pPr>
        <w:pStyle w:val="Normal"/>
        <w:jc w:val="both"/>
        <w:rPr>
          <w:rFonts w:ascii="TimesNewRomanPSMT" w:hAnsi="TimesNewRomanPSMT" w:cs="TimesNewRomanPSMT"/>
        </w:rPr>
      </w:pPr>
      <w:bookmarkStart w:id="107" w:name="Fondpropre"/>
      <w:bookmarkEnd w:id="107"/>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endif %}Date d'achèvement de la construction ou certificat de conformité : </w:t>
      </w:r>
      <w:bookmarkStart w:id="108" w:name="Construc"/>
      <w:bookmarkEnd w:id="108"/>
      <w:r>
        <w:rPr>
          <w:rFonts w:cs="TimesNewRomanPSMT" w:ascii="TimesNewRomanPSMT" w:hAnsi="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1905" distL="0" distR="635" wp14:anchorId="146E7DB9">
                <wp:extent cx="5233670" cy="2717800"/>
                <wp:effectExtent l="0" t="0" r="635" b="1905"/>
                <wp:docPr id="3" name="Forme2"/>
                <a:graphic xmlns:a="http://schemas.openxmlformats.org/drawingml/2006/main">
                  <a:graphicData uri="http://schemas.microsoft.com/office/word/2010/wordprocessingShape">
                    <wps:wsp>
                      <wps:cNvSpPr/>
                      <wps:spPr>
                        <a:xfrm>
                          <a:off x="0" y="0"/>
                          <a:ext cx="5232960" cy="271728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15pt;width:412pt;height:213.9pt;mso-wrap-style:square;v-text-anchor:top;mso-position-vertical:top" wp14:anchorId="146E7DB9">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v:textbox>
                <w10:wrap type="square"/>
              </v:rect>
            </w:pict>
          </mc:Fallback>
        </mc:AlternateContent>
      </w:r>
    </w:p>
    <w:p>
      <w:pPr>
        <w:pStyle w:val="Normal"/>
        <w:rPr/>
      </w:pPr>
      <w:r>
        <w:rPr/>
      </w:r>
    </w:p>
    <w:p>
      <w:pPr>
        <w:pStyle w:val="Normal"/>
        <w:rPr/>
      </w:pPr>
      <w:r>
        <w:rPr>
          <w:rFonts w:cs="TimesNewRomanPSMT" w:ascii="TimesNewRomanPSMT" w:hAnsi="TimesNewRomanPSMT"/>
          <w:sz w:val="16"/>
          <w:szCs w:val="16"/>
        </w:rPr>
        <w:t>(1) Nom de la personne morale identifiée conformément aux dispositions de l’article 6 du décret n° 55-22 du 4 janvier 1955 modifié portant réforme de la publicité foncière.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(3)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(4) Indiquer le plus petit nombre entier per mettant de respecter l'engagement de 30 %.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(5) Indiquer un nombre.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(6) Le bailleur doit avoir, préalablement à sa signature, paraphé chacune des pages.</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ind w:right="283" w:hanging="0"/>
        <w:rPr/>
      </w:pPr>
      <w:r>
        <w:rPr>
          <w:rFonts w:cs="TimesNewRomanPSMT" w:ascii="TimesNewRomanPSMT" w:hAnsi="TimesNewRomanPSMT"/>
          <w:color w:val="000000"/>
          <w:sz w:val="16"/>
          <w:szCs w:val="16"/>
        </w:rPr>
        <w:t>(7) Etablie conformément à l'article 7 du décret n° 55-22 du 4 janvier 1955 modifié portant réforme de la publicité foncière.</w:t>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21</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109" w:name="Siret2"/>
      <w:bookmarkEnd w:id="109"/>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Open Sans">
    <w:charset w:val="00"/>
    <w:family w:val="roman"/>
    <w:pitch w:val="variable"/>
  </w:font>
  <w:font w:name="Calibri">
    <w:charset w:val="00"/>
    <w:family w:val="auto"/>
    <w:pitch w:val="default"/>
  </w:font>
  <w:font w:name="TimesNewRomanPSM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0" allowOverlap="1" relativeHeight="50" wp14:anchorId="1C468005">
              <wp:simplePos x="0" y="0"/>
              <wp:positionH relativeFrom="page">
                <wp:posOffset>6844665</wp:posOffset>
              </wp:positionH>
              <wp:positionV relativeFrom="page">
                <wp:posOffset>252095</wp:posOffset>
              </wp:positionV>
              <wp:extent cx="266065" cy="165100"/>
              <wp:effectExtent l="0" t="0" r="0" b="0"/>
              <wp:wrapSquare wrapText="largest"/>
              <wp:docPr id="5" name="Text Box 2"/>
              <a:graphic xmlns:a="http://schemas.openxmlformats.org/drawingml/2006/main">
                <a:graphicData uri="http://schemas.microsoft.com/office/word/2010/wordprocessingShape">
                  <wps:wsp>
                    <wps:cNvSpPr/>
                    <wps:spPr>
                      <a:xfrm>
                        <a:off x="0" y="0"/>
                        <a:ext cx="265320" cy="16452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24</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24</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95pt;margin-top:19.85pt;width:20.85pt;height:12.9pt;mso-wrap-style:square;v-text-anchor:top;mso-position-horizontal-relative:page;mso-position-vertical-relative:page" wp14:anchorId="1C468005">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24</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24</w:t>
                    </w:r>
                    <w:r>
                      <w:rPr>
                        <w:rStyle w:val="Pagenumber"/>
                        <w:color w:val="000000"/>
                      </w:rPr>
                      <w:fldChar w:fldCharType="end"/>
                    </w:r>
                    <w:r>
                      <w:rPr>
                        <w:rStyle w:val="Pagenumber"/>
                        <w:color w:val="000000"/>
                      </w:rPr>
                      <w:t xml:space="preserve"> -101010 878</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mc:AlternateContent>
        <mc:Choice Requires="wps">
          <w:drawing>
            <wp:anchor behindDoc="1" distT="0" distB="0" distL="0" distR="0" simplePos="0" locked="0" layoutInCell="0" allowOverlap="1" relativeHeight="29" wp14:anchorId="6DE7176B">
              <wp:simplePos x="0" y="0"/>
              <wp:positionH relativeFrom="page">
                <wp:posOffset>6841490</wp:posOffset>
              </wp:positionH>
              <wp:positionV relativeFrom="page">
                <wp:posOffset>251460</wp:posOffset>
              </wp:positionV>
              <wp:extent cx="266065" cy="165100"/>
              <wp:effectExtent l="0" t="0" r="0" b="0"/>
              <wp:wrapSquare wrapText="largest"/>
              <wp:docPr id="7" name="Text Box 2"/>
              <a:graphic xmlns:a="http://schemas.openxmlformats.org/drawingml/2006/main">
                <a:graphicData uri="http://schemas.microsoft.com/office/word/2010/wordprocessingShape">
                  <wps:wsp>
                    <wps:cNvSpPr/>
                    <wps:spPr>
                      <a:xfrm>
                        <a:off x="0" y="0"/>
                        <a:ext cx="265320" cy="16452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7pt;margin-top:19.8pt;width:20.85pt;height:12.9pt;mso-wrap-style:square;v-text-anchor:top;mso-position-horizontal-relative:page;mso-position-vertical-relative:page" wp14:anchorId="6DE7176B">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r>
                      <w:rPr>
                        <w:rStyle w:val="Pagenumber"/>
                        <w:color w:val="000000"/>
                      </w:rPr>
                      <w:t xml:space="preserve"> -101010 878</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lang w:val="fr-FR"/>
            </w:rPr>
          </w:pPr>
          <w:r>
            <w:rPr>
              <w:sz w:val="12"/>
              <w:szCs w:val="12"/>
              <w:lang w:val="fr-FR"/>
            </w:rPr>
          </w:r>
        </w:p>
        <w:p>
          <w:pPr>
            <w:pStyle w:val="Normal"/>
            <w:widowControl w:val="false"/>
            <w:suppressAutoHyphens w:val="true"/>
            <w:spacing w:before="0" w:after="0"/>
            <w:jc w:val="center"/>
            <w:rPr>
              <w:lang w:val="fr-FR"/>
            </w:rPr>
          </w:pPr>
          <w:r>
            <w:rPr/>
            <mc:AlternateContent>
              <mc:Choice Requires="wps">
                <w:drawing>
                  <wp:anchor behindDoc="1" distT="0" distB="0" distL="0" distR="0" simplePos="0" locked="0" layoutInCell="1" allowOverlap="1" relativeHeight="9" wp14:anchorId="4BE100B5">
                    <wp:simplePos x="0" y="0"/>
                    <wp:positionH relativeFrom="column">
                      <wp:posOffset>4092575</wp:posOffset>
                    </wp:positionH>
                    <wp:positionV relativeFrom="page">
                      <wp:posOffset>184785</wp:posOffset>
                    </wp:positionV>
                    <wp:extent cx="800735" cy="308610"/>
                    <wp:effectExtent l="0" t="0" r="0" b="0"/>
                    <wp:wrapNone/>
                    <wp:docPr id="9" name="Text Box 18"/>
                    <a:graphic xmlns:a="http://schemas.openxmlformats.org/drawingml/2006/main">
                      <a:graphicData uri="http://schemas.microsoft.com/office/word/2010/wordprocessingShape">
                        <wps:wsp>
                          <wps:cNvSpPr/>
                          <wps:spPr>
                            <a:xfrm>
                              <a:off x="0" y="0"/>
                              <a:ext cx="800280" cy="30780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t" style="position:absolute;margin-left:322.25pt;margin-top:14.55pt;width:62.95pt;height:24.2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25475" cy="36576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val="false"/>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val="false"/>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val="false"/>
            <w:suppressAutoHyphens w:val="true"/>
            <w:spacing w:before="0" w:after="0"/>
            <w:jc w:val="left"/>
            <w:rPr>
              <w:lang w:val="fr-FR"/>
            </w:rPr>
          </w:pPr>
          <w:r>
            <w:rPr>
              <w:lang w:val="fr-FR"/>
            </w:rPr>
          </w:r>
        </w:p>
      </w:tc>
    </w:tr>
    <w:tr>
      <w:trPr/>
      <w:tc>
        <w:tcPr>
          <w:tcW w:w="2937" w:type="dxa"/>
          <w:tcBorders>
            <w:left w:val="nil"/>
          </w:tcBorders>
        </w:tcPr>
        <w:p>
          <w:pPr>
            <w:pStyle w:val="Normal"/>
            <w:widowControl w:val="false"/>
            <w:suppressAutoHyphens w:val="true"/>
            <w:spacing w:before="0" w:after="0"/>
            <w:jc w:val="center"/>
            <w:rPr>
              <w:sz w:val="4"/>
            </w:rPr>
          </w:pPr>
          <w:r>
            <w:rPr>
              <w:sz w:val="4"/>
            </w:rPr>
          </w:r>
        </w:p>
        <w:p>
          <w:pPr>
            <w:pStyle w:val="Form10C"/>
            <w:widowControl w:val="false"/>
            <w:spacing w:before="0" w:after="0"/>
            <w:rPr>
              <w:sz w:val="4"/>
            </w:rPr>
          </w:pPr>
          <w:r>
            <w:rPr>
              <w:sz w:val="4"/>
            </w:rPr>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val="false"/>
            <w:spacing w:before="0" w:after="0"/>
            <w:rPr>
              <w:sz w:val="4"/>
              <w:szCs w:val="4"/>
            </w:rPr>
          </w:pPr>
          <w:r>
            <w:rPr>
              <w:sz w:val="4"/>
              <w:szCs w:val="4"/>
            </w:rPr>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val="false"/>
            <w:suppressAutoHyphens w:val="true"/>
            <w:spacing w:before="0" w:after="0"/>
            <w:jc w:val="left"/>
            <w:rPr>
              <w:lang w:val="fr-FR"/>
            </w:rPr>
          </w:pPr>
          <w:r>
            <w:rPr>
              <w:lang w:val="fr-FR"/>
            </w:rPr>
          </w:r>
        </w:p>
      </w:tc>
      <w:tc>
        <w:tcPr>
          <w:tcW w:w="3440" w:type="dxa"/>
          <w:tcBorders>
            <w:right w:val="nil"/>
          </w:tcBorders>
        </w:tcPr>
        <w:p>
          <w:pPr>
            <w:pStyle w:val="Normal"/>
            <w:widowControl w:val="false"/>
            <w:suppressAutoHyphens w:val="true"/>
            <w:spacing w:before="0" w:after="0"/>
            <w:jc w:val="left"/>
            <w:rPr>
              <w:sz w:val="4"/>
              <w:szCs w:val="4"/>
              <w:lang w:val="fr-FR"/>
            </w:rPr>
          </w:pPr>
          <w:r>
            <w:rPr>
              <w:sz w:val="4"/>
              <w:szCs w:val="4"/>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sz w:val="10"/>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sz w:val="22"/>
            </w:rPr>
          </w:pPr>
          <w:r>
            <w:rPr>
              <w:sz w:val="22"/>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val="false"/>
            <w:spacing w:before="0" w:after="0"/>
            <w:jc w:val="left"/>
            <w:rPr>
              <w:sz w:val="2"/>
            </w:rPr>
          </w:pPr>
          <w:r>
            <w:rPr>
              <w:sz w:val="2"/>
            </w:rPr>
          </w:r>
        </w:p>
        <w:p>
          <w:pPr>
            <w:pStyle w:val="Form10J"/>
            <w:widowControl w:val="false"/>
            <w:spacing w:before="0" w:after="0"/>
            <w:jc w:val="left"/>
            <w:rPr>
              <w:sz w:val="2"/>
            </w:rPr>
          </w:pPr>
          <w:r>
            <w:rPr>
              <w:sz w:val="2"/>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4" wp14:anchorId="314566BD">
              <wp:simplePos x="0" y="0"/>
              <wp:positionH relativeFrom="page">
                <wp:posOffset>5577840</wp:posOffset>
              </wp:positionH>
              <wp:positionV relativeFrom="page">
                <wp:posOffset>2743200</wp:posOffset>
              </wp:positionV>
              <wp:extent cx="1374140" cy="1905"/>
              <wp:effectExtent l="12700" t="12700" r="12065" b="12065"/>
              <wp:wrapNone/>
              <wp:docPr id="12" name="Line 8"/>
              <a:graphic xmlns:a="http://schemas.openxmlformats.org/drawingml/2006/main">
                <a:graphicData uri="http://schemas.microsoft.com/office/word/2010/wordprocessingShape">
                  <wps:wsp>
                    <wps:cNvSpPr/>
                    <wps:spPr>
                      <a:xfrm>
                        <a:off x="0" y="0"/>
                        <a:ext cx="1373400" cy="144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3pt,216.05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5" wp14:anchorId="0664A23D">
              <wp:simplePos x="0" y="0"/>
              <wp:positionH relativeFrom="page">
                <wp:posOffset>6884035</wp:posOffset>
              </wp:positionH>
              <wp:positionV relativeFrom="page">
                <wp:posOffset>196215</wp:posOffset>
              </wp:positionV>
              <wp:extent cx="273685" cy="182245"/>
              <wp:effectExtent l="0" t="0" r="0" b="0"/>
              <wp:wrapNone/>
              <wp:docPr id="13" name="Group 14"/>
              <a:graphic xmlns:a="http://schemas.openxmlformats.org/drawingml/2006/main">
                <a:graphicData uri="http://schemas.microsoft.com/office/word/2010/wordprocessingGroup">
                  <wpg:wgp>
                    <wpg:cNvGrpSpPr/>
                    <wpg:grpSpPr>
                      <a:xfrm>
                        <a:off x="0" y="0"/>
                        <a:ext cx="272880" cy="181440"/>
                        <a:chOff x="6883920" y="196200"/>
                        <a:chExt cx="272880" cy="181440"/>
                      </a:xfrm>
                    </wpg:grpSpPr>
                    <wps:wsp>
                      <wps:cNvSpPr/>
                      <wps:spPr>
                        <a:xfrm>
                          <a:off x="4320" y="4320"/>
                          <a:ext cx="268560" cy="177120"/>
                        </a:xfrm>
                        <a:prstGeom prst="roundRect">
                          <a:avLst>
                            <a:gd name="adj" fmla="val 16667"/>
                          </a:avLst>
                        </a:prstGeom>
                        <a:noFill/>
                        <a:ln w="0">
                          <a:noFill/>
                        </a:ln>
                      </wps:spPr>
                      <wps:style>
                        <a:lnRef idx="0"/>
                        <a:fillRef idx="0"/>
                        <a:effectRef idx="0"/>
                        <a:fontRef idx="minor"/>
                      </wps:style>
                      <wps:bodyPr/>
                    </wps:wsp>
                    <wps:wsp>
                      <wps:cNvSpPr/>
                      <wps:spPr>
                        <a:xfrm>
                          <a:off x="0" y="0"/>
                          <a:ext cx="268560" cy="1771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5pt;height:14.3pt" coordorigin="10841,309" coordsize="429,286">
              <v:rect id="shape_0" path="m0,0l-2147483645,0l-2147483645,-2147483646l0,-2147483646xe" stroked="f" o:allowincell="f" style="position:absolute;left:10841;top:309;width:422;height:278;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6" wp14:anchorId="20DB70F0">
              <wp:simplePos x="0" y="0"/>
              <wp:positionH relativeFrom="page">
                <wp:posOffset>474345</wp:posOffset>
              </wp:positionH>
              <wp:positionV relativeFrom="page">
                <wp:posOffset>268605</wp:posOffset>
              </wp:positionV>
              <wp:extent cx="998855" cy="633095"/>
              <wp:effectExtent l="0" t="0" r="0" b="0"/>
              <wp:wrapNone/>
              <wp:docPr id="14" name="Text Box 17"/>
              <a:graphic xmlns:a="http://schemas.openxmlformats.org/drawingml/2006/main">
                <a:graphicData uri="http://schemas.microsoft.com/office/word/2010/wordprocessingShape">
                  <wps:wsp>
                    <wps:cNvSpPr/>
                    <wps:spPr>
                      <a:xfrm>
                        <a:off x="0" y="0"/>
                        <a:ext cx="998280" cy="63252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65pt;height:26pt;mso-wrap-distance-right:0pt" filled="t" fillcolor="#FFFFFF" o:ole="">
                                <v:imagedata r:id="rId3" o:title=""/>
                              </v:shape>
                              <o:OLEObject Type="Embed" ProgID="Word.Picture.8" ShapeID="ole_rId2" DrawAspect="Content" ObjectID="_1583378806"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stroked="f" o:allowincell="f" style="position:absolute;margin-left:37.35pt;margin-top:21.15pt;width:78.55pt;height:49.75pt;mso-wrap-style:square;v-text-anchor:top;mso-position-horizontal-relative:page;mso-position-vertical-relative:page" wp14:anchorId="20DB70F0">
              <v:fill o:detectmouseclick="t" on="false"/>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8.65pt;height:26pt;mso-wrap-distance-right:0pt" filled="t" fillcolor="#FFFFFF" o:ole="">
                          <v:imagedata r:id="rId5" o:title=""/>
                        </v:shape>
                        <o:OLEObject Type="Embed" ProgID="Word.Picture.8" ShapeID="ole_rId4" DrawAspect="Content" ObjectID="_327483007"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suppressAutoHyphens w:val="true"/>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tru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tru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tru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tru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tru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tru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ascii="Times New Roman" w:hAnsi="Times New Roman" w:eastAsia="Arial"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ascii="Times New Roman" w:hAnsi="Times New Roman" w:eastAsia="Arial"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ascii="Times New Roman" w:hAnsi="Times New Roman" w:eastAsia="Arial"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ascii="Times New Roman" w:hAnsi="Times New Roman" w:eastAsia="Arial"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ascii="Times New Roman" w:hAnsi="Times New Roman" w:eastAsia="Arial"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ascii="Times New Roman" w:hAnsi="Times New Roman" w:eastAsia="Arial" w:cs="Times New Roman"/>
      <w:color w:val="auto"/>
      <w:kern w:val="0"/>
      <w:sz w:val="36"/>
      <w:szCs w:val="20"/>
      <w:lang w:val="fr-FR" w:eastAsia="zh-CN" w:bidi="ar-SA"/>
    </w:rPr>
  </w:style>
  <w:style w:type="paragraph" w:styleId="Notedebasdepage">
    <w:name w:val="Footnote Text"/>
    <w:basedOn w:val="Normal"/>
    <w:pPr>
      <w:suppressAutoHyphens w:val="true"/>
      <w:overflowPunct w:val="true"/>
      <w:textAlignment w:val="baseline"/>
    </w:pPr>
    <w:rPr>
      <w:sz w:val="20"/>
      <w:szCs w:val="20"/>
      <w:lang w:val="fr-FR"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tru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true"/>
      <w:jc w:val="both"/>
      <w:textAlignment w:val="baseline"/>
    </w:pPr>
    <w:rPr>
      <w:i/>
      <w:szCs w:val="20"/>
      <w:u w:val="single"/>
      <w:lang w:val="fr-FR" w:eastAsia="zh-CN"/>
    </w:rPr>
  </w:style>
  <w:style w:type="paragraph" w:styleId="TITRE51" w:customStyle="1">
    <w:name w:val="TITRE5"/>
    <w:basedOn w:val="Normal"/>
    <w:qFormat/>
    <w:pPr>
      <w:suppressAutoHyphens w:val="true"/>
      <w:overflowPunct w:val="tru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true"/>
      <w:jc w:val="both"/>
      <w:textAlignment w:val="baseline"/>
    </w:pPr>
    <w:rPr>
      <w:szCs w:val="20"/>
      <w:lang w:val="fr-FR" w:eastAsia="zh-CN"/>
    </w:rPr>
  </w:style>
  <w:style w:type="paragraph" w:styleId="ListParagraph">
    <w:name w:val="List Paragraph"/>
    <w:basedOn w:val="Normal"/>
    <w:uiPriority w:val="34"/>
    <w:qFormat/>
    <w:rsid w:val="00815b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LibreOffice/7.2.6.2$Windows_X86_64 LibreOffice_project/b0ec3a565991f7569a5a7f5d24fed7f52653d754</Application>
  <AppVersion>15.0000</AppVersion>
  <Pages>21</Pages>
  <Words>7166</Words>
  <Characters>38225</Characters>
  <CharactersWithSpaces>45100</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fr-FR</dc:language>
  <cp:lastModifiedBy>Marjolaine Le Bon</cp:lastModifiedBy>
  <cp:lastPrinted>2021-11-30T08:37:00Z</cp:lastPrinted>
  <dcterms:modified xsi:type="dcterms:W3CDTF">2022-05-11T17:55:37Z</dcterms:modified>
  <cp:revision>35</cp:revision>
  <dc:subject/>
  <dc:title>   </dc:title>
</cp:coreProperties>
</file>

<file path=docProps/custom.xml><?xml version="1.0" encoding="utf-8"?>
<Properties xmlns="http://schemas.openxmlformats.org/officeDocument/2006/custom-properties" xmlns:vt="http://schemas.openxmlformats.org/officeDocument/2006/docPropsVTypes"/>
</file>