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3765E4D7"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063595">
        <w:rPr>
          <w:rFonts w:ascii="TimesNewRomanPSMT" w:hAnsi="TimesNewRomanPSMT" w:cs="TimesNewRomanPSMT"/>
        </w:rPr>
        <w:t xml:space="preserve">{% if </w:t>
      </w:r>
      <w:proofErr w:type="spellStart"/>
      <w:r w:rsidR="00063595">
        <w:rPr>
          <w:rFonts w:ascii="TimesNewRomanPSMT" w:hAnsi="TimesNewRomanPSMT" w:cs="TimesNewRomanPSMT"/>
        </w:rPr>
        <w:t>programme.type_habitat</w:t>
      </w:r>
      <w:proofErr w:type="spellEnd"/>
      <w:r w:rsidR="00063595">
        <w:rPr>
          <w:rFonts w:ascii="TimesNewRomanPSMT" w:hAnsi="TimesNewRomanPSMT" w:cs="TimesNewRomanPSMT"/>
        </w:rPr>
        <w:t xml:space="preserve"> %}</w:t>
      </w:r>
      <w:r w:rsidR="00FF59D1">
        <w:rPr>
          <w:rFonts w:ascii="TimesNewRomanPSMT" w:hAnsi="TimesNewRomanPSMT" w:cs="TimesNewRomanPSMT"/>
        </w:rPr>
        <w:t xml:space="preserve"> </w:t>
      </w:r>
      <w:bookmarkStart w:id="2" w:name="Type"/>
      <w:bookmarkEnd w:id="2"/>
      <w:r w:rsidR="00DE12B1">
        <w:rPr>
          <w:rFonts w:ascii="TimesNewRomanPSMT" w:hAnsi="TimesNewRomanPSMT" w:cs="TimesNewRomanPSMT"/>
        </w:rPr>
        <w:t xml:space="preserve">{{ </w:t>
      </w:r>
      <w:proofErr w:type="spellStart"/>
      <w:r w:rsidR="00DE12B1">
        <w:rPr>
          <w:rFonts w:ascii="TimesNewRomanPSMT" w:hAnsi="TimesNewRomanPSMT" w:cs="TimesNewRomanPSMT"/>
        </w:rPr>
        <w:t>programme.</w:t>
      </w:r>
      <w:r w:rsidR="00D21B14">
        <w:rPr>
          <w:rFonts w:ascii="TimesNewRomanPSMT" w:hAnsi="TimesNewRomanPSMT" w:cs="TimesNewRomanPSMT"/>
        </w:rPr>
        <w:t>get_</w:t>
      </w:r>
      <w:r w:rsidR="00DE12B1">
        <w:rPr>
          <w:rFonts w:ascii="TimesNewRomanPSMT" w:hAnsi="TimesNewRomanPSMT" w:cs="TimesNewRomanPSMT"/>
        </w:rPr>
        <w:t>type_habitat</w:t>
      </w:r>
      <w:r w:rsidR="00D21B14">
        <w:rPr>
          <w:rFonts w:ascii="TimesNewRomanPSMT" w:hAnsi="TimesNewRomanPSMT" w:cs="TimesNewRomanPSMT"/>
        </w:rPr>
        <w:t>_display</w:t>
      </w:r>
      <w:proofErr w:type="spellEnd"/>
      <w:r w:rsidR="00D21B14">
        <w:rPr>
          <w:rFonts w:ascii="TimesNewRomanPSMT" w:hAnsi="TimesNewRomanPSMT" w:cs="TimesNewRomanPSMT"/>
        </w:rPr>
        <w:t>()</w:t>
      </w:r>
      <w:r w:rsidR="00DE12B1">
        <w:rPr>
          <w:rFonts w:ascii="TimesNewRomanPSMT" w:hAnsi="TimesNewRomanPSMT" w:cs="TimesNewRomanPSMT"/>
        </w:rPr>
        <w:t xml:space="preserve"> }}</w:t>
      </w:r>
      <w:r w:rsidR="00063595">
        <w:rPr>
          <w:rFonts w:ascii="TimesNewRomanPSMT" w:hAnsi="TimesNewRomanPSMT" w:cs="TimesNewRomanPSMT"/>
        </w:rPr>
        <w:t xml:space="preserve">{% </w:t>
      </w:r>
      <w:proofErr w:type="spellStart"/>
      <w:r w:rsidR="00063595">
        <w:rPr>
          <w:rFonts w:ascii="TimesNewRomanPSMT" w:hAnsi="TimesNewRomanPSMT" w:cs="TimesNewRomanPSMT"/>
        </w:rPr>
        <w:t>endif</w:t>
      </w:r>
      <w:proofErr w:type="spellEnd"/>
      <w:r w:rsidR="00063595">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3" w:name="NbLogement1"/>
      <w:bookmarkEnd w:id="3"/>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1D8C054A"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nb_logements_mixite_sociale_30</w:t>
      </w:r>
      <w:r w:rsidR="00096D65">
        <w:rPr>
          <w:rFonts w:ascii="TimesNewRomanPSMT" w:hAnsi="TimesNewRomanPSMT" w:cs="TimesNewRomanPSMT"/>
          <w:b/>
        </w:rPr>
        <w:t>_si_plus</w:t>
      </w:r>
      <w:r w:rsidR="00696A48"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nb</w:t>
      </w:r>
      <w:proofErr w:type="gramEnd"/>
      <w:r w:rsidR="00AB6BDF" w:rsidRPr="00AB6BDF">
        <w:rPr>
          <w:rFonts w:ascii="TimesNewRomanPSMT" w:hAnsi="TimesNewRomanPSMT" w:cs="TimesNewRomanPSMT"/>
          <w:b/>
          <w:bCs/>
        </w:rPr>
        <w:t>_logements_mix</w:t>
      </w:r>
      <w:r w:rsidR="00901736">
        <w:rPr>
          <w:rFonts w:ascii="TimesNewRomanPSMT" w:hAnsi="TimesNewRomanPSMT" w:cs="TimesNewRomanPSMT"/>
          <w:b/>
          <w:bCs/>
        </w:rPr>
        <w:t>i</w:t>
      </w:r>
      <w:r w:rsidR="00AB6BDF" w:rsidRPr="00AB6BDF">
        <w:rPr>
          <w:rFonts w:ascii="TimesNewRomanPSMT" w:hAnsi="TimesNewRomanPSMT" w:cs="TimesNewRomanPSMT"/>
          <w:b/>
          <w:bCs/>
        </w:rPr>
        <w:t>te_sociale_</w:t>
      </w:r>
      <w:r w:rsidR="00AB6BDF">
        <w:rPr>
          <w:rFonts w:ascii="TimesNewRomanPSMT" w:hAnsi="TimesNewRomanPSMT" w:cs="TimesNewRomanPSMT"/>
          <w:b/>
          <w:bCs/>
        </w:rPr>
        <w:t>30_</w:t>
      </w:r>
      <w:r w:rsidR="00AB6BDF" w:rsidRPr="00AB6BDF">
        <w:rPr>
          <w:rFonts w:ascii="TimesNewRomanPSMT" w:hAnsi="TimesNewRomanPSMT" w:cs="TimesNewRomanPSMT"/>
          <w:b/>
          <w:bCs/>
        </w:rPr>
        <w:t>arrondie</w:t>
      </w:r>
      <w:r w:rsidR="00096D65">
        <w:rPr>
          <w:rFonts w:ascii="TimesNewRomanPSMT" w:hAnsi="TimesNewRomanPSMT" w:cs="TimesNewRomanPSMT"/>
          <w:b/>
          <w:bCs/>
        </w:rPr>
        <w:t>_si_plus</w:t>
      </w:r>
      <w:r w:rsidR="00AB6BDF" w:rsidRPr="00AB6BDF">
        <w:rPr>
          <w:rFonts w:ascii="TimesNewRomanPSMT" w:hAnsi="TimesNewRomanPSMT" w:cs="TimesNewRomanPSMT"/>
          <w:b/>
          <w:bCs/>
        </w:rPr>
        <w:t xml:space="preserve"> }}</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4F596B1B"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nb</w:t>
      </w:r>
      <w:proofErr w:type="gramEnd"/>
      <w:r w:rsidR="00AB6BDF">
        <w:rPr>
          <w:rFonts w:ascii="TimesNewRomanPSMT" w:hAnsi="TimesNewRomanPSMT" w:cs="TimesNewRomanPSMT"/>
          <w:b/>
        </w:rPr>
        <w:t>_logements_mixite_sociale_10_arrondie</w:t>
      </w:r>
      <w:r w:rsidR="00096D65">
        <w:rPr>
          <w:rFonts w:ascii="TimesNewRomanPSMT" w:hAnsi="TimesNewRomanPSMT" w:cs="TimesNewRomanPSMT"/>
          <w:b/>
        </w:rPr>
        <w:t>_si_plus</w:t>
      </w:r>
      <w:r w:rsid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77777777" w:rsidR="00325DDB" w:rsidRDefault="00325DDB">
      <w:r>
        <w:rPr>
          <w:rFonts w:ascii="TimesNewRomanPSMT" w:hAnsi="TimesNewRomanPSMT" w:cs="TimesNewRomanPSMT"/>
        </w:rPr>
        <w:t>Fait en quatre originaux à Marseille,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7C6836B1" w14:textId="0BBEC0CD" w:rsidR="00E3073A" w:rsidRDefault="00626D7C" w:rsidP="00101463">
      <w:pPr>
        <w:rPr>
          <w:rFonts w:ascii="TimesNewRomanPSMT" w:hAnsi="TimesNewRomanPSMT" w:cs="TimesNewRomanPSMT"/>
        </w:rPr>
      </w:pPr>
      <w:bookmarkStart w:id="32" w:name="S3"/>
      <w:bookmarkEnd w:id="32"/>
      <w:proofErr w:type="gramStart"/>
      <w:r>
        <w:rPr>
          <w:rFonts w:ascii="TimesNewRomanPSMT" w:hAnsi="TimesNewRomanPSMT" w:cs="TimesNewRomanPSMT"/>
        </w:rPr>
        <w:t xml:space="preserve">{{ </w:t>
      </w:r>
      <w:proofErr w:type="spellStart"/>
      <w:r>
        <w:rPr>
          <w:rFonts w:ascii="TimesNewRomanPSMT" w:hAnsi="TimesNewRomanPSMT" w:cs="TimesNewRomanPSMT"/>
        </w:rPr>
        <w:t>programme.edd</w:t>
      </w:r>
      <w:proofErr w:type="gramEnd"/>
      <w:r>
        <w:rPr>
          <w:rFonts w:ascii="TimesNewRomanPSMT" w:hAnsi="TimesNewRomanPSMT" w:cs="TimesNewRomanPSMT"/>
        </w:rPr>
        <w:t>_volumetrique</w:t>
      </w:r>
      <w:proofErr w:type="spellEnd"/>
      <w:r>
        <w:rPr>
          <w:rFonts w:ascii="TimesNewRomanPSMT" w:hAnsi="TimesNewRomanPSMT" w:cs="TimesNewRomanPSMT"/>
        </w:rPr>
        <w:t xml:space="preserve"> }}</w:t>
      </w:r>
      <w:bookmarkStart w:id="33" w:name="S4"/>
      <w:bookmarkEnd w:id="33"/>
    </w:p>
    <w:p w14:paraId="27145981" w14:textId="77777777" w:rsidR="00D21B14" w:rsidRDefault="00D21B14" w:rsidP="00101463">
      <w:pPr>
        <w:rPr>
          <w:rFonts w:ascii="TimesNewRomanPSMT" w:hAnsi="TimesNewRomanPSMT" w:cs="TimesNewRomanPSMT"/>
        </w:rPr>
      </w:pPr>
    </w:p>
    <w:p w14:paraId="0C0A7547" w14:textId="20DD3C2C" w:rsidR="00D21B14" w:rsidRDefault="00D21B14" w:rsidP="00101463">
      <w:pPr>
        <w:rPr>
          <w:rFonts w:ascii="TimesNewRomanPSMT" w:hAnsi="TimesNewRomanPSMT" w:cs="TimesNewRomanPSMT"/>
        </w:rPr>
      </w:pPr>
      <w:proofErr w:type="gramStart"/>
      <w:r>
        <w:rPr>
          <w:rFonts w:ascii="TimesNewRomanPSMT" w:hAnsi="TimesNewRomanPSMT" w:cs="TimesNewRomanPSMT"/>
        </w:rPr>
        <w:t xml:space="preserve">{{ </w:t>
      </w:r>
      <w:proofErr w:type="spellStart"/>
      <w:r>
        <w:rPr>
          <w:rFonts w:ascii="TimesNewRomanPSMT" w:hAnsi="TimesNewRomanPSMT" w:cs="TimesNewRomanPSMT"/>
        </w:rPr>
        <w:t>references</w:t>
      </w:r>
      <w:proofErr w:type="gramEnd"/>
      <w:r>
        <w:rPr>
          <w:rFonts w:ascii="TimesNewRomanPSMT" w:hAnsi="TimesNewRomanPSMT" w:cs="TimesNewRomanPSMT"/>
        </w:rPr>
        <w:t>_cadatrales</w:t>
      </w:r>
      <w:proofErr w:type="spellEnd"/>
      <w:r>
        <w:rPr>
          <w:rFonts w:ascii="TimesNewRomanPSMT" w:hAnsi="TimesNewRomanPSMT" w:cs="TimesNewRomanPSMT"/>
        </w:rPr>
        <w:t xml:space="preserve">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9E7A84"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{{i.lot_num}}</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w:t>
            </w:r>
            <w:proofErr w:type="spellEnd"/>
            <w:r w:rsidRPr="00F96F52">
              <w:rPr>
                <w:sz w:val="16"/>
                <w:szCs w:val="16"/>
                <w:lang w:val="en-US"/>
              </w:rPr>
              <w:t>financement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spellEnd"/>
            <w:proofErr w:type="gramEnd"/>
            <w:r w:rsidRPr="00F96F52">
              <w:rPr>
                <w:sz w:val="16"/>
                <w:szCs w:val="16"/>
                <w:lang w:val="en-US"/>
              </w:rPr>
              <w:t>.designation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spellEnd"/>
            <w:proofErr w:type="gramEnd"/>
            <w:r w:rsidRPr="00F96F52">
              <w:rPr>
                <w:rFonts w:ascii="TimesNewRomanPSMT" w:hAnsi="TimesNewRomanPSMT" w:cs="TimesNewRomanPSMT"/>
                <w:sz w:val="16"/>
                <w:szCs w:val="16"/>
                <w:lang w:val="en-US"/>
              </w:rPr>
              <w:t>.typologie}}</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7E31277"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4A9EB78A" w14:textId="77777777" w:rsidR="00101463" w:rsidRDefault="00101463" w:rsidP="00101463">
      <w:pPr>
        <w:rPr>
          <w:rFonts w:ascii="TimesNewRomanPSMT" w:hAnsi="TimesNewRomanPSMT" w:cs="TimesNewRomanPSMT"/>
        </w:rPr>
      </w:pPr>
    </w:p>
    <w:p w14:paraId="45F3FDA7" w14:textId="5708ADD2" w:rsidR="00101463" w:rsidRDefault="000C6768">
      <w:bookmarkStart w:id="40" w:name="S5"/>
      <w:bookmarkEnd w:id="40"/>
      <w:proofErr w:type="gramStart"/>
      <w:r>
        <w:t>{{</w:t>
      </w:r>
      <w:r w:rsidR="00ED0284">
        <w:t xml:space="preserve"> </w:t>
      </w:r>
      <w:proofErr w:type="spellStart"/>
      <w:r w:rsidR="00D21B14">
        <w:t>nb</w:t>
      </w:r>
      <w:proofErr w:type="gramEnd"/>
      <w:r w:rsidR="00D21B14">
        <w:t>_logements_par_type</w:t>
      </w:r>
      <w:proofErr w:type="spellEnd"/>
      <w:r w:rsidR="00ED0284">
        <w:t xml:space="preserve"> </w:t>
      </w:r>
      <w:r>
        <w:t>}}</w:t>
      </w:r>
    </w:p>
    <w:p w14:paraId="3C56C550" w14:textId="77777777" w:rsidR="00325DDB" w:rsidRDefault="00325DDB">
      <w:pPr>
        <w:rPr>
          <w:rFonts w:ascii="TimesNewRomanPSMT" w:hAnsi="TimesNewRomanPSMT" w:cs="TimesNewRomanPSMT"/>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37F6410"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1"/>
      <w:bookmarkEnd w:id="41"/>
      <w:proofErr w:type="gramStart"/>
      <w:r w:rsidR="00A01030" w:rsidRPr="00AB6BDF">
        <w:rPr>
          <w:rFonts w:ascii="TimesNewRomanPSMT" w:hAnsi="TimesNewRomanPSMT" w:cs="TimesNewRomanPSMT"/>
          <w:b/>
        </w:rPr>
        <w:t>{{ nb</w:t>
      </w:r>
      <w:proofErr w:type="gramEnd"/>
      <w:r w:rsidR="00A01030" w:rsidRPr="00AB6BDF">
        <w:rPr>
          <w:rFonts w:ascii="TimesNewRomanPSMT" w:hAnsi="TimesNewRomanPSMT" w:cs="TimesNewRomanPSMT"/>
          <w:b/>
        </w:rPr>
        <w:t>_logements_mixite_sociale_30</w:t>
      </w:r>
      <w:r w:rsidR="00096D65">
        <w:rPr>
          <w:rFonts w:ascii="TimesNewRomanPSMT" w:hAnsi="TimesNewRomanPSMT" w:cs="TimesNewRomanPSMT"/>
          <w:b/>
        </w:rPr>
        <w:t>_si_plus</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4A73C8C9" w:rsidR="00325DDB" w:rsidRDefault="00325DDB">
      <w:r>
        <w:rPr>
          <w:rFonts w:ascii="TimesNewRomanPSMT" w:hAnsi="TimesNewRomanPSMT" w:cs="TimesNewRomanPSMT"/>
        </w:rPr>
        <w:lastRenderedPageBreak/>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2" w:name="Mix30112"/>
      <w:bookmarkEnd w:id="42"/>
      <w:proofErr w:type="gramStart"/>
      <w:r w:rsidR="00A01030" w:rsidRPr="00AB6BDF">
        <w:rPr>
          <w:rFonts w:ascii="TimesNewRomanPSMT" w:hAnsi="TimesNewRomanPSMT" w:cs="TimesNewRomanPSMT"/>
          <w:b/>
        </w:rPr>
        <w:t>{{ nb</w:t>
      </w:r>
      <w:proofErr w:type="gramEnd"/>
      <w:r w:rsidR="00A01030" w:rsidRPr="00AB6BDF">
        <w:rPr>
          <w:rFonts w:ascii="TimesNewRomanPSMT" w:hAnsi="TimesNewRomanPSMT" w:cs="TimesNewRomanPSMT"/>
          <w:b/>
        </w:rPr>
        <w:t>_logements_mixite_sociale_</w:t>
      </w:r>
      <w:r w:rsidR="00A01030">
        <w:rPr>
          <w:rFonts w:ascii="TimesNewRomanPSMT" w:hAnsi="TimesNewRomanPSMT" w:cs="TimesNewRomanPSMT"/>
          <w:b/>
        </w:rPr>
        <w:t>1</w:t>
      </w:r>
      <w:r w:rsidR="00A01030" w:rsidRPr="00AB6BDF">
        <w:rPr>
          <w:rFonts w:ascii="TimesNewRomanPSMT" w:hAnsi="TimesNewRomanPSMT" w:cs="TimesNewRomanPSMT"/>
          <w:b/>
        </w:rPr>
        <w:t>0</w:t>
      </w:r>
      <w:r w:rsidR="00A01030">
        <w:rPr>
          <w:rFonts w:ascii="TimesNewRomanPSMT" w:hAnsi="TimesNewRomanPSMT" w:cs="TimesNewRomanPSMT"/>
          <w:b/>
        </w:rPr>
        <w:t>_arrondie</w:t>
      </w:r>
      <w:r w:rsidR="00096D65">
        <w:rPr>
          <w:rFonts w:ascii="TimesNewRomanPSMT" w:hAnsi="TimesNewRomanPSMT" w:cs="TimesNewRomanPSMT"/>
          <w:b/>
        </w:rPr>
        <w:t>_si_plus</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16B07FF3"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3" w:name="Mix1092"/>
      <w:bookmarkEnd w:id="43"/>
      <w:proofErr w:type="gramStart"/>
      <w:r w:rsidR="00A01030">
        <w:rPr>
          <w:rFonts w:ascii="TimesNewRomanPSMT" w:hAnsi="TimesNewRomanPSMT" w:cs="TimesNewRomanPSMT"/>
        </w:rPr>
        <w:t>{{ Mix</w:t>
      </w:r>
      <w:proofErr w:type="gramEnd"/>
      <w:r w:rsidR="00A01030">
        <w:rPr>
          <w:rFonts w:ascii="TimesNewRomanPSMT" w:hAnsi="TimesNewRomanPSMT" w:cs="TimesNewRomanPSMT"/>
        </w:rPr>
        <w:t>1092 }}</w:t>
      </w:r>
    </w:p>
    <w:p w14:paraId="6F11BE6F" w14:textId="77777777" w:rsidR="00325DDB" w:rsidRDefault="00325DDB">
      <w:pPr>
        <w:rPr>
          <w:rFonts w:ascii="TimesNewRomanPSMT" w:hAnsi="TimesNewRomanPSMT" w:cs="TimesNewRomanPSMT"/>
        </w:rPr>
      </w:pPr>
    </w:p>
    <w:p w14:paraId="16C38EAE" w14:textId="04DE4753"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4" w:name="SH"/>
      <w:bookmarkEnd w:id="44"/>
      <w:proofErr w:type="gramStart"/>
      <w:r w:rsidR="00A01030">
        <w:rPr>
          <w:rFonts w:ascii="TimesNewRomanPSMT" w:hAnsi="TimesNewRomanPSMT" w:cs="TimesNewRomanPSMT"/>
        </w:rPr>
        <w:t xml:space="preserve">{{ </w:t>
      </w:r>
      <w:proofErr w:type="spellStart"/>
      <w:r w:rsidR="00A01030">
        <w:rPr>
          <w:rFonts w:ascii="TimesNewRomanPSMT" w:hAnsi="TimesNewRomanPSMT" w:cs="TimesNewRomanPSMT"/>
        </w:rPr>
        <w:t>surface</w:t>
      </w:r>
      <w:proofErr w:type="gramEnd"/>
      <w:r w:rsidR="00A01030">
        <w:rPr>
          <w:rFonts w:ascii="TimesNewRomanPSMT" w:hAnsi="TimesNewRomanPSMT" w:cs="TimesNewRomanPSMT"/>
        </w:rPr>
        <w:t>_habitable_totale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58182A1B"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5" w:name="SA"/>
      <w:bookmarkEnd w:id="45"/>
      <w:proofErr w:type="gramStart"/>
      <w:r w:rsidR="00777235">
        <w:rPr>
          <w:rFonts w:ascii="TimesNewRomanPSMT" w:hAnsi="TimesNewRomanPSMT" w:cs="TimesNewRomanPSMT"/>
        </w:rPr>
        <w:t xml:space="preserve">{{ </w:t>
      </w:r>
      <w:proofErr w:type="spellStart"/>
      <w:r w:rsidR="00777235">
        <w:rPr>
          <w:rFonts w:ascii="TimesNewRomanPSMT" w:hAnsi="TimesNewRomanPSMT" w:cs="TimesNewRomanPSMT"/>
        </w:rPr>
        <w:t>surface</w:t>
      </w:r>
      <w:proofErr w:type="gramEnd"/>
      <w:r w:rsidR="00777235">
        <w:rPr>
          <w:rFonts w:ascii="TimesNewRomanPSMT" w:hAnsi="TimesNewRomanPSMT" w:cs="TimesNewRomanPSMT"/>
        </w:rPr>
        <w:t>_annexes_retenue_totale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2C96C882"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6" w:name="SU"/>
      <w:bookmarkEnd w:id="46"/>
      <w:proofErr w:type="gramStart"/>
      <w:r w:rsidR="00777235">
        <w:rPr>
          <w:rFonts w:ascii="TimesNewRomanPSMT" w:hAnsi="TimesNewRomanPSMT" w:cs="TimesNewRomanPSMT"/>
        </w:rPr>
        <w:t xml:space="preserve">{{ </w:t>
      </w:r>
      <w:proofErr w:type="spellStart"/>
      <w:r w:rsidR="00777235">
        <w:rPr>
          <w:rFonts w:ascii="TimesNewRomanPSMT" w:hAnsi="TimesNewRomanPSMT" w:cs="TimesNewRomanPSMT"/>
        </w:rPr>
        <w:t>surface</w:t>
      </w:r>
      <w:proofErr w:type="gramEnd"/>
      <w:r w:rsidR="00777235">
        <w:rPr>
          <w:rFonts w:ascii="TimesNewRomanPSMT" w:hAnsi="TimesNewRomanPSMT" w:cs="TimesNewRomanPSMT"/>
        </w:rPr>
        <w:t>_utile_totale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017"/>
        <w:gridCol w:w="649"/>
        <w:gridCol w:w="869"/>
        <w:gridCol w:w="860"/>
        <w:gridCol w:w="913"/>
        <w:gridCol w:w="947"/>
        <w:gridCol w:w="1045"/>
        <w:gridCol w:w="1112"/>
        <w:gridCol w:w="858"/>
      </w:tblGrid>
      <w:tr w:rsidR="00973B50" w14:paraId="0BEA8917" w14:textId="77777777" w:rsidTr="006B3592">
        <w:trPr>
          <w:trHeight w:val="908"/>
        </w:trPr>
        <w:tc>
          <w:tcPr>
            <w:tcW w:w="1165"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862"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936"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40"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09"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861"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936"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61"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973B50" w14:paraId="4DB58617" w14:textId="77777777" w:rsidTr="006B3592">
        <w:tc>
          <w:tcPr>
            <w:tcW w:w="1165" w:type="dxa"/>
            <w:vMerge/>
          </w:tcPr>
          <w:p w14:paraId="3F99FEEA" w14:textId="77777777" w:rsidR="00BC091E" w:rsidRPr="00BC091E" w:rsidRDefault="00BC091E">
            <w:pPr>
              <w:jc w:val="left"/>
              <w:rPr>
                <w:rFonts w:ascii="TimesNewRomanPSMT" w:hAnsi="TimesNewRomanPSMT" w:cs="TimesNewRomanPSMT"/>
                <w:sz w:val="16"/>
                <w:szCs w:val="16"/>
              </w:rPr>
            </w:pPr>
          </w:p>
        </w:tc>
        <w:tc>
          <w:tcPr>
            <w:tcW w:w="862" w:type="dxa"/>
            <w:vMerge/>
          </w:tcPr>
          <w:p w14:paraId="11D51C65" w14:textId="77777777" w:rsidR="00BC091E" w:rsidRPr="00BC091E" w:rsidRDefault="00BC091E">
            <w:pPr>
              <w:jc w:val="left"/>
              <w:rPr>
                <w:rFonts w:ascii="TimesNewRomanPSMT" w:hAnsi="TimesNewRomanPSMT" w:cs="TimesNewRomanPSMT"/>
                <w:sz w:val="16"/>
                <w:szCs w:val="16"/>
              </w:rPr>
            </w:pPr>
          </w:p>
        </w:tc>
        <w:tc>
          <w:tcPr>
            <w:tcW w:w="936" w:type="dxa"/>
            <w:vMerge/>
          </w:tcPr>
          <w:p w14:paraId="37AF09D0" w14:textId="77777777" w:rsidR="00BC091E" w:rsidRPr="00BC091E" w:rsidRDefault="00BC091E">
            <w:pPr>
              <w:jc w:val="left"/>
              <w:rPr>
                <w:rFonts w:ascii="TimesNewRomanPSMT" w:hAnsi="TimesNewRomanPSMT" w:cs="TimesNewRomanPSMT"/>
                <w:sz w:val="16"/>
                <w:szCs w:val="16"/>
              </w:rPr>
            </w:pPr>
          </w:p>
        </w:tc>
        <w:tc>
          <w:tcPr>
            <w:tcW w:w="887"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85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09" w:type="dxa"/>
            <w:vMerge/>
          </w:tcPr>
          <w:p w14:paraId="4422D31F" w14:textId="77777777" w:rsidR="00BC091E" w:rsidRPr="00BC091E" w:rsidRDefault="00BC091E">
            <w:pPr>
              <w:jc w:val="left"/>
              <w:rPr>
                <w:rFonts w:ascii="TimesNewRomanPSMT" w:hAnsi="TimesNewRomanPSMT" w:cs="TimesNewRomanPSMT"/>
                <w:sz w:val="16"/>
                <w:szCs w:val="16"/>
              </w:rPr>
            </w:pPr>
          </w:p>
        </w:tc>
        <w:tc>
          <w:tcPr>
            <w:tcW w:w="861" w:type="dxa"/>
            <w:vMerge/>
          </w:tcPr>
          <w:p w14:paraId="070A3072" w14:textId="77777777" w:rsidR="00BC091E" w:rsidRPr="00BC091E" w:rsidRDefault="00BC091E">
            <w:pPr>
              <w:jc w:val="left"/>
              <w:rPr>
                <w:rFonts w:ascii="TimesNewRomanPSMT" w:hAnsi="TimesNewRomanPSMT" w:cs="TimesNewRomanPSMT"/>
                <w:sz w:val="16"/>
                <w:szCs w:val="16"/>
              </w:rPr>
            </w:pPr>
          </w:p>
        </w:tc>
        <w:tc>
          <w:tcPr>
            <w:tcW w:w="936" w:type="dxa"/>
            <w:vMerge/>
          </w:tcPr>
          <w:p w14:paraId="2CF13346" w14:textId="77777777" w:rsidR="00BC091E" w:rsidRPr="00BC091E" w:rsidRDefault="00BC091E">
            <w:pPr>
              <w:jc w:val="left"/>
              <w:rPr>
                <w:rFonts w:ascii="TimesNewRomanPSMT" w:hAnsi="TimesNewRomanPSMT" w:cs="TimesNewRomanPSMT"/>
                <w:sz w:val="16"/>
                <w:szCs w:val="16"/>
              </w:rPr>
            </w:pPr>
          </w:p>
        </w:tc>
        <w:tc>
          <w:tcPr>
            <w:tcW w:w="861" w:type="dxa"/>
            <w:vMerge/>
          </w:tcPr>
          <w:p w14:paraId="3C48BE33" w14:textId="77777777" w:rsidR="00BC091E" w:rsidRPr="00BC091E" w:rsidRDefault="00BC091E">
            <w:pPr>
              <w:jc w:val="left"/>
              <w:rPr>
                <w:rFonts w:ascii="TimesNewRomanPSMT" w:hAnsi="TimesNewRomanPSMT" w:cs="TimesNewRomanPSMT"/>
                <w:sz w:val="16"/>
                <w:szCs w:val="16"/>
              </w:rPr>
            </w:pPr>
          </w:p>
        </w:tc>
      </w:tr>
      <w:tr w:rsidR="00267845" w14:paraId="5DD45EA4" w14:textId="77777777" w:rsidTr="00AC7460">
        <w:tc>
          <w:tcPr>
            <w:tcW w:w="2027"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936"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40"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09"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861"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936"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61"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9E7A84"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973B50" w:rsidRPr="00BC091E" w14:paraId="36A597AB" w14:textId="77777777" w:rsidTr="00BC091E">
        <w:tc>
          <w:tcPr>
            <w:tcW w:w="1165"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862"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936"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87"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5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09"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1"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36"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61"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C091E" w:rsidRPr="00BC091E" w14:paraId="25E14629" w14:textId="77777777" w:rsidTr="001227DC">
        <w:tc>
          <w:tcPr>
            <w:tcW w:w="8270" w:type="dxa"/>
            <w:gridSpan w:val="9"/>
          </w:tcPr>
          <w:p w14:paraId="5ED82A72" w14:textId="37947C6B" w:rsidR="00BC091E" w:rsidRPr="00A75D37" w:rsidRDefault="00BC091E">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8" w:name="S2"/>
      <w:bookmarkEnd w:id="48"/>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E7A84"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lastRenderedPageBreak/>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764B68">
        <w:tc>
          <w:tcPr>
            <w:tcW w:w="1378"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378"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37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378"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379"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7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9E7A84"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764B68">
        <w:tc>
          <w:tcPr>
            <w:tcW w:w="1378"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378"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378"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378"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379"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79"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34636EAD" w14:textId="1424ED0C" w:rsidR="00101463" w:rsidRDefault="003C4B80" w:rsidP="00101463">
      <w:bookmarkStart w:id="51" w:name="Locaux"/>
      <w:bookmarkEnd w:id="51"/>
      <w:proofErr w:type="gramStart"/>
      <w:r>
        <w:t>{{ Locaux</w:t>
      </w:r>
      <w:proofErr w:type="gramEnd"/>
      <w:r>
        <w:t xml:space="preserve"> }}</w:t>
      </w:r>
    </w:p>
    <w:p w14:paraId="6599A934" w14:textId="77777777" w:rsidR="00101463" w:rsidRDefault="00101463" w:rsidP="00101463">
      <w:pPr>
        <w:rPr>
          <w:rFonts w:ascii="TimesNewRomanPSMT" w:hAnsi="TimesNewRomanPSMT" w:cs="TimesNewRomanPSMT"/>
        </w:rPr>
      </w:pPr>
    </w:p>
    <w:p w14:paraId="52FD1F3C" w14:textId="44B51A2D" w:rsidR="00101463" w:rsidRDefault="00101463" w:rsidP="00101463">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2" w:name="Commerce"/>
      <w:bookmarkEnd w:id="52"/>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3" w:name="Bureau"/>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p>
    <w:p w14:paraId="6B87FC56" w14:textId="22ABFB80" w:rsidR="00101463" w:rsidRDefault="00101463" w:rsidP="00101463">
      <w:r>
        <w:t xml:space="preserve">Acte notarié : </w:t>
      </w:r>
      <w:bookmarkStart w:id="57" w:name="ActeNotaire"/>
      <w:bookmarkEnd w:id="57"/>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8" w:name="Notaire"/>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p>
    <w:p w14:paraId="20AF49AF" w14:textId="65CB0BA1" w:rsidR="00101463" w:rsidRDefault="00101463" w:rsidP="00101463">
      <w:r>
        <w:t xml:space="preserve">Référence publicitaire : </w:t>
      </w:r>
      <w:bookmarkStart w:id="59" w:name="Refpublic"/>
      <w:bookmarkEnd w:id="5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60" w:name="PC"/>
      <w:bookmarkEnd w:id="60"/>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9E7A84"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lastRenderedPageBreak/>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xml:space="preserve">{{ </w:t>
            </w:r>
            <w:proofErr w:type="spellStart"/>
            <w:r w:rsidRPr="00336652">
              <w:rPr>
                <w:sz w:val="16"/>
                <w:szCs w:val="16"/>
              </w:rPr>
              <w:t>p.d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5FCDF1DB"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9E7A84"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77777777" w:rsidR="00325DDB" w:rsidRDefault="00325DDB">
      <w:pPr>
        <w:keepLines/>
        <w:pageBreakBefore/>
        <w:overflowPunct/>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t>…</w:t>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FF6F" w14:textId="77777777" w:rsidR="00620A9C" w:rsidRDefault="00620A9C">
      <w:r>
        <w:separator/>
      </w:r>
    </w:p>
  </w:endnote>
  <w:endnote w:type="continuationSeparator" w:id="0">
    <w:p w14:paraId="6EBA78DF" w14:textId="77777777" w:rsidR="00620A9C" w:rsidRDefault="00620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F7B6" w14:textId="77777777" w:rsidR="00620A9C" w:rsidRDefault="00620A9C">
      <w:r>
        <w:separator/>
      </w:r>
    </w:p>
  </w:footnote>
  <w:footnote w:type="continuationSeparator" w:id="0">
    <w:p w14:paraId="14D581AA" w14:textId="77777777" w:rsidR="00620A9C" w:rsidRDefault="00620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xmlns="">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620A9C">
                          <w:pPr>
                            <w:pStyle w:val="Cerfa"/>
                            <w:rPr>
                              <w:sz w:val="16"/>
                              <w:szCs w:val="16"/>
                            </w:rPr>
                          </w:pPr>
                          <w:r>
                            <w:rPr>
                              <w:noProof/>
                            </w:rPr>
                            <w:object w:dxaOrig="785" w:dyaOrig="524" w14:anchorId="03031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054190"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620A9C">
                    <w:pPr>
                      <w:pStyle w:val="Cerfa"/>
                      <w:rPr>
                        <w:sz w:val="16"/>
                        <w:szCs w:val="16"/>
                      </w:rPr>
                    </w:pPr>
                    <w:r>
                      <w:rPr>
                        <w:noProof/>
                      </w:rPr>
                      <w:object w:dxaOrig="785" w:dyaOrig="524" w14:anchorId="030318B1">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054190"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Ch8q3g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BoUdcb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z8DaC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Da9xl+/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IlVAQIAAPo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4CC4"/>
    <w:rsid w:val="000E2F9F"/>
    <w:rsid w:val="000F658F"/>
    <w:rsid w:val="00101463"/>
    <w:rsid w:val="0017444D"/>
    <w:rsid w:val="001F50CA"/>
    <w:rsid w:val="00241D31"/>
    <w:rsid w:val="002507E8"/>
    <w:rsid w:val="00267845"/>
    <w:rsid w:val="002746C9"/>
    <w:rsid w:val="002B705B"/>
    <w:rsid w:val="002D010D"/>
    <w:rsid w:val="002E174F"/>
    <w:rsid w:val="002F579A"/>
    <w:rsid w:val="00303B30"/>
    <w:rsid w:val="003060A8"/>
    <w:rsid w:val="00313E3F"/>
    <w:rsid w:val="00314118"/>
    <w:rsid w:val="00325DDB"/>
    <w:rsid w:val="00336652"/>
    <w:rsid w:val="00357E7E"/>
    <w:rsid w:val="003704BD"/>
    <w:rsid w:val="00381EC1"/>
    <w:rsid w:val="003A64A9"/>
    <w:rsid w:val="003A75CF"/>
    <w:rsid w:val="003B4290"/>
    <w:rsid w:val="003C4B80"/>
    <w:rsid w:val="003F11B0"/>
    <w:rsid w:val="003F33D5"/>
    <w:rsid w:val="00407BF2"/>
    <w:rsid w:val="00442A08"/>
    <w:rsid w:val="00454376"/>
    <w:rsid w:val="00466ACA"/>
    <w:rsid w:val="004729A1"/>
    <w:rsid w:val="004A2C13"/>
    <w:rsid w:val="004B5342"/>
    <w:rsid w:val="004E07D5"/>
    <w:rsid w:val="00542289"/>
    <w:rsid w:val="0055590B"/>
    <w:rsid w:val="005B2229"/>
    <w:rsid w:val="005E22CD"/>
    <w:rsid w:val="005E740C"/>
    <w:rsid w:val="005F6CDA"/>
    <w:rsid w:val="00604027"/>
    <w:rsid w:val="00620A9C"/>
    <w:rsid w:val="00623898"/>
    <w:rsid w:val="00623E2D"/>
    <w:rsid w:val="00626D7C"/>
    <w:rsid w:val="00633EB8"/>
    <w:rsid w:val="0064144E"/>
    <w:rsid w:val="00663B6A"/>
    <w:rsid w:val="0067499F"/>
    <w:rsid w:val="00696A48"/>
    <w:rsid w:val="006B1B1F"/>
    <w:rsid w:val="006B3592"/>
    <w:rsid w:val="006B52D1"/>
    <w:rsid w:val="006E768A"/>
    <w:rsid w:val="00703BBE"/>
    <w:rsid w:val="0072250B"/>
    <w:rsid w:val="007272EA"/>
    <w:rsid w:val="00777235"/>
    <w:rsid w:val="007C1E77"/>
    <w:rsid w:val="007D57D0"/>
    <w:rsid w:val="007E5067"/>
    <w:rsid w:val="007F5409"/>
    <w:rsid w:val="00816999"/>
    <w:rsid w:val="00844303"/>
    <w:rsid w:val="00854BBC"/>
    <w:rsid w:val="008558C6"/>
    <w:rsid w:val="008609D1"/>
    <w:rsid w:val="008A2452"/>
    <w:rsid w:val="008F45A1"/>
    <w:rsid w:val="008F56BB"/>
    <w:rsid w:val="00901736"/>
    <w:rsid w:val="009057E9"/>
    <w:rsid w:val="009244F0"/>
    <w:rsid w:val="00924FB5"/>
    <w:rsid w:val="00927A20"/>
    <w:rsid w:val="0094342C"/>
    <w:rsid w:val="00951A15"/>
    <w:rsid w:val="00973B50"/>
    <w:rsid w:val="00984214"/>
    <w:rsid w:val="009847DA"/>
    <w:rsid w:val="00990DD5"/>
    <w:rsid w:val="00992BB7"/>
    <w:rsid w:val="009B3269"/>
    <w:rsid w:val="009B3684"/>
    <w:rsid w:val="009D5CD6"/>
    <w:rsid w:val="009E7A84"/>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3745"/>
    <w:rsid w:val="00AF7DFC"/>
    <w:rsid w:val="00B03B0D"/>
    <w:rsid w:val="00B407D7"/>
    <w:rsid w:val="00B4276B"/>
    <w:rsid w:val="00B73B4E"/>
    <w:rsid w:val="00B751CE"/>
    <w:rsid w:val="00B77B63"/>
    <w:rsid w:val="00B8449E"/>
    <w:rsid w:val="00BC091E"/>
    <w:rsid w:val="00BC3087"/>
    <w:rsid w:val="00BD5EFB"/>
    <w:rsid w:val="00BF1069"/>
    <w:rsid w:val="00C04B0B"/>
    <w:rsid w:val="00C10164"/>
    <w:rsid w:val="00C17115"/>
    <w:rsid w:val="00C5128E"/>
    <w:rsid w:val="00C55DE9"/>
    <w:rsid w:val="00C6420E"/>
    <w:rsid w:val="00C736AA"/>
    <w:rsid w:val="00C91A80"/>
    <w:rsid w:val="00CF7D43"/>
    <w:rsid w:val="00D12232"/>
    <w:rsid w:val="00D21B14"/>
    <w:rsid w:val="00D2784D"/>
    <w:rsid w:val="00D35E40"/>
    <w:rsid w:val="00D56DCD"/>
    <w:rsid w:val="00D66851"/>
    <w:rsid w:val="00D8046E"/>
    <w:rsid w:val="00DA4635"/>
    <w:rsid w:val="00DB21C7"/>
    <w:rsid w:val="00DD6789"/>
    <w:rsid w:val="00DD71CC"/>
    <w:rsid w:val="00DE0211"/>
    <w:rsid w:val="00DE12B1"/>
    <w:rsid w:val="00DE396D"/>
    <w:rsid w:val="00E076A5"/>
    <w:rsid w:val="00E1773D"/>
    <w:rsid w:val="00E3073A"/>
    <w:rsid w:val="00E357D7"/>
    <w:rsid w:val="00E632C1"/>
    <w:rsid w:val="00E67FE4"/>
    <w:rsid w:val="00E71280"/>
    <w:rsid w:val="00E81DDA"/>
    <w:rsid w:val="00ED0284"/>
    <w:rsid w:val="00EE29FC"/>
    <w:rsid w:val="00F1611B"/>
    <w:rsid w:val="00F254B5"/>
    <w:rsid w:val="00F347B9"/>
    <w:rsid w:val="00F44F36"/>
    <w:rsid w:val="00F51CD7"/>
    <w:rsid w:val="00F74FDF"/>
    <w:rsid w:val="00F766C6"/>
    <w:rsid w:val="00F96F52"/>
    <w:rsid w:val="00FB4159"/>
    <w:rsid w:val="00FC6F2A"/>
    <w:rsid w:val="00FD1663"/>
    <w:rsid w:val="00FD349B"/>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19</Pages>
  <Words>6384</Words>
  <Characters>36394</Characters>
  <Application>Microsoft Office Word</Application>
  <DocSecurity>0</DocSecurity>
  <Lines>303</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93</cp:revision>
  <cp:lastPrinted>1899-12-31T23:50:39Z</cp:lastPrinted>
  <dcterms:created xsi:type="dcterms:W3CDTF">2021-09-08T07:59:00Z</dcterms:created>
  <dcterms:modified xsi:type="dcterms:W3CDTF">2021-09-13T14:03:00Z</dcterms:modified>
</cp:coreProperties>
</file>