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pPr>
      <w:r>
        <w:rPr>
          <w:b/>
          <w:bCs/>
        </w:rPr>
        <w:t xml:space="preserve"> </w:t>
      </w:r>
      <w:r>
        <w:rPr>
          <w:b/>
          <w:bCs/>
        </w:rPr>
        <w:t>Convention n° {% if convention.numero %}{{convention.numero}}{% else %}</w:t>
      </w:r>
      <w:r>
        <w:rPr>
          <w:i/>
          <w:iCs/>
          <w:sz w:val="16"/>
          <w:szCs w:val="16"/>
        </w:rPr>
        <w:t>Le numéro de la convention sera défini et ajouté ici une fois la convention validée</w:t>
      </w:r>
      <w:r>
        <w:rPr>
          <w:b/>
          <w:bCs/>
        </w:rPr>
        <w:t>{% endif %}</w:t>
      </w:r>
    </w:p>
    <w:p>
      <w:pPr>
        <w:pStyle w:val="Normal"/>
        <w:rPr/>
      </w:pPr>
      <w:r>
        <w:rPr/>
      </w:r>
    </w:p>
    <w:p>
      <w:pPr>
        <w:pStyle w:val="Normal"/>
        <w:jc w:val="center"/>
        <w:rPr>
          <w:b/>
          <w:b/>
          <w:bCs/>
          <w:color w:val="000000"/>
        </w:rPr>
      </w:pPr>
      <w:r>
        <w:rPr>
          <w:b/>
          <w:bCs/>
          <w:color w:val="000000"/>
        </w:rPr>
        <w:t>Convention conclue entre l'ETAT,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pPr>
        <w:pStyle w:val="Normal"/>
        <w:jc w:val="center"/>
        <w:rPr/>
      </w:pPr>
      <w:r>
        <w:rPr/>
      </w:r>
    </w:p>
    <w:p>
      <w:pPr>
        <w:pStyle w:val="Normal"/>
        <w:jc w:val="both"/>
        <w:rPr/>
      </w:pPr>
      <w:r>
        <w:rPr/>
        <w:t>Entre les soussignés :</w:t>
      </w:r>
    </w:p>
    <w:p>
      <w:pPr>
        <w:pStyle w:val="Normal"/>
        <w:jc w:val="both"/>
        <w:rPr/>
      </w:pPr>
      <w:r>
        <w:rPr/>
        <w:br/>
      </w:r>
      <w:r>
        <w:rPr>
          <w:color w:val="000000"/>
        </w:rPr>
        <w:t>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w:t>
      </w:r>
      <w:r>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bailleur.nom|upper }}  [Organisme d'habitations à loyer modéré, société d'économie mixte ou collectivité territoriale ou autre personne morale propriétaire du logement-foyer], représenté (e) {%  if convention.signataire_nom %} {{ convention.signataire_nom }}, {{ convention.signataire_fonction }}{% else %} {{ bailleur.signataire_nom }}, {{ bailleur.signataire_fonction }}{% endif %} agissant en vertu de la délibération du Conseil d’Administration en date du {%  if convention.signataire_date_deliberation %}{{ convention.signataire_date_deliberation|d }}{% else %}{{ bailleur.signataire_date_deliberation|d }}{% endif %}</w:t>
      </w:r>
      <w:r>
        <w:rPr>
          <w:rFonts w:ascii="Times New Roman" w:hAnsi="Times New Roman"/>
          <w:color w:val="000000"/>
        </w:rPr>
        <w:t>,</w:t>
      </w:r>
      <w:r>
        <w:rPr>
          <w:rFonts w:cs="TimesNewRomanPSMT" w:ascii="Times New Roman" w:hAnsi="Times New Roman"/>
        </w:rPr>
        <w:t xml:space="preserve">%}, inscrit sous le numéro </w:t>
      </w:r>
      <w:bookmarkStart w:id="0" w:name="Siret1"/>
      <w:bookmarkEnd w:id="0"/>
      <w:r>
        <w:rPr>
          <w:rFonts w:cs="TimesNewRomanPSMT" w:ascii="Times New Roman" w:hAnsi="Times New Roman"/>
        </w:rPr>
        <w:t xml:space="preserve">{{ bailleur.siret }}{% if bailleur.capital_social %}, au capital de </w:t>
      </w:r>
      <w:bookmarkStart w:id="1" w:name="Capital1"/>
      <w:bookmarkEnd w:id="1"/>
      <w:r>
        <w:rPr>
          <w:rFonts w:cs="TimesNewRomanPSMT" w:ascii="Times New Roman" w:hAnsi="Times New Roman"/>
        </w:rPr>
        <w:t xml:space="preserve">{{ bailleur.capital_social|f }} € {% endif %} dont le siège est </w:t>
      </w:r>
      <w:bookmarkStart w:id="2" w:name="Siege1"/>
      <w:bookmarkEnd w:id="2"/>
      <w:r>
        <w:rPr>
          <w:rFonts w:cs="TimesNewRomanPSMT" w:ascii="Times New Roman" w:hAnsi="Times New Roman"/>
        </w:rPr>
        <w:t xml:space="preserve">{{ bailleur.adresse }}, {{ bailleur.code_postal }} {{ bailleur.ville }} </w:t>
      </w:r>
      <w:r>
        <w:rPr>
          <w:rFonts w:ascii="Times New Roman" w:hAnsi="Times New Roman"/>
          <w:color w:val="000000"/>
        </w:rPr>
        <w:t>dénommé (e) ci-après le propriétaire ;</w:t>
      </w:r>
    </w:p>
    <w:p>
      <w:pPr>
        <w:pStyle w:val="Normal"/>
        <w:jc w:val="both"/>
        <w:rPr/>
      </w:pPr>
      <w:r>
        <w:rPr/>
      </w:r>
    </w:p>
    <w:p>
      <w:pPr>
        <w:pStyle w:val="Normal"/>
        <w:jc w:val="both"/>
        <w:rPr/>
      </w:pPr>
      <w:r>
        <w:rPr>
          <w:rFonts w:eastAsia="Arial Unicode MS"/>
        </w:rPr>
        <w:t xml:space="preserve">{{ convention.gestionnaire|default_str_if_none|upper }} [Organisme agréé gestionnaire du logement-foyer, sauf dans le cas où le propriétaire est gestionnaire direct] représenté (e) par {{ convention.gestionnaire_signataire_nom|default_str_if_none }}, {{ convention.gestionnaire_signataire_fonction|default_str_if_none }} </w:t>
      </w:r>
      <w:r>
        <w:rPr>
          <w:color w:val="000000"/>
        </w:rPr>
        <w:t>autorisé à cet effet par délibération de son conseil d'administration, en date du</w:t>
      </w:r>
      <w:r>
        <w:rPr>
          <w:rFonts w:eastAsia="Arial Unicode MS"/>
        </w:rPr>
        <w:t xml:space="preserve"> {{ convention.gestionnaire_signataire_date_deliberation|dd }}, {{ convention.</w:t>
      </w:r>
      <w:r>
        <w:rPr/>
        <w:t xml:space="preserve"> </w:t>
      </w:r>
      <w:r>
        <w:rPr>
          <w:rFonts w:eastAsia="Arial Unicode MS"/>
        </w:rPr>
        <w:t>gestionnaire_bloc_info_complementaire |default_str_if_none }} dénommé ci-après le gestionnaire, et agissant à ce titre en application de la convention de location conclue avec le propriétaire ;</w:t>
      </w:r>
    </w:p>
    <w:p>
      <w:pPr>
        <w:pStyle w:val="Normal"/>
        <w:jc w:val="both"/>
        <w:rPr/>
      </w:pPr>
      <w:r>
        <w:rPr/>
      </w:r>
    </w:p>
    <w:p>
      <w:pPr>
        <w:pStyle w:val="Normal"/>
        <w:jc w:val="both"/>
        <w:rPr/>
      </w:pPr>
      <w:r>
        <w:rPr>
          <w:color w:val="000000"/>
        </w:rPr>
        <w:t xml:space="preserve">Vu l'objet de la résidence sociale tel que défini à l'annexe II </w:t>
      </w:r>
      <w:r>
        <w:rPr/>
        <w:t>;</w:t>
      </w:r>
    </w:p>
    <w:p>
      <w:pPr>
        <w:pStyle w:val="Normal"/>
        <w:jc w:val="both"/>
        <w:rPr/>
      </w:pPr>
      <w:r>
        <w:rPr/>
      </w:r>
    </w:p>
    <w:p>
      <w:pPr>
        <w:pStyle w:val="Normal"/>
        <w:jc w:val="both"/>
        <w:rPr/>
      </w:pPr>
      <w:r>
        <w:rPr>
          <w:color w:val="000000"/>
        </w:rPr>
        <w:t xml:space="preserve">Vu l'agrément de gestionnaire de résidence sociale prévu à l'article R. 353-165-1 ou l'agrément d'intermédiation locative et de gestion locative sociale mentionné à l'article L. 365-4 et délivré par le préfet du département de </w:t>
      </w:r>
      <w:r>
        <w:rPr>
          <w:rFonts w:eastAsia="Arial Unicode MS"/>
        </w:rPr>
        <w:t xml:space="preserve">{{ </w:t>
      </w:r>
      <w:r>
        <w:rPr/>
        <w:t>programme</w:t>
      </w:r>
      <w:r>
        <w:rPr>
          <w:rFonts w:eastAsia="Arial Unicode MS"/>
        </w:rPr>
        <w:t xml:space="preserve">.departement_residence_argement_gestionnaire_intermediation|default_str_if_none }} </w:t>
      </w:r>
      <w:r>
        <w:rPr>
          <w:color w:val="000000"/>
        </w:rPr>
        <w:t xml:space="preserve">en date du </w:t>
      </w:r>
      <w:r>
        <w:rPr>
          <w:rFonts w:eastAsia="Arial Unicode MS"/>
        </w:rPr>
        <w:t xml:space="preserve">{{ </w:t>
      </w:r>
      <w:r>
        <w:rPr/>
        <w:t>programme</w:t>
      </w:r>
      <w:r>
        <w:rPr>
          <w:rFonts w:eastAsia="Arial Unicode MS"/>
        </w:rPr>
        <w:t>.date_residence_argement_gestionnaire_intermediation|dd }}</w:t>
      </w:r>
      <w:r>
        <w:rPr>
          <w:color w:val="000000"/>
        </w:rPr>
        <w:t xml:space="preserve"> à </w:t>
      </w:r>
      <w:r>
        <w:rPr>
          <w:rFonts w:eastAsia="Arial Unicode MS"/>
        </w:rPr>
        <w:t xml:space="preserve">{{ </w:t>
      </w:r>
      <w:r>
        <w:rPr/>
        <w:t>programme</w:t>
      </w:r>
      <w:r>
        <w:rPr>
          <w:rFonts w:eastAsia="Arial Unicode MS"/>
        </w:rPr>
        <w:t xml:space="preserve">.ville_signature_residence_agrement_gestionnaire_intermediation|default_str_if_none }} </w:t>
      </w:r>
      <w:r>
        <w:rPr>
          <w:color w:val="000000"/>
        </w:rPr>
        <w:t xml:space="preserve">au gestionnaire pour assurer la gestion de résidences sociales </w:t>
      </w:r>
      <w:r>
        <w:rPr/>
        <w:t>;</w:t>
      </w:r>
    </w:p>
    <w:p>
      <w:pPr>
        <w:pStyle w:val="Normal"/>
        <w:jc w:val="both"/>
        <w:rPr/>
      </w:pPr>
      <w:r>
        <w:rPr/>
      </w:r>
    </w:p>
    <w:p>
      <w:pPr>
        <w:pStyle w:val="Normal"/>
        <w:jc w:val="both"/>
        <w:rPr/>
      </w:pPr>
      <w:r>
        <w:rPr/>
        <w:t>[Le cas échéant] Vu la convention de location, jointe à la présente convention, en date du {{ programme.date_convention_location|dd }} conclue entre le propriétaire et le gestionnaire</w:t>
      </w:r>
    </w:p>
    <w:p>
      <w:pPr>
        <w:pStyle w:val="Normal"/>
        <w:jc w:val="both"/>
        <w:rPr/>
      </w:pPr>
      <w:r>
        <w:rPr/>
      </w:r>
    </w:p>
    <w:p>
      <w:pPr>
        <w:pStyle w:val="Normal"/>
        <w:jc w:val="both"/>
        <w:rPr/>
      </w:pPr>
      <w:r>
        <w:rPr/>
        <w:t>[Le cas échéant] Vu la description du programme et des travaux prévus annexée à la présente convention</w:t>
        <w:softHyphen/>
        <w:softHyphen/>
      </w:r>
      <w:r>
        <w:rPr>
          <w:color w:val="000000"/>
        </w:rPr>
        <w:t> (annexe I) ;</w:t>
      </w:r>
    </w:p>
    <w:p>
      <w:pPr>
        <w:pStyle w:val="Normal"/>
        <w:jc w:val="both"/>
        <w:rPr/>
      </w:pPr>
      <w:r>
        <w:rPr/>
      </w:r>
    </w:p>
    <w:p>
      <w:pPr>
        <w:pStyle w:val="Normal"/>
        <w:jc w:val="both"/>
        <w:rPr/>
      </w:pPr>
      <w:r>
        <w:rPr/>
        <w:t>[Le cas échéant] Vu l'échéancier du programme des travaux joint à la présente convention,</w:t>
      </w:r>
    </w:p>
    <w:p>
      <w:pPr>
        <w:pStyle w:val="Normal"/>
        <w:jc w:val="both"/>
        <w:rPr/>
      </w:pPr>
      <w:r>
        <w:rPr/>
      </w:r>
    </w:p>
    <w:p>
      <w:pPr>
        <w:pStyle w:val="Normal"/>
        <w:jc w:val="both"/>
        <w:rPr/>
      </w:pPr>
      <w:r>
        <w:rPr/>
        <w:t>Il a été convenu de ce qui suit :</w:t>
      </w:r>
    </w:p>
    <w:p>
      <w:pPr>
        <w:pStyle w:val="Normal"/>
        <w:jc w:val="center"/>
        <w:rPr/>
      </w:pPr>
      <w:r>
        <w:rPr/>
      </w:r>
    </w:p>
    <w:p>
      <w:pPr>
        <w:pStyle w:val="Normal"/>
        <w:jc w:val="center"/>
        <w:rPr/>
      </w:pPr>
      <w:r>
        <w:rPr/>
      </w:r>
      <w:r>
        <w:br w:type="page"/>
      </w:r>
    </w:p>
    <w:p>
      <w:pPr>
        <w:pStyle w:val="Normal"/>
        <w:jc w:val="center"/>
        <w:rPr>
          <w:rFonts w:ascii="Times New Roman" w:hAnsi="Times New Roman"/>
        </w:rPr>
      </w:pPr>
      <w:r>
        <w:rPr>
          <w:rFonts w:ascii="Times New Roman" w:hAnsi="Times New Roman"/>
        </w:rPr>
        <w:t>Article 1er.</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i/>
          <w:iCs/>
        </w:rPr>
        <w:t>Objet de la convention</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La présente convention a pour objet de fixer les droits et les obligations des parties prévus par les articles L. 353-154 à L. 353-165 du code de la construction et de l'habitation, </w:t>
      </w:r>
      <w:r>
        <w:rPr>
          <w:rFonts w:ascii="Times New Roman" w:hAnsi="Times New Roman"/>
          <w:color w:val="000000"/>
        </w:rPr>
        <w:t xml:space="preserve"> pour le logement-foyer de [nom et adresse de l'établissement] </w:t>
      </w:r>
      <w:r>
        <w:rPr>
          <w:rFonts w:ascii="Times New Roman" w:hAnsi="Times New Roman"/>
        </w:rPr>
        <w:t xml:space="preserve">{{ programme.nom }} à {{ adresse|inline_text_multiline }} à {{code_postal }}, {{ville }} </w:t>
      </w:r>
      <w:r>
        <w:rPr>
          <w:rFonts w:ascii="Times New Roman" w:hAnsi="Times New Roman"/>
          <w:color w:val="000000"/>
        </w:rPr>
        <w:t xml:space="preserve">dont le programme est annexé à la </w:t>
      </w:r>
      <w:r>
        <w:rPr>
          <w:rFonts w:ascii="Times New Roman" w:hAnsi="Times New Roman"/>
        </w:rPr>
        <w:t>présente convention.</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pPr>
        <w:pStyle w:val="Normal"/>
        <w:jc w:val="both"/>
        <w:rPr>
          <w:rFonts w:ascii="Times New Roman" w:hAnsi="Times New Roman"/>
          <w:color w:val="000000"/>
        </w:rPr>
      </w:pPr>
      <w:r>
        <w:rPr>
          <w:rFonts w:ascii="Times New Roman" w:hAnsi="Times New Roman"/>
          <w:color w:val="000000"/>
        </w:rPr>
      </w:r>
    </w:p>
    <w:p>
      <w:pPr>
        <w:pStyle w:val="Normal"/>
        <w:jc w:val="both"/>
        <w:rPr>
          <w:rFonts w:ascii="Times New Roman" w:hAnsi="Times New Roman"/>
        </w:rPr>
      </w:pPr>
      <w:r>
        <w:rPr>
          <w:rFonts w:ascii="Times New Roman" w:hAnsi="Times New Roman"/>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pPr>
        <w:pStyle w:val="Normal"/>
        <w:jc w:val="both"/>
        <w:rPr>
          <w:rFonts w:ascii="Times New Roman" w:hAnsi="Times New Roman"/>
          <w:color w:val="000000"/>
        </w:rPr>
      </w:pPr>
      <w:r>
        <w:rPr>
          <w:rFonts w:ascii="Times New Roman" w:hAnsi="Times New Roman"/>
          <w:color w:val="000000"/>
        </w:rPr>
      </w:r>
    </w:p>
    <w:p>
      <w:pPr>
        <w:pStyle w:val="Normal"/>
        <w:jc w:val="both"/>
        <w:rPr>
          <w:rFonts w:ascii="Times New Roman" w:hAnsi="Times New Roman"/>
        </w:rPr>
      </w:pPr>
      <w:r>
        <w:rPr>
          <w:rFonts w:ascii="Times New Roman" w:hAnsi="Times New Roman"/>
          <w:color w:val="000000"/>
        </w:rPr>
        <w:t>Les personnes accueillies dans la résidence sociale sont dénommées résidents et entrent dans le champ d'application des articles L. 633-1 à L. 633-5 du code de la construction et de l'habitation.</w:t>
      </w:r>
    </w:p>
    <w:p>
      <w:pPr>
        <w:pStyle w:val="Normal"/>
        <w:jc w:val="both"/>
        <w:rPr>
          <w:rFonts w:ascii="Times New Roman" w:hAnsi="Times New Roman"/>
          <w:color w:val="000000"/>
        </w:rPr>
      </w:pPr>
      <w:r>
        <w:rPr>
          <w:rFonts w:ascii="Times New Roman" w:hAnsi="Times New Roman"/>
          <w:color w:val="000000"/>
        </w:rPr>
      </w:r>
    </w:p>
    <w:p>
      <w:pPr>
        <w:pStyle w:val="Normal"/>
        <w:jc w:val="both"/>
        <w:rPr>
          <w:rFonts w:ascii="Times New Roman" w:hAnsi="Times New Roman"/>
        </w:rPr>
      </w:pPr>
      <w:r>
        <w:rPr>
          <w:rFonts w:ascii="Times New Roman" w:hAnsi="Times New Roman"/>
          <w:color w:val="000000"/>
        </w:rPr>
        <w:t xml:space="preserve">L'agrément prévu à l'article R. 353-156 du code de la construction et de l'habitation a été délivré par le préfet du département </w:t>
      </w:r>
      <w:r>
        <w:rPr>
          <w:rFonts w:ascii="Times New Roman" w:hAnsi="Times New Roman"/>
        </w:rPr>
        <w:t>de</w:t>
      </w:r>
      <w:r>
        <w:rPr>
          <w:rFonts w:cs="Arial" w:ascii="Times New Roman" w:hAnsi="Times New Roman"/>
          <w:sz w:val="22"/>
          <w:szCs w:val="22"/>
        </w:rPr>
        <w:t xml:space="preserve"> […]</w:t>
      </w:r>
      <w:r>
        <w:rPr>
          <w:rFonts w:ascii="Times New Roman" w:hAnsi="Times New Roman"/>
        </w:rPr>
        <w:t>.en date du</w:t>
      </w:r>
      <w:r>
        <w:rPr>
          <w:rFonts w:cs="Arial" w:ascii="Times New Roman" w:hAnsi="Times New Roman"/>
          <w:sz w:val="22"/>
          <w:szCs w:val="22"/>
        </w:rPr>
        <w:t xml:space="preserve"> […]</w:t>
      </w:r>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Article 2.</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i/>
          <w:iCs/>
        </w:rPr>
        <w:t>Durée de la convention</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La présente convention prend effet à compter de sa date de signature.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color w:val="000000"/>
        </w:rPr>
        <w:t xml:space="preserve">Elle est conclue pour une durée de {{ nombre_annees_conventionnement }} ans dans les limites fixées aux articles R. 353-159 et R. 353160 du code de la construction et de l'habitation. </w:t>
      </w:r>
      <w:r>
        <w:rPr>
          <w:rFonts w:ascii="Times New Roman" w:hAnsi="Times New Roman"/>
        </w:rPr>
        <w:t>Elle expire le {{ convention.date_fin_conventionnement|d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 défaut de dénonciation expresse notifiée au moins six mois avant cette date, la convention est renouvelée par tacite reconduction par périodes triennales prenant effet à compter de sa date d'expiration.</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color w:val="000000"/>
        </w:rPr>
        <w:t>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convention mentionnée aux articles L. 301-5-1 et L. 301-5-2, au président de l'établissement public de coopération intercommunale ou du conseil général</w:t>
      </w:r>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Pendant la durée de la convention, le préfet est tenu informé des modifications apportées à la convention de location conclue entre le propriétaire et le gestionnaire du logement-foyer.</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Ces modifications ne peuvent conduire à remettre en cause les engagements pris dans la présente convention.</w:t>
      </w:r>
    </w:p>
    <w:p>
      <w:pPr>
        <w:pStyle w:val="Normal"/>
        <w:jc w:val="center"/>
        <w:rPr/>
      </w:pPr>
      <w:r>
        <w:rPr/>
      </w:r>
    </w:p>
    <w:p>
      <w:pPr>
        <w:pStyle w:val="Normal"/>
        <w:jc w:val="center"/>
        <w:rPr/>
      </w:pPr>
      <w:r>
        <w:rPr/>
        <w:t>Article 3.</w:t>
      </w:r>
    </w:p>
    <w:p>
      <w:pPr>
        <w:pStyle w:val="Normal"/>
        <w:jc w:val="center"/>
        <w:rPr/>
      </w:pPr>
      <w:r>
        <w:rPr/>
      </w:r>
    </w:p>
    <w:p>
      <w:pPr>
        <w:pStyle w:val="Normal"/>
        <w:jc w:val="center"/>
        <w:rPr/>
      </w:pPr>
      <w:r>
        <w:rPr>
          <w:i/>
          <w:iCs/>
        </w:rPr>
        <w:t>Obligations respectives du propriétaire et du bailleur relatives à la maintenance et à l'entretien des locaux loués</w:t>
      </w:r>
    </w:p>
    <w:p>
      <w:pPr>
        <w:pStyle w:val="Normal"/>
        <w:jc w:val="center"/>
        <w:rPr/>
      </w:pPr>
      <w:r>
        <w:rPr/>
      </w:r>
    </w:p>
    <w:p>
      <w:pPr>
        <w:pStyle w:val="Normal"/>
        <w:jc w:val="both"/>
        <w:rPr/>
      </w:pPr>
      <w:r>
        <w:rPr/>
        <w:t>Les locaux doivent être maintenus en bon état de fonctionnement au moyen d'une politique de provision pour le financement de travaux d'entretien et de grosses réparations.</w:t>
      </w:r>
    </w:p>
    <w:p>
      <w:pPr>
        <w:pStyle w:val="Normal"/>
        <w:jc w:val="both"/>
        <w:rPr/>
      </w:pPr>
      <w:r>
        <w:rPr/>
      </w:r>
    </w:p>
    <w:p>
      <w:pPr>
        <w:pStyle w:val="Normal"/>
        <w:jc w:val="both"/>
        <w:rPr/>
      </w:pPr>
      <w:r>
        <w:rPr/>
        <w:t>Si le propriétaire et le gestionnaire sont deux organismes distincts, les obligations respectives du propriétaire et du gestionnaire relatives à la maintenance et à l'entretien des locaux sont celles définies dans la convention de location.</w:t>
      </w:r>
    </w:p>
    <w:p>
      <w:pPr>
        <w:pStyle w:val="Normal"/>
        <w:jc w:val="both"/>
        <w:rPr/>
      </w:pPr>
      <w:r>
        <w:rPr/>
      </w:r>
    </w:p>
    <w:p>
      <w:pPr>
        <w:pStyle w:val="Normal"/>
        <w:jc w:val="both"/>
        <w:rPr/>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Pr/>
        <w:t>.</w:t>
      </w:r>
    </w:p>
    <w:p>
      <w:pPr>
        <w:pStyle w:val="Normal"/>
        <w:jc w:val="both"/>
        <w:rPr/>
      </w:pPr>
      <w:r>
        <w:rPr/>
      </w:r>
    </w:p>
    <w:p>
      <w:pPr>
        <w:pStyle w:val="Normal"/>
        <w:jc w:val="both"/>
        <w:rPr/>
      </w:pPr>
      <w:r>
        <w:rP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pPr>
        <w:pStyle w:val="Normal"/>
        <w:jc w:val="center"/>
        <w:rPr/>
      </w:pPr>
      <w:r>
        <w:rPr/>
      </w:r>
    </w:p>
    <w:p>
      <w:pPr>
        <w:pStyle w:val="Normal"/>
        <w:jc w:val="center"/>
        <w:rPr/>
      </w:pPr>
      <w:r>
        <w:rPr/>
        <w:t>Article 4.</w:t>
      </w:r>
    </w:p>
    <w:p>
      <w:pPr>
        <w:pStyle w:val="Normal"/>
        <w:jc w:val="center"/>
        <w:rPr/>
      </w:pPr>
      <w:r>
        <w:rPr/>
      </w:r>
    </w:p>
    <w:p>
      <w:pPr>
        <w:pStyle w:val="Normal"/>
        <w:jc w:val="center"/>
        <w:rPr/>
      </w:pPr>
      <w:r>
        <w:rPr>
          <w:i/>
          <w:iCs/>
        </w:rPr>
        <w:t xml:space="preserve">Conditions d'attribution et d'occupation permanente </w:t>
      </w:r>
      <w:r>
        <w:rPr>
          <w:i/>
          <w:iCs/>
          <w:color w:val="000000"/>
        </w:rPr>
        <w:t>de la résidence sociale</w:t>
      </w:r>
    </w:p>
    <w:p>
      <w:pPr>
        <w:pStyle w:val="Normal"/>
        <w:jc w:val="center"/>
        <w:rPr/>
      </w:pPr>
      <w:r>
        <w:rPr/>
      </w:r>
    </w:p>
    <w:p>
      <w:pPr>
        <w:pStyle w:val="Normal"/>
        <w:jc w:val="both"/>
        <w:rPr/>
      </w:pPr>
      <w:r>
        <w:rPr>
          <w:color w:val="000000"/>
        </w:rPr>
        <w:t xml:space="preserve">Le gestionnaire s'engage à réserver la résidence sociale aux personnes seules ou en ménage dans l'établissement suivant </w:t>
      </w:r>
      <w:r>
        <w:rPr/>
        <w:t>:</w:t>
      </w:r>
    </w:p>
    <w:p>
      <w:pPr>
        <w:pStyle w:val="Normal"/>
        <w:jc w:val="both"/>
        <w:rPr/>
      </w:pPr>
      <w:r>
        <w:rPr/>
      </w:r>
    </w:p>
    <w:p>
      <w:pPr>
        <w:pStyle w:val="Normal"/>
        <w:jc w:val="both"/>
        <w:rPr/>
      </w:pPr>
      <w:r>
        <w:rPr/>
        <w:t>[cocher la case prévue selon le type d'établissement retenu] :</w:t>
      </w:r>
    </w:p>
    <w:p>
      <w:pPr>
        <w:pStyle w:val="Normal"/>
        <w:jc w:val="both"/>
        <w:rPr/>
      </w:pPr>
      <w:r>
        <w:rPr/>
      </w:r>
    </w:p>
    <w:p>
      <w:pPr>
        <w:pStyle w:val="Normal"/>
        <w:jc w:val="both"/>
        <w:rPr/>
      </w:pPr>
      <w:r>
        <w:rPr/>
        <w:t>{% if convention.attribution_residence_sociale_ordinaire %}</w:t>
      </w:r>
      <w:r>
        <w:fldChar w:fldCharType="begin">
          <w:ffData>
            <w:name w:val=""/>
            <w:enabled/>
            <w:calcOnExit w:val="0"/>
            <w:checkBox>
              <w:sizeAuto/>
              <w:checked/>
            </w:checkBox>
          </w:ffData>
        </w:fldChar>
      </w:r>
      <w:r>
        <w:rPr/>
        <w:instrText xml:space="preserve"> FORMCHECKBOX </w:instrText>
      </w:r>
      <w:r>
        <w:rPr/>
        <w:fldChar w:fldCharType="separate"/>
      </w:r>
      <w:bookmarkStart w:id="3" w:name="__Fieldmark__169_3853664639"/>
      <w:bookmarkStart w:id="4" w:name="__Fieldmark__169_3853664639"/>
      <w:bookmarkEnd w:id="4"/>
      <w:r>
        <w:rPr/>
      </w:r>
      <w:r>
        <w:rPr/>
        <w:fldChar w:fldCharType="end"/>
      </w:r>
      <w:r>
        <w:rPr/>
        <w:t xml:space="preserve"> {% else %}</w:t>
      </w:r>
      <w:r>
        <w:fldChar w:fldCharType="begin">
          <w:ffData>
            <w:name w:val=""/>
            <w:enabled/>
            <w:calcOnExit w:val="0"/>
            <w:checkBox>
              <w:sizeAuto/>
            </w:checkBox>
          </w:ffData>
        </w:fldChar>
      </w:r>
      <w:r>
        <w:rPr/>
        <w:instrText xml:space="preserve"> FORMCHECKBOX </w:instrText>
      </w:r>
      <w:r>
        <w:rPr/>
        <w:fldChar w:fldCharType="separate"/>
      </w:r>
      <w:bookmarkStart w:id="5" w:name="__Fieldmark__173_3853664639"/>
      <w:bookmarkStart w:id="6" w:name="__Fieldmark__173_3853664639"/>
      <w:bookmarkEnd w:id="6"/>
      <w:r>
        <w:rPr/>
      </w:r>
      <w:r>
        <w:rPr/>
        <w:fldChar w:fldCharType="end"/>
      </w:r>
      <w:r>
        <w:rPr/>
        <w:t xml:space="preserve"> {% endif -%}</w:t>
      </w:r>
    </w:p>
    <w:p>
      <w:pPr>
        <w:pStyle w:val="Normal"/>
        <w:jc w:val="both"/>
        <w:rPr>
          <w:color w:val="000000"/>
        </w:rPr>
      </w:pPr>
      <w:r>
        <w:rPr>
          <w:color w:val="000000"/>
        </w:rPr>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pPr>
        <w:pStyle w:val="Normal"/>
        <w:jc w:val="both"/>
        <w:rPr>
          <w:color w:val="000000"/>
        </w:rPr>
      </w:pPr>
      <w:r>
        <w:rPr>
          <w:color w:val="000000"/>
        </w:rPr>
      </w:r>
    </w:p>
    <w:p>
      <w:pPr>
        <w:pStyle w:val="Normal"/>
        <w:jc w:val="both"/>
        <w:rPr/>
      </w:pPr>
      <w:r>
        <w:rPr/>
        <w:t>{% if convention.attribution_pension_de_famille %}</w:t>
      </w:r>
      <w:r>
        <w:fldChar w:fldCharType="begin">
          <w:ffData>
            <w:name w:val=""/>
            <w:enabled/>
            <w:calcOnExit w:val="0"/>
            <w:checkBox>
              <w:sizeAuto/>
              <w:checked/>
            </w:checkBox>
          </w:ffData>
        </w:fldChar>
      </w:r>
      <w:r>
        <w:rPr/>
        <w:instrText xml:space="preserve"> FORMCHECKBOX </w:instrText>
      </w:r>
      <w:r>
        <w:rPr/>
        <w:fldChar w:fldCharType="separate"/>
      </w:r>
      <w:bookmarkStart w:id="7" w:name="__Fieldmark__184_3853664639"/>
      <w:bookmarkStart w:id="8" w:name="__Fieldmark__184_3853664639"/>
      <w:bookmarkEnd w:id="8"/>
      <w:r>
        <w:rPr/>
      </w:r>
      <w:r>
        <w:rPr/>
        <w:fldChar w:fldCharType="end"/>
      </w:r>
      <w:r>
        <w:rPr/>
        <w:t xml:space="preserve"> {% else %}</w:t>
      </w:r>
      <w:r>
        <w:fldChar w:fldCharType="begin">
          <w:ffData>
            <w:name w:val=""/>
            <w:enabled/>
            <w:calcOnExit w:val="0"/>
            <w:checkBox>
              <w:sizeAuto/>
            </w:checkBox>
          </w:ffData>
        </w:fldChar>
      </w:r>
      <w:r>
        <w:rPr/>
        <w:instrText xml:space="preserve"> FORMCHECKBOX </w:instrText>
      </w:r>
      <w:r>
        <w:rPr/>
        <w:fldChar w:fldCharType="separate"/>
      </w:r>
      <w:bookmarkStart w:id="9" w:name="__Fieldmark__187_3853664639"/>
      <w:bookmarkStart w:id="10" w:name="__Fieldmark__187_3853664639"/>
      <w:bookmarkEnd w:id="10"/>
      <w:r>
        <w:rPr/>
      </w:r>
      <w:r>
        <w:rPr/>
        <w:fldChar w:fldCharType="end"/>
      </w:r>
      <w:r>
        <w:rPr/>
        <w:t xml:space="preserve"> {% endif -%}</w:t>
        <w:br/>
      </w:r>
      <w:r>
        <w:rPr>
          <w:color w:val="000000"/>
        </w:rPr>
        <w:t>Pension de famille [accueil sans condition de durée de personnes dont la situation sociale et psychologique ne permet pas leur accès à un logement ordinaire].</w:t>
      </w:r>
    </w:p>
    <w:p>
      <w:pPr>
        <w:pStyle w:val="Normal"/>
        <w:jc w:val="both"/>
        <w:rPr>
          <w:color w:val="000000"/>
        </w:rPr>
      </w:pPr>
      <w:r>
        <w:rPr>
          <w:color w:val="000000"/>
        </w:rPr>
      </w:r>
    </w:p>
    <w:p>
      <w:pPr>
        <w:pStyle w:val="Normal"/>
        <w:jc w:val="both"/>
        <w:rPr>
          <w:color w:val="000000"/>
        </w:rPr>
      </w:pPr>
      <w:r>
        <w:rPr/>
        <w:t>{% if convention.attribution_residence_accueil %}</w:t>
      </w:r>
      <w:r>
        <w:fldChar w:fldCharType="begin">
          <w:ffData>
            <w:name w:val=""/>
            <w:enabled/>
            <w:calcOnExit w:val="0"/>
            <w:checkBox>
              <w:sizeAuto/>
              <w:checked/>
            </w:checkBox>
          </w:ffData>
        </w:fldChar>
      </w:r>
      <w:r>
        <w:rPr/>
        <w:instrText xml:space="preserve"> FORMCHECKBOX </w:instrText>
      </w:r>
      <w:r>
        <w:rPr/>
        <w:fldChar w:fldCharType="separate"/>
      </w:r>
      <w:bookmarkStart w:id="11" w:name="__Fieldmark__197_3853664639"/>
      <w:bookmarkStart w:id="12" w:name="__Fieldmark__197_3853664639"/>
      <w:bookmarkEnd w:id="12"/>
      <w:r>
        <w:rPr/>
      </w:r>
      <w:r>
        <w:rPr/>
        <w:fldChar w:fldCharType="end"/>
      </w:r>
      <w:r>
        <w:rPr/>
        <w:t xml:space="preserve"> {% else %}</w:t>
      </w:r>
      <w:r>
        <w:fldChar w:fldCharType="begin">
          <w:ffData>
            <w:name w:val=""/>
            <w:enabled/>
            <w:calcOnExit w:val="0"/>
            <w:checkBox>
              <w:sizeAuto/>
            </w:checkBox>
          </w:ffData>
        </w:fldChar>
      </w:r>
      <w:r>
        <w:rPr/>
        <w:instrText xml:space="preserve"> FORMCHECKBOX </w:instrText>
      </w:r>
      <w:r>
        <w:rPr/>
        <w:fldChar w:fldCharType="separate"/>
      </w:r>
      <w:bookmarkStart w:id="13" w:name="__Fieldmark__200_3853664639"/>
      <w:bookmarkStart w:id="14" w:name="__Fieldmark__200_3853664639"/>
      <w:bookmarkEnd w:id="14"/>
      <w:r>
        <w:rPr/>
      </w:r>
      <w:r>
        <w:rPr/>
        <w:fldChar w:fldCharType="end"/>
      </w:r>
      <w:r>
        <w:rPr/>
        <w:t xml:space="preserve"> {% endif -%}</w:t>
        <w:br/>
      </w:r>
      <w:r>
        <w:rPr>
          <w:color w:val="000000"/>
        </w:rPr>
        <w:t>Résidence accueil [pension de famille pour personnes présentant un handicap psychique].</w:t>
      </w:r>
    </w:p>
    <w:p>
      <w:pPr>
        <w:pStyle w:val="Normal"/>
        <w:jc w:val="both"/>
        <w:rPr/>
      </w:pPr>
      <w:r>
        <w:rPr/>
      </w:r>
    </w:p>
    <w:p>
      <w:pPr>
        <w:pStyle w:val="Normal"/>
        <w:jc w:val="both"/>
        <w:rPr/>
      </w:pPr>
      <w:r>
        <w:rPr/>
        <w:t xml:space="preserve">La part des locaux à usage privatif réservés par le préfet est fixée à {{ convention.attribution_reservation_prefectorale }} % du total des locaux à usage privatif </w:t>
      </w:r>
      <w:r>
        <w:rPr>
          <w:color w:val="000000"/>
        </w:rPr>
        <w:t>de la résidence sociale.</w:t>
      </w:r>
      <w:r>
        <w:rPr/>
        <w:t xml:space="preserve"> </w:t>
      </w:r>
      <w:r>
        <w:rPr>
          <w:color w:val="000000"/>
        </w:rPr>
        <w:t>Ce pourcentage doit tenir compte des besoins recensés par le plan départemental d'action pour le logement des personnes défavorisées. Dans ce cadre, le préfet propose au gestionnaire des candidats pour ces logements</w:t>
      </w:r>
      <w:r>
        <w:rPr/>
        <w:t>.</w:t>
      </w:r>
    </w:p>
    <w:p>
      <w:pPr>
        <w:pStyle w:val="Normal"/>
        <w:jc w:val="both"/>
        <w:rPr/>
      </w:pPr>
      <w:r>
        <w:rPr/>
      </w:r>
    </w:p>
    <w:p>
      <w:pPr>
        <w:pStyle w:val="Normal"/>
        <w:jc w:val="both"/>
        <w:rPr/>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Pr/>
        <w:t>.</w:t>
      </w:r>
    </w:p>
    <w:p>
      <w:pPr>
        <w:pStyle w:val="Normal"/>
        <w:jc w:val="both"/>
        <w:rPr/>
      </w:pPr>
      <w:r>
        <w:rPr/>
      </w:r>
    </w:p>
    <w:p>
      <w:pPr>
        <w:pStyle w:val="Normal"/>
        <w:jc w:val="both"/>
        <w:rPr/>
      </w:pPr>
      <w:r>
        <w:rPr/>
        <w:t>Les modalités de gestion de ces réservations sont les suivantes :</w:t>
      </w:r>
    </w:p>
    <w:p>
      <w:pPr>
        <w:pStyle w:val="Normal"/>
        <w:jc w:val="both"/>
        <w:rPr/>
      </w:pPr>
      <w:r>
        <w:rPr/>
      </w:r>
    </w:p>
    <w:p>
      <w:pPr>
        <w:pStyle w:val="Normal"/>
        <w:ind w:left="708" w:hanging="0"/>
        <w:jc w:val="both"/>
        <w:rPr/>
      </w:pPr>
      <w:r>
        <w:rPr/>
        <w:t>{{ convention.attribution_modalites_reservations }}</w:t>
      </w:r>
    </w:p>
    <w:p>
      <w:pPr>
        <w:pStyle w:val="Normal"/>
        <w:jc w:val="both"/>
        <w:rPr/>
      </w:pPr>
      <w:r>
        <w:rPr/>
      </w:r>
    </w:p>
    <w:p>
      <w:pPr>
        <w:pStyle w:val="Normal"/>
        <w:jc w:val="both"/>
        <w:rPr/>
      </w:pPr>
      <w:r>
        <w:rPr/>
        <w:t>Les modalités de choix des personnes accueillies sont les suivantes :</w:t>
      </w:r>
    </w:p>
    <w:p>
      <w:pPr>
        <w:pStyle w:val="Normal"/>
        <w:jc w:val="both"/>
        <w:rPr/>
      </w:pPr>
      <w:r>
        <w:rPr/>
      </w:r>
    </w:p>
    <w:p>
      <w:pPr>
        <w:pStyle w:val="Normal"/>
        <w:ind w:left="708" w:hanging="0"/>
        <w:jc w:val="both"/>
        <w:rPr/>
      </w:pPr>
      <w:r>
        <w:rPr/>
        <w:t>{{ convention.attribution_modalites_choix_personnes }}</w:t>
      </w:r>
    </w:p>
    <w:p>
      <w:pPr>
        <w:pStyle w:val="Normal"/>
        <w:jc w:val="both"/>
        <w:rPr/>
      </w:pPr>
      <w:r>
        <w:rPr/>
      </w:r>
    </w:p>
    <w:p>
      <w:pPr>
        <w:pStyle w:val="Normal"/>
        <w:jc w:val="both"/>
        <w:rPr/>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rPr/>
        <w:t>.</w:t>
      </w:r>
    </w:p>
    <w:p>
      <w:pPr>
        <w:pStyle w:val="Normal"/>
        <w:jc w:val="both"/>
        <w:rPr/>
      </w:pPr>
      <w:r>
        <w:rPr/>
      </w:r>
    </w:p>
    <w:p>
      <w:pPr>
        <w:pStyle w:val="Normal"/>
        <w:jc w:val="both"/>
        <w:rPr/>
      </w:pPr>
      <w:r>
        <w:rPr>
          <w:color w:val="000000"/>
        </w:rPr>
        <w:t>L'annexe II précise ces engagements ainsi que l'ensemble des actions menées au bénéfice des résidents</w:t>
      </w:r>
      <w:r>
        <w:rPr/>
        <w:t>.</w:t>
      </w:r>
    </w:p>
    <w:p>
      <w:pPr>
        <w:pStyle w:val="Normal"/>
        <w:rPr/>
      </w:pPr>
      <w:r>
        <w:rPr/>
      </w:r>
    </w:p>
    <w:p>
      <w:pPr>
        <w:pStyle w:val="Normal"/>
        <w:jc w:val="center"/>
        <w:rPr/>
      </w:pPr>
      <w:r>
        <w:rPr/>
        <w:t>Article 5.</w:t>
      </w:r>
    </w:p>
    <w:p>
      <w:pPr>
        <w:pStyle w:val="Normal"/>
        <w:jc w:val="center"/>
        <w:rPr/>
      </w:pPr>
      <w:r>
        <w:rPr/>
      </w:r>
    </w:p>
    <w:p>
      <w:pPr>
        <w:pStyle w:val="Normal"/>
        <w:jc w:val="center"/>
        <w:rPr/>
      </w:pPr>
      <w:r>
        <w:rPr>
          <w:i/>
          <w:iCs/>
        </w:rPr>
        <w:t>Contrat d'occupation entre le résident et le gestionnaire</w:t>
      </w:r>
    </w:p>
    <w:p>
      <w:pPr>
        <w:pStyle w:val="Normal"/>
        <w:jc w:val="both"/>
        <w:rPr/>
      </w:pPr>
      <w:r>
        <w:rPr/>
      </w:r>
    </w:p>
    <w:p>
      <w:pPr>
        <w:pStyle w:val="Normal"/>
        <w:jc w:val="both"/>
        <w:rPr/>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p>
    <w:p>
      <w:pPr>
        <w:pStyle w:val="Normal"/>
        <w:jc w:val="both"/>
        <w:rPr/>
      </w:pPr>
      <w:r>
        <w:rPr/>
      </w:r>
    </w:p>
    <w:p>
      <w:pPr>
        <w:pStyle w:val="Normal"/>
        <w:jc w:val="both"/>
        <w:rPr>
          <w:color w:val="000000"/>
        </w:rPr>
      </w:pPr>
      <w:r>
        <w:rPr>
          <w:color w:val="000000"/>
        </w:rPr>
        <w:t>Ce contrat ne peut être accessoire à un contrat de travail.</w:t>
      </w:r>
    </w:p>
    <w:p>
      <w:pPr>
        <w:pStyle w:val="Normal"/>
        <w:jc w:val="both"/>
        <w:rPr/>
      </w:pPr>
      <w:r>
        <w:rPr/>
      </w:r>
    </w:p>
    <w:p>
      <w:pPr>
        <w:pStyle w:val="Normal"/>
        <w:jc w:val="both"/>
        <w:rPr/>
      </w:pPr>
      <w:r>
        <w:rPr>
          <w:color w:val="000000"/>
        </w:rPr>
        <w:t>En cas de changement de gestionnaire, de résiliation ou de dénonciation de ladite convention, le contrat est opposable de plein droit à tout nouveau gestionnaire.</w:t>
      </w:r>
    </w:p>
    <w:p>
      <w:pPr>
        <w:pStyle w:val="Normal"/>
        <w:jc w:val="both"/>
        <w:rPr/>
      </w:pPr>
      <w:r>
        <w:rPr/>
      </w:r>
    </w:p>
    <w:p>
      <w:pPr>
        <w:pStyle w:val="Normal"/>
        <w:jc w:val="both"/>
        <w:rPr/>
      </w:pPr>
      <w:r>
        <w:rPr>
          <w:color w:val="000000"/>
        </w:rPr>
        <w:t>Ce contrat est conclu pour une durée d'un mois renouvelable par tacite reconduction à la seule volonté du résident ou, à défaut, de son représentant légal, pour des périodes de même durée.</w:t>
      </w:r>
    </w:p>
    <w:p>
      <w:pPr>
        <w:pStyle w:val="Normal"/>
        <w:jc w:val="both"/>
        <w:rPr/>
      </w:pPr>
      <w:r>
        <w:rPr/>
      </w:r>
    </w:p>
    <w:p>
      <w:pPr>
        <w:pStyle w:val="Normal"/>
        <w:jc w:val="both"/>
        <w:rPr/>
      </w:pPr>
      <w:r>
        <w:rPr>
          <w:color w:val="000000"/>
        </w:rPr>
        <w:t>Il précise notamment, en application de l'article L. 633-2 du code de la construction et de l'habitation :</w:t>
      </w:r>
    </w:p>
    <w:p>
      <w:pPr>
        <w:pStyle w:val="Normal"/>
        <w:jc w:val="both"/>
        <w:rPr/>
      </w:pPr>
      <w:r>
        <w:rPr/>
      </w:r>
    </w:p>
    <w:p>
      <w:pPr>
        <w:pStyle w:val="Normal"/>
        <w:jc w:val="both"/>
        <w:rPr/>
      </w:pPr>
      <w:r>
        <w:rPr>
          <w:color w:val="000000"/>
        </w:rPr>
        <w:t>- sa date de prise d'effet et sa durée ;</w:t>
      </w:r>
    </w:p>
    <w:p>
      <w:pPr>
        <w:pStyle w:val="Normal"/>
        <w:jc w:val="both"/>
        <w:rPr/>
      </w:pPr>
      <w:r>
        <w:rPr/>
      </w:r>
    </w:p>
    <w:p>
      <w:pPr>
        <w:pStyle w:val="Normal"/>
        <w:jc w:val="both"/>
        <w:rPr/>
      </w:pPr>
      <w:r>
        <w:rPr>
          <w:color w:val="000000"/>
        </w:rPr>
        <w:t>- la désignation des locaux et, le cas échéant, des meubles et des équipements à usage privatif dont la personne logée a la jouissance ainsi que les espaces collectifs mis à disposition ;</w:t>
      </w:r>
    </w:p>
    <w:p>
      <w:pPr>
        <w:pStyle w:val="Normal"/>
        <w:jc w:val="both"/>
        <w:rPr/>
      </w:pPr>
      <w:r>
        <w:rPr/>
      </w:r>
    </w:p>
    <w:p>
      <w:pPr>
        <w:pStyle w:val="Normal"/>
        <w:jc w:val="both"/>
        <w:rPr/>
      </w:pPr>
      <w:r>
        <w:rPr>
          <w:color w:val="000000"/>
        </w:rPr>
        <w:t>- le montant de la redevance et des prestations telles que définies aux articles 12 et 13 de la présente convention, leurs modalités de calcul et de révision ;</w:t>
      </w:r>
    </w:p>
    <w:p>
      <w:pPr>
        <w:pStyle w:val="Normal"/>
        <w:jc w:val="both"/>
        <w:rPr/>
      </w:pPr>
      <w:r>
        <w:rPr/>
      </w:r>
    </w:p>
    <w:p>
      <w:pPr>
        <w:pStyle w:val="Normal"/>
        <w:jc w:val="both"/>
        <w:rPr/>
      </w:pPr>
      <w:r>
        <w:rPr>
          <w:color w:val="000000"/>
        </w:rPr>
        <w:t>- le cas échéant, le montant du dépôt de garantie tel que défini à l'article 8 de la présente convention ;</w:t>
      </w:r>
    </w:p>
    <w:p>
      <w:pPr>
        <w:pStyle w:val="Normal"/>
        <w:jc w:val="both"/>
        <w:rPr/>
      </w:pPr>
      <w:r>
        <w:rPr/>
      </w:r>
    </w:p>
    <w:p>
      <w:pPr>
        <w:pStyle w:val="Normal"/>
        <w:jc w:val="both"/>
        <w:rPr/>
      </w:pPr>
      <w:r>
        <w:rPr>
          <w:color w:val="000000"/>
        </w:rPr>
        <w:t>- le rappel des conditions spécifiques d'admission de la résidence sociale prévues à l'article 4 de la présente convention et du projet social annexé à la présente convention ;</w:t>
      </w:r>
    </w:p>
    <w:p>
      <w:pPr>
        <w:pStyle w:val="Normal"/>
        <w:jc w:val="both"/>
        <w:rPr/>
      </w:pPr>
      <w:r>
        <w:rPr/>
      </w:r>
    </w:p>
    <w:p>
      <w:pPr>
        <w:pStyle w:val="Normal"/>
        <w:jc w:val="both"/>
        <w:rPr/>
      </w:pPr>
      <w:r>
        <w:rPr>
          <w:color w:val="000000"/>
        </w:rPr>
        <w:t>- les obligations prévues à l'article 1728 du code civil (les locaux loués à usage privatif sont considérés comme le domicile du résident) ;</w:t>
      </w:r>
    </w:p>
    <w:p>
      <w:pPr>
        <w:pStyle w:val="Normal"/>
        <w:jc w:val="both"/>
        <w:rPr/>
      </w:pPr>
      <w:r>
        <w:rPr/>
      </w:r>
    </w:p>
    <w:p>
      <w:pPr>
        <w:pStyle w:val="Normal"/>
        <w:jc w:val="both"/>
        <w:rPr/>
      </w:pPr>
      <w:r>
        <w:rPr>
          <w:color w:val="000000"/>
        </w:rPr>
        <w:t>- ses modalités et conditions de résiliation telles que définies à l'article 6 de la présente convention ;</w:t>
      </w:r>
    </w:p>
    <w:p>
      <w:pPr>
        <w:pStyle w:val="Normal"/>
        <w:jc w:val="both"/>
        <w:rPr/>
      </w:pPr>
      <w:r>
        <w:rPr/>
      </w:r>
    </w:p>
    <w:p>
      <w:pPr>
        <w:pStyle w:val="Normal"/>
        <w:jc w:val="both"/>
        <w:rPr/>
      </w:pPr>
      <w:r>
        <w:rPr>
          <w:color w:val="000000"/>
        </w:rPr>
        <w:t>- les obligations réciproques en cas d'absence prolongée.</w:t>
      </w:r>
    </w:p>
    <w:p>
      <w:pPr>
        <w:pStyle w:val="Normal"/>
        <w:jc w:val="both"/>
        <w:rPr/>
      </w:pPr>
      <w:r>
        <w:rPr/>
      </w:r>
    </w:p>
    <w:p>
      <w:pPr>
        <w:pStyle w:val="Normal"/>
        <w:jc w:val="both"/>
        <w:rPr/>
      </w:pPr>
      <w:r>
        <w:rPr>
          <w:color w:val="000000"/>
        </w:rPr>
        <w:t>La signature du contrat par la ou les personnes cocontractantes logées vaut acceptation du règlement intérieur de l'établissement. Le règlement intérieur est annexé au contrat et paraphé par ces mêmes personnes.</w:t>
      </w:r>
    </w:p>
    <w:p>
      <w:pPr>
        <w:pStyle w:val="Normal"/>
        <w:jc w:val="both"/>
        <w:rPr/>
      </w:pPr>
      <w:r>
        <w:rPr/>
      </w:r>
    </w:p>
    <w:p>
      <w:pPr>
        <w:pStyle w:val="Normal"/>
        <w:jc w:val="both"/>
        <w:rPr/>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pPr>
        <w:pStyle w:val="Normal"/>
        <w:jc w:val="both"/>
        <w:rPr/>
      </w:pPr>
      <w:r>
        <w:rPr/>
      </w:r>
    </w:p>
    <w:p>
      <w:pPr>
        <w:pStyle w:val="Normal"/>
        <w:jc w:val="both"/>
        <w:rPr/>
      </w:pPr>
      <w:r>
        <w:rPr>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p>
    <w:p>
      <w:pPr>
        <w:pStyle w:val="Normal"/>
        <w:jc w:val="center"/>
        <w:rPr/>
      </w:pPr>
      <w:r>
        <w:rPr/>
      </w:r>
    </w:p>
    <w:p>
      <w:pPr>
        <w:pStyle w:val="Normal"/>
        <w:jc w:val="center"/>
        <w:rPr/>
      </w:pPr>
      <w:r>
        <w:rPr/>
        <w:t>Article 6.</w:t>
      </w:r>
    </w:p>
    <w:p>
      <w:pPr>
        <w:pStyle w:val="Normal"/>
        <w:jc w:val="center"/>
        <w:rPr/>
      </w:pPr>
      <w:r>
        <w:rPr/>
      </w:r>
    </w:p>
    <w:p>
      <w:pPr>
        <w:pStyle w:val="Normal"/>
        <w:jc w:val="center"/>
        <w:rPr/>
      </w:pPr>
      <w:r>
        <w:rPr>
          <w:i/>
          <w:iCs/>
        </w:rPr>
        <w:t>Résiliation du contrat entre le résident et le gestionnaire</w:t>
      </w:r>
    </w:p>
    <w:p>
      <w:pPr>
        <w:pStyle w:val="Normal"/>
        <w:jc w:val="both"/>
        <w:rPr/>
      </w:pPr>
      <w:r>
        <w:rPr/>
      </w:r>
    </w:p>
    <w:p>
      <w:pPr>
        <w:pStyle w:val="Normal"/>
        <w:jc w:val="both"/>
        <w:rPr/>
      </w:pPr>
      <w:r>
        <w:rPr>
          <w:color w:val="000000"/>
        </w:rPr>
        <w:t>La résiliation du contrat par le gestionnaire ou le propriétaire ne peut intervenir que dans les cas suivants :</w:t>
      </w:r>
    </w:p>
    <w:p>
      <w:pPr>
        <w:pStyle w:val="Normal"/>
        <w:jc w:val="both"/>
        <w:rPr/>
      </w:pPr>
      <w:r>
        <w:rPr/>
      </w:r>
    </w:p>
    <w:p>
      <w:pPr>
        <w:pStyle w:val="Normal"/>
        <w:jc w:val="both"/>
        <w:rPr/>
      </w:pPr>
      <w:r>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pPr>
        <w:pStyle w:val="Normal"/>
        <w:jc w:val="both"/>
        <w:rPr/>
      </w:pPr>
      <w:r>
        <w:rPr/>
      </w:r>
    </w:p>
    <w:p>
      <w:pPr>
        <w:pStyle w:val="Normal"/>
        <w:jc w:val="both"/>
        <w:rPr/>
      </w:pPr>
      <w:r>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Pr>
          <w:color w:val="000000"/>
          <w:vertAlign w:val="superscript"/>
        </w:rPr>
        <w:t>er</w:t>
      </w:r>
      <w:r>
        <w:rPr>
          <w:color w:val="000000"/>
        </w:rPr>
        <w:t>, et 1343-5 du code civil s'appliquent. Les effets de la clause résolutoire sont suspendus en cas de délai accordé par le juge judiciaire ;</w:t>
      </w:r>
    </w:p>
    <w:p>
      <w:pPr>
        <w:pStyle w:val="Normal"/>
        <w:jc w:val="both"/>
        <w:rPr/>
      </w:pPr>
      <w:r>
        <w:rPr/>
      </w:r>
    </w:p>
    <w:p>
      <w:pPr>
        <w:pStyle w:val="Normal"/>
        <w:jc w:val="both"/>
        <w:rPr/>
      </w:pPr>
      <w:r>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pPr>
        <w:pStyle w:val="Normal"/>
        <w:jc w:val="both"/>
        <w:rPr/>
      </w:pPr>
      <w:r>
        <w:rPr/>
      </w:r>
    </w:p>
    <w:p>
      <w:pPr>
        <w:pStyle w:val="Normal"/>
        <w:jc w:val="both"/>
        <w:rPr/>
      </w:pPr>
      <w:r>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pPr>
        <w:pStyle w:val="Normal"/>
        <w:jc w:val="both"/>
        <w:rPr/>
      </w:pPr>
      <w:r>
        <w:rPr/>
      </w:r>
    </w:p>
    <w:p>
      <w:pPr>
        <w:pStyle w:val="Normal"/>
        <w:jc w:val="both"/>
        <w:rPr/>
      </w:pPr>
      <w:r>
        <w:rPr>
          <w:color w:val="000000"/>
        </w:rPr>
        <w:t>En cas d'inoccupation temporaire de son logement du fait de son état de santé justifié par certificat médical, aucune résiliation pour ce motif ne peut intervenir.</w:t>
      </w:r>
    </w:p>
    <w:p>
      <w:pPr>
        <w:pStyle w:val="Normal"/>
        <w:rPr>
          <w:b/>
          <w:b/>
          <w:bCs/>
        </w:rPr>
      </w:pPr>
      <w:r>
        <w:rPr>
          <w:b/>
          <w:bCs/>
        </w:rPr>
      </w:r>
    </w:p>
    <w:p>
      <w:pPr>
        <w:pStyle w:val="Normal"/>
        <w:jc w:val="center"/>
        <w:rPr/>
      </w:pPr>
      <w:r>
        <w:rPr/>
        <w:t>Article 7.</w:t>
      </w:r>
    </w:p>
    <w:p>
      <w:pPr>
        <w:pStyle w:val="Normal"/>
        <w:jc w:val="center"/>
        <w:rPr/>
      </w:pPr>
      <w:r>
        <w:rPr/>
      </w:r>
    </w:p>
    <w:p>
      <w:pPr>
        <w:pStyle w:val="Normal"/>
        <w:jc w:val="center"/>
        <w:rPr/>
      </w:pPr>
      <w:r>
        <w:rPr>
          <w:i/>
          <w:iCs/>
        </w:rPr>
        <w:t>Dispositions spécifiques en cas d'impayés pour un bénéficiaire de l'aide personnalisée au logement (APL)</w:t>
      </w:r>
    </w:p>
    <w:p>
      <w:pPr>
        <w:pStyle w:val="Normal"/>
        <w:jc w:val="both"/>
        <w:rPr/>
      </w:pPr>
      <w:r>
        <w:rPr/>
      </w:r>
    </w:p>
    <w:p>
      <w:pPr>
        <w:pStyle w:val="Normal"/>
        <w:jc w:val="both"/>
        <w:rPr/>
      </w:pPr>
      <w:r>
        <w:rPr>
          <w:color w:val="000000"/>
        </w:rPr>
        <w:t>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percevant l'APL pour son compte.</w:t>
      </w:r>
    </w:p>
    <w:p>
      <w:pPr>
        <w:pStyle w:val="Normal"/>
        <w:jc w:val="both"/>
        <w:rPr/>
      </w:pPr>
      <w:r>
        <w:rPr/>
      </w:r>
    </w:p>
    <w:p>
      <w:pPr>
        <w:pStyle w:val="Normal"/>
        <w:jc w:val="both"/>
        <w:rPr/>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p>
    <w:p>
      <w:pPr>
        <w:pStyle w:val="Normal"/>
        <w:jc w:val="both"/>
        <w:rPr/>
      </w:pPr>
      <w:r>
        <w:rPr/>
      </w:r>
    </w:p>
    <w:p>
      <w:pPr>
        <w:pStyle w:val="Normal"/>
        <w:jc w:val="center"/>
        <w:rPr/>
      </w:pPr>
      <w:r>
        <w:rPr/>
        <w:t>Article 8.</w:t>
      </w:r>
    </w:p>
    <w:p>
      <w:pPr>
        <w:pStyle w:val="Normal"/>
        <w:jc w:val="center"/>
        <w:rPr/>
      </w:pPr>
      <w:r>
        <w:rPr/>
      </w:r>
    </w:p>
    <w:p>
      <w:pPr>
        <w:pStyle w:val="Normal"/>
        <w:jc w:val="center"/>
        <w:rPr/>
      </w:pPr>
      <w:r>
        <w:rPr>
          <w:i/>
          <w:iCs/>
        </w:rPr>
        <w:t>Dépôt de garantie</w:t>
      </w:r>
    </w:p>
    <w:p>
      <w:pPr>
        <w:pStyle w:val="Normal"/>
        <w:jc w:val="both"/>
        <w:rPr/>
      </w:pPr>
      <w:r>
        <w:rPr/>
      </w:r>
    </w:p>
    <w:p>
      <w:pPr>
        <w:pStyle w:val="Normal"/>
        <w:jc w:val="both"/>
        <w:rPr/>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p>
    <w:p>
      <w:pPr>
        <w:pStyle w:val="Normal"/>
        <w:jc w:val="both"/>
        <w:rPr/>
      </w:pPr>
      <w:r>
        <w:rPr/>
      </w:r>
    </w:p>
    <w:p>
      <w:pPr>
        <w:pStyle w:val="Normal"/>
        <w:jc w:val="both"/>
        <w:rPr/>
      </w:pPr>
      <w:r>
        <w:rPr>
          <w:color w:val="000000"/>
        </w:rPr>
        <w:t>En aucun cas il ne peut être demandé une avance sur le paiement des redevances ou des prestations.</w:t>
      </w:r>
    </w:p>
    <w:p>
      <w:pPr>
        <w:pStyle w:val="Normal"/>
        <w:jc w:val="both"/>
        <w:rPr/>
      </w:pPr>
      <w:r>
        <w:rPr/>
      </w:r>
    </w:p>
    <w:p>
      <w:pPr>
        <w:pStyle w:val="Normal"/>
        <w:jc w:val="center"/>
        <w:rPr/>
      </w:pPr>
      <w:r>
        <w:rPr/>
        <w:t>Article 9.</w:t>
      </w:r>
    </w:p>
    <w:p>
      <w:pPr>
        <w:pStyle w:val="Normal"/>
        <w:jc w:val="center"/>
        <w:rPr/>
      </w:pPr>
      <w:r>
        <w:rPr/>
      </w:r>
    </w:p>
    <w:p>
      <w:pPr>
        <w:pStyle w:val="Normal"/>
        <w:jc w:val="center"/>
        <w:rPr/>
      </w:pPr>
      <w:r>
        <w:rPr>
          <w:i/>
          <w:iCs/>
        </w:rPr>
        <w:t>Information des résidents</w:t>
      </w:r>
    </w:p>
    <w:p>
      <w:pPr>
        <w:pStyle w:val="Normal"/>
        <w:jc w:val="both"/>
        <w:rPr/>
      </w:pPr>
      <w:r>
        <w:rPr/>
      </w:r>
    </w:p>
    <w:p>
      <w:pPr>
        <w:pStyle w:val="Normal"/>
        <w:jc w:val="both"/>
        <w:rPr/>
      </w:pPr>
      <w:r>
        <w:rPr>
          <w:color w:val="000000"/>
        </w:rPr>
        <w:t>Le gestionnaire doit tenir à disposition des résidents toute information sur les prestations de logement ou annexes au logement, ou sur les conditions financières de leur accueil dans le logement-foyer.</w:t>
      </w:r>
    </w:p>
    <w:p>
      <w:pPr>
        <w:pStyle w:val="Normal"/>
        <w:jc w:val="both"/>
        <w:rPr/>
      </w:pPr>
      <w:r>
        <w:rPr/>
      </w:r>
    </w:p>
    <w:p>
      <w:pPr>
        <w:pStyle w:val="Normal"/>
        <w:jc w:val="both"/>
        <w:rPr/>
      </w:pPr>
      <w:r>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pPr>
        <w:pStyle w:val="Normal"/>
        <w:jc w:val="both"/>
        <w:rPr/>
      </w:pPr>
      <w:r>
        <w:rPr/>
      </w:r>
    </w:p>
    <w:p>
      <w:pPr>
        <w:pStyle w:val="Normal"/>
        <w:jc w:val="both"/>
        <w:rPr/>
      </w:pPr>
      <w:r>
        <w:rPr>
          <w:color w:val="000000"/>
        </w:rPr>
        <w:t>Le gestionnaire s'engage à tenir à la disposition des résidents ou des entrants les notices d'information relatives à l'APL.</w:t>
      </w:r>
    </w:p>
    <w:p>
      <w:pPr>
        <w:pStyle w:val="Normal"/>
        <w:jc w:val="both"/>
        <w:rPr/>
      </w:pPr>
      <w:r>
        <w:rPr/>
      </w:r>
    </w:p>
    <w:p>
      <w:pPr>
        <w:pStyle w:val="Normal"/>
        <w:jc w:val="center"/>
        <w:rPr/>
      </w:pPr>
      <w:r>
        <w:rPr/>
        <w:t>Article 10.</w:t>
      </w:r>
    </w:p>
    <w:p>
      <w:pPr>
        <w:pStyle w:val="Normal"/>
        <w:jc w:val="center"/>
        <w:rPr/>
      </w:pPr>
      <w:r>
        <w:rPr/>
      </w:r>
    </w:p>
    <w:p>
      <w:pPr>
        <w:pStyle w:val="Normal"/>
        <w:jc w:val="center"/>
        <w:rPr/>
      </w:pPr>
      <w:r>
        <w:rPr>
          <w:i/>
          <w:iCs/>
        </w:rPr>
        <w:t>Maxima applicables à la part de la redevance assimilable au loyer et aux charges locatives récupérables</w:t>
      </w:r>
    </w:p>
    <w:p>
      <w:pPr>
        <w:pStyle w:val="Normal"/>
        <w:jc w:val="both"/>
        <w:rPr/>
      </w:pPr>
      <w:r>
        <w:rPr/>
      </w:r>
    </w:p>
    <w:p>
      <w:pPr>
        <w:pStyle w:val="Normal"/>
        <w:jc w:val="both"/>
        <w:rPr/>
      </w:pPr>
      <w:r>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pPr>
        <w:pStyle w:val="Normal"/>
        <w:jc w:val="both"/>
        <w:rPr/>
      </w:pPr>
      <w:r>
        <w:rPr/>
      </w:r>
    </w:p>
    <w:p>
      <w:pPr>
        <w:pStyle w:val="Normal"/>
        <w:jc w:val="both"/>
        <w:rPr/>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p>
    <w:p>
      <w:pPr>
        <w:pStyle w:val="Normal"/>
        <w:jc w:val="both"/>
        <w:rPr/>
      </w:pPr>
      <w:r>
        <w:rPr/>
      </w:r>
    </w:p>
    <w:p>
      <w:pPr>
        <w:pStyle w:val="Normal"/>
        <w:jc w:val="both"/>
        <w:rPr/>
      </w:pPr>
      <w:r>
        <w:rPr>
          <w:color w:val="000000"/>
        </w:rPr>
        <w:t>La redevance pratiquée peut, dans la limite de la redevance maximum et de l'IRL, être réactualisée au 1er janvier de chaque année, dans les conditions prévues à l'article L. 353-9-3 du code de la construction et de l'habitation.</w:t>
      </w:r>
    </w:p>
    <w:p>
      <w:pPr>
        <w:pStyle w:val="Normal"/>
        <w:jc w:val="both"/>
        <w:rPr/>
      </w:pPr>
      <w:r>
        <w:rPr/>
      </w:r>
    </w:p>
    <w:p>
      <w:pPr>
        <w:pStyle w:val="Normal"/>
        <w:jc w:val="both"/>
        <w:rPr/>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p>
    <w:p>
      <w:pPr>
        <w:pStyle w:val="Normal"/>
        <w:jc w:val="both"/>
        <w:rPr>
          <w:b/>
          <w:b/>
          <w:bCs/>
        </w:rPr>
      </w:pPr>
      <w:r>
        <w:rPr>
          <w:b/>
          <w:bCs/>
        </w:rPr>
      </w:r>
    </w:p>
    <w:p>
      <w:pPr>
        <w:pStyle w:val="Normal"/>
        <w:jc w:val="center"/>
        <w:rPr/>
      </w:pPr>
      <w:r>
        <w:rPr/>
        <w:t>Article 11.</w:t>
      </w:r>
    </w:p>
    <w:p>
      <w:pPr>
        <w:pStyle w:val="Normal"/>
        <w:jc w:val="center"/>
        <w:rPr/>
      </w:pPr>
      <w:r>
        <w:rPr/>
      </w:r>
    </w:p>
    <w:p>
      <w:pPr>
        <w:pStyle w:val="Normal"/>
        <w:jc w:val="center"/>
        <w:rPr/>
      </w:pPr>
      <w:r>
        <w:rPr>
          <w:i/>
          <w:iCs/>
        </w:rPr>
        <w:t>Composition de la part de redevance assimilable au loyer et aux charges locatives et seule prise en compte pour le calcul de l'aide personnalisée au logement</w:t>
      </w:r>
    </w:p>
    <w:p>
      <w:pPr>
        <w:pStyle w:val="Normal"/>
        <w:jc w:val="both"/>
        <w:rPr/>
      </w:pPr>
      <w:r>
        <w:rPr/>
      </w:r>
    </w:p>
    <w:p>
      <w:pPr>
        <w:pStyle w:val="Normal"/>
        <w:jc w:val="both"/>
        <w:rPr>
          <w:color w:val="000000"/>
        </w:rPr>
      </w:pPr>
      <w:r>
        <w:rPr>
          <w:color w:val="000000"/>
        </w:rPr>
        <w:t>Composition de la part de redevance assimilable au loyer et aux charges locatives et seule prise en compte pour le calcul de l'aide personnalisée au logement.</w:t>
      </w:r>
    </w:p>
    <w:p>
      <w:pPr>
        <w:pStyle w:val="Normal"/>
        <w:jc w:val="both"/>
        <w:rPr>
          <w:color w:val="000000"/>
        </w:rPr>
      </w:pPr>
      <w:r>
        <w:rPr>
          <w:color w:val="000000"/>
        </w:rPr>
      </w:r>
    </w:p>
    <w:p>
      <w:pPr>
        <w:pStyle w:val="Normal"/>
        <w:jc w:val="both"/>
        <w:rPr/>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pPr>
        <w:pStyle w:val="Normal"/>
        <w:jc w:val="both"/>
        <w:rPr/>
      </w:pPr>
      <w:r>
        <w:rPr/>
      </w:r>
    </w:p>
    <w:p>
      <w:pPr>
        <w:pStyle w:val="Normal"/>
        <w:jc w:val="both"/>
        <w:rPr/>
      </w:pPr>
      <w:r>
        <w:rPr>
          <w:color w:val="000000"/>
        </w:rPr>
        <w:t>I. En ce qui concerne l'équivalence du loyer, la participation du résident aux charges financières annuelles afférentes à l'immeuble recouvre :</w:t>
      </w:r>
    </w:p>
    <w:p>
      <w:pPr>
        <w:pStyle w:val="Normal"/>
        <w:jc w:val="both"/>
        <w:rPr/>
      </w:pPr>
      <w:r>
        <w:rPr/>
      </w:r>
    </w:p>
    <w:p>
      <w:pPr>
        <w:pStyle w:val="Normal"/>
        <w:jc w:val="both"/>
        <w:rPr/>
      </w:pPr>
      <w:r>
        <w:rPr>
          <w:color w:val="000000"/>
        </w:rPr>
        <w:t>a) Le remboursement :</w:t>
      </w:r>
    </w:p>
    <w:p>
      <w:pPr>
        <w:pStyle w:val="Normal"/>
        <w:jc w:val="both"/>
        <w:rPr/>
      </w:pPr>
      <w:r>
        <w:rPr/>
      </w:r>
    </w:p>
    <w:p>
      <w:pPr>
        <w:pStyle w:val="Normal"/>
        <w:jc w:val="both"/>
        <w:rPr/>
      </w:pPr>
      <w:r>
        <w:rPr>
          <w:color w:val="000000"/>
        </w:rPr>
        <w:t>- des charges afférentes à l'ensemble des dépenses effectuées pour la construction, l'amélioration ou l'acquisition-amélioration du logement-foyer ;</w:t>
      </w:r>
    </w:p>
    <w:p>
      <w:pPr>
        <w:pStyle w:val="Normal"/>
        <w:jc w:val="both"/>
        <w:rPr/>
      </w:pPr>
      <w:r>
        <w:rPr/>
      </w:r>
    </w:p>
    <w:p>
      <w:pPr>
        <w:pStyle w:val="Normal"/>
        <w:jc w:val="both"/>
        <w:rPr/>
      </w:pPr>
      <w:r>
        <w:rPr>
          <w:color w:val="000000"/>
        </w:rPr>
        <w:t>- des frais généraux du propriétaire ;</w:t>
      </w:r>
    </w:p>
    <w:p>
      <w:pPr>
        <w:pStyle w:val="Normal"/>
        <w:jc w:val="both"/>
        <w:rPr/>
      </w:pPr>
      <w:r>
        <w:rPr/>
      </w:r>
    </w:p>
    <w:p>
      <w:pPr>
        <w:pStyle w:val="Normal"/>
        <w:jc w:val="both"/>
        <w:rPr/>
      </w:pPr>
      <w:r>
        <w:rPr>
          <w:color w:val="000000"/>
        </w:rPr>
        <w:t>- des charges de renouvellement des composants immobilisés ;</w:t>
      </w:r>
    </w:p>
    <w:p>
      <w:pPr>
        <w:pStyle w:val="Normal"/>
        <w:jc w:val="both"/>
        <w:rPr/>
      </w:pPr>
      <w:r>
        <w:rPr/>
      </w:r>
    </w:p>
    <w:p>
      <w:pPr>
        <w:pStyle w:val="Normal"/>
        <w:jc w:val="both"/>
        <w:rPr/>
      </w:pPr>
      <w:r>
        <w:rPr>
          <w:color w:val="000000"/>
        </w:rPr>
        <w:t>- du montant de la prime d'assurance de l'immeuble ;</w:t>
      </w:r>
    </w:p>
    <w:p>
      <w:pPr>
        <w:pStyle w:val="Normal"/>
        <w:jc w:val="both"/>
        <w:rPr/>
      </w:pPr>
      <w:r>
        <w:rPr/>
      </w:r>
    </w:p>
    <w:p>
      <w:pPr>
        <w:pStyle w:val="Normal"/>
        <w:jc w:val="both"/>
        <w:rPr/>
      </w:pPr>
      <w:r>
        <w:rPr>
          <w:color w:val="000000"/>
        </w:rPr>
        <w:t>- de la taxe foncière sur les propriétés bâties ;</w:t>
      </w:r>
    </w:p>
    <w:p>
      <w:pPr>
        <w:pStyle w:val="Normal"/>
        <w:jc w:val="both"/>
        <w:rPr/>
      </w:pPr>
      <w:r>
        <w:rPr/>
      </w:r>
    </w:p>
    <w:p>
      <w:pPr>
        <w:pStyle w:val="Normal"/>
        <w:jc w:val="both"/>
        <w:rPr/>
      </w:pPr>
      <w:r>
        <w:rPr>
          <w:color w:val="000000"/>
        </w:rPr>
        <w:t>b) Les frais de fonctionnement relatifs au foyer, à savoir :</w:t>
      </w:r>
    </w:p>
    <w:p>
      <w:pPr>
        <w:pStyle w:val="Normal"/>
        <w:jc w:val="both"/>
        <w:rPr/>
      </w:pPr>
      <w:r>
        <w:rPr/>
      </w:r>
    </w:p>
    <w:p>
      <w:pPr>
        <w:pStyle w:val="Normal"/>
        <w:jc w:val="both"/>
        <w:rPr/>
      </w:pPr>
      <w:r>
        <w:rPr>
          <w:color w:val="000000"/>
        </w:rPr>
        <w:t>- les frais de siège du gestionnaire ;</w:t>
      </w:r>
    </w:p>
    <w:p>
      <w:pPr>
        <w:pStyle w:val="Normal"/>
        <w:jc w:val="both"/>
        <w:rPr/>
      </w:pPr>
      <w:r>
        <w:rPr/>
      </w:r>
    </w:p>
    <w:p>
      <w:pPr>
        <w:pStyle w:val="Normal"/>
        <w:jc w:val="both"/>
        <w:rPr/>
      </w:pPr>
      <w:r>
        <w:rPr>
          <w:color w:val="000000"/>
        </w:rPr>
        <w:t>- les frais fixes de personnel administratif ;</w:t>
      </w:r>
    </w:p>
    <w:p>
      <w:pPr>
        <w:pStyle w:val="Normal"/>
        <w:jc w:val="both"/>
        <w:rPr/>
      </w:pPr>
      <w:r>
        <w:rPr/>
      </w:r>
    </w:p>
    <w:p>
      <w:pPr>
        <w:pStyle w:val="Normal"/>
        <w:jc w:val="both"/>
        <w:rPr/>
      </w:pPr>
      <w:r>
        <w:rPr>
          <w:color w:val="000000"/>
        </w:rPr>
        <w:t>- toutes dépenses de menu entretien au sens des articles 1754 et 1755 du code civil ;</w:t>
      </w:r>
    </w:p>
    <w:p>
      <w:pPr>
        <w:pStyle w:val="Normal"/>
        <w:jc w:val="both"/>
        <w:rPr/>
      </w:pPr>
      <w:r>
        <w:rPr/>
      </w:r>
    </w:p>
    <w:p>
      <w:pPr>
        <w:pStyle w:val="Normal"/>
        <w:jc w:val="both"/>
        <w:rPr/>
      </w:pPr>
      <w:r>
        <w:rPr>
          <w:color w:val="000000"/>
        </w:rPr>
        <w:t>- les charges de gros entretien et frais de personnel et fournitures afférents à ces travaux.</w:t>
      </w:r>
    </w:p>
    <w:p>
      <w:pPr>
        <w:pStyle w:val="Normal"/>
        <w:jc w:val="both"/>
        <w:rPr/>
      </w:pPr>
      <w:r>
        <w:rPr/>
      </w:r>
    </w:p>
    <w:p>
      <w:pPr>
        <w:pStyle w:val="Normal"/>
        <w:jc w:val="both"/>
        <w:rPr/>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p>
    <w:p>
      <w:pPr>
        <w:pStyle w:val="Normal"/>
        <w:jc w:val="both"/>
        <w:rPr/>
      </w:pPr>
      <w:r>
        <w:rPr/>
      </w:r>
    </w:p>
    <w:p>
      <w:pPr>
        <w:pStyle w:val="Normal"/>
        <w:jc w:val="both"/>
        <w:rPr/>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pPr>
        <w:pStyle w:val="Normal"/>
        <w:jc w:val="both"/>
        <w:rPr/>
      </w:pPr>
      <w:r>
        <w:rPr/>
      </w:r>
    </w:p>
    <w:p>
      <w:pPr>
        <w:pStyle w:val="Normal"/>
        <w:jc w:val="both"/>
        <w:rPr>
          <w:color w:val="000000"/>
        </w:rPr>
      </w:pPr>
      <w:r>
        <w:rPr>
          <w:color w:val="000000"/>
        </w:rPr>
        <w:t>Ces modalités de facturation d'eau, pour être applicables, font l'objet d'une inscription au règlement intérieur de l'établissement et dans le contrat d'occupation.</w:t>
      </w:r>
    </w:p>
    <w:p>
      <w:pPr>
        <w:pStyle w:val="Normal"/>
        <w:jc w:val="both"/>
        <w:rPr>
          <w:color w:val="000000"/>
        </w:rPr>
      </w:pPr>
      <w:r>
        <w:rPr>
          <w:color w:val="000000"/>
        </w:rPr>
      </w:r>
    </w:p>
    <w:p>
      <w:pPr>
        <w:pStyle w:val="Normal"/>
        <w:jc w:val="both"/>
        <w:rPr/>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pPr>
        <w:pStyle w:val="Normal"/>
        <w:jc w:val="both"/>
        <w:rPr/>
      </w:pPr>
      <w:r>
        <w:rPr/>
      </w:r>
    </w:p>
    <w:p>
      <w:pPr>
        <w:pStyle w:val="Normal"/>
        <w:jc w:val="center"/>
        <w:rPr/>
      </w:pPr>
      <w:r>
        <w:rPr/>
        <w:t>Article 12.</w:t>
      </w:r>
    </w:p>
    <w:p>
      <w:pPr>
        <w:pStyle w:val="Normal"/>
        <w:jc w:val="center"/>
        <w:rPr/>
      </w:pPr>
      <w:r>
        <w:rPr/>
      </w:r>
    </w:p>
    <w:p>
      <w:pPr>
        <w:pStyle w:val="Normal"/>
        <w:jc w:val="center"/>
        <w:rPr/>
      </w:pPr>
      <w:r>
        <w:rPr>
          <w:i/>
          <w:iCs/>
        </w:rPr>
        <w:t>Prestations</w:t>
      </w:r>
    </w:p>
    <w:p>
      <w:pPr>
        <w:pStyle w:val="Normal"/>
        <w:jc w:val="both"/>
        <w:rPr/>
      </w:pPr>
      <w:r>
        <w:rPr/>
      </w:r>
    </w:p>
    <w:p>
      <w:pPr>
        <w:pStyle w:val="Normal"/>
        <w:jc w:val="both"/>
        <w:rPr>
          <w:color w:val="000000"/>
        </w:rPr>
      </w:pPr>
      <w:r>
        <w:rPr>
          <w:color w:val="000000"/>
        </w:rPr>
        <w:t>En application des dispositions de l'article L. 112-1 du code de la consommation, les prix des différentes prestations offertes aux résidents doivent être affichés dans l'établissement.</w:t>
      </w:r>
    </w:p>
    <w:p>
      <w:pPr>
        <w:pStyle w:val="Normal"/>
        <w:jc w:val="both"/>
        <w:rPr/>
      </w:pPr>
      <w:r>
        <w:rPr/>
      </w:r>
    </w:p>
    <w:p>
      <w:pPr>
        <w:pStyle w:val="Normal"/>
        <w:jc w:val="both"/>
        <w:rPr/>
      </w:pPr>
      <w:r>
        <w:rPr>
          <w:color w:val="000000"/>
        </w:rPr>
        <w:t>Les prestations obligatoirement intégrées dans la redevance et non prises en compte pour le calcul de l'APL, et de ce fait non prises en compte au titre des charges récupérables, sont les suivantes :</w:t>
      </w:r>
    </w:p>
    <w:p>
      <w:pPr>
        <w:pStyle w:val="Normal"/>
        <w:jc w:val="both"/>
        <w:rPr>
          <w:lang w:val="en-US"/>
        </w:rPr>
      </w:pPr>
      <w:r>
        <w:rPr>
          <w:lang w:val="en-US"/>
        </w:rPr>
        <w:t>{% for line in convention.attribution_prestations_integrees|get_text_as_list %}</w:t>
      </w:r>
    </w:p>
    <w:p>
      <w:pPr>
        <w:pStyle w:val="ListParagraph"/>
        <w:numPr>
          <w:ilvl w:val="0"/>
          <w:numId w:val="6"/>
        </w:numPr>
        <w:jc w:val="both"/>
        <w:rPr>
          <w:color w:val="000000" w:themeColor="text1"/>
        </w:rPr>
      </w:pPr>
      <w:r>
        <w:rPr>
          <w:color w:val="000000" w:themeColor="text1"/>
        </w:rPr>
        <w:t>{{ line }}</w:t>
      </w:r>
    </w:p>
    <w:p>
      <w:pPr>
        <w:pStyle w:val="Normal"/>
        <w:jc w:val="both"/>
        <w:rPr>
          <w:color w:val="000000"/>
        </w:rPr>
      </w:pPr>
      <w:r>
        <w:rPr>
          <w:color w:val="000000"/>
        </w:rPr>
        <w:t>{%- endfor %}</w:t>
      </w:r>
    </w:p>
    <w:p>
      <w:pPr>
        <w:pStyle w:val="Normal"/>
        <w:jc w:val="both"/>
        <w:rPr/>
      </w:pPr>
      <w:r>
        <w:rPr/>
      </w:r>
    </w:p>
    <w:p>
      <w:pPr>
        <w:pStyle w:val="Normal"/>
        <w:jc w:val="both"/>
        <w:rPr>
          <w:color w:val="000000"/>
        </w:rPr>
      </w:pPr>
      <w:r>
        <w:rPr>
          <w:color w:val="000000"/>
        </w:rPr>
        <w:t>Les prestations facultatives à la demande du résident facturées séparément sont les suivantes :</w:t>
      </w:r>
    </w:p>
    <w:p>
      <w:pPr>
        <w:pStyle w:val="Normal"/>
        <w:jc w:val="both"/>
        <w:rPr>
          <w:lang w:val="en-US"/>
        </w:rPr>
      </w:pPr>
      <w:r>
        <w:rPr>
          <w:lang w:val="en-US"/>
        </w:rPr>
        <w:t>{% for line in convention.attribution_prestations_facultatives|get_text_as_list %}</w:t>
      </w:r>
    </w:p>
    <w:p>
      <w:pPr>
        <w:pStyle w:val="ListParagraph"/>
        <w:numPr>
          <w:ilvl w:val="0"/>
          <w:numId w:val="6"/>
        </w:numPr>
        <w:jc w:val="both"/>
        <w:rPr/>
      </w:pPr>
      <w:r>
        <w:rPr>
          <w:color w:val="000000" w:themeColor="text1"/>
        </w:rPr>
        <w:t>{{ line }}</w:t>
      </w:r>
    </w:p>
    <w:p>
      <w:pPr>
        <w:pStyle w:val="Normal"/>
        <w:jc w:val="both"/>
        <w:rPr/>
      </w:pPr>
      <w:r>
        <w:rPr>
          <w:color w:val="000000"/>
        </w:rPr>
        <w:t>{%- endfor %}</w:t>
      </w:r>
    </w:p>
    <w:p>
      <w:pPr>
        <w:pStyle w:val="Normal"/>
        <w:jc w:val="both"/>
        <w:rPr/>
      </w:pPr>
      <w:r>
        <w:rPr/>
      </w:r>
    </w:p>
    <w:p>
      <w:pPr>
        <w:pStyle w:val="Normal"/>
        <w:jc w:val="center"/>
        <w:rPr/>
      </w:pPr>
      <w:r>
        <w:rPr>
          <w:color w:val="000000"/>
        </w:rPr>
        <w:t>Article 13</w:t>
      </w:r>
    </w:p>
    <w:p>
      <w:pPr>
        <w:pStyle w:val="Normal"/>
        <w:jc w:val="center"/>
        <w:rPr/>
      </w:pPr>
      <w:r>
        <w:rPr/>
      </w:r>
    </w:p>
    <w:p>
      <w:pPr>
        <w:pStyle w:val="Normal"/>
        <w:jc w:val="center"/>
        <w:rPr/>
      </w:pPr>
      <w:r>
        <w:rPr>
          <w:i/>
          <w:iCs/>
          <w:color w:val="000000"/>
        </w:rPr>
        <w:t>Modalités de paiement de la redevance et des prestations</w:t>
      </w:r>
    </w:p>
    <w:p>
      <w:pPr>
        <w:pStyle w:val="Normal"/>
        <w:jc w:val="both"/>
        <w:rPr/>
      </w:pPr>
      <w:r>
        <w:rPr/>
      </w:r>
    </w:p>
    <w:p>
      <w:pPr>
        <w:pStyle w:val="Normal"/>
        <w:jc w:val="both"/>
        <w:rPr/>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pPr>
        <w:pStyle w:val="Normal"/>
        <w:jc w:val="both"/>
        <w:rPr>
          <w:b/>
          <w:b/>
          <w:bCs/>
        </w:rPr>
      </w:pPr>
      <w:r>
        <w:rPr>
          <w:b/>
          <w:bCs/>
        </w:rPr>
      </w:r>
    </w:p>
    <w:p>
      <w:pPr>
        <w:pStyle w:val="Normal"/>
        <w:jc w:val="center"/>
        <w:rPr>
          <w:rFonts w:ascii="Times New Roman" w:hAnsi="Times New Roman"/>
        </w:rPr>
      </w:pPr>
      <w:r>
        <w:rPr>
          <w:rFonts w:ascii="Times New Roman" w:hAnsi="Times New Roman"/>
          <w:color w:val="000000"/>
        </w:rPr>
        <w:t>Article 14</w:t>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rPr>
      </w:pPr>
      <w:r>
        <w:rPr>
          <w:rFonts w:ascii="Times New Roman" w:hAnsi="Times New Roman"/>
          <w:i/>
          <w:iCs/>
          <w:color w:val="000000"/>
        </w:rPr>
        <w:t>Conditions d'exécution des travaux et relogement</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color w:val="000000"/>
        </w:rPr>
        <w:t>En cas de réhabilitation ou d'amélioration, les travaux concernant la résidence sociale sont inscrits au programme dans l'annexe I à la présente convention. Ils font l'objet d'un programme de réalisation qui se poursuit par {{</w:t>
      </w:r>
      <w:r>
        <w:rPr>
          <w:rFonts w:ascii="Times New Roman" w:hAnsi="Times New Roman"/>
        </w:rPr>
        <w:t xml:space="preserve"> convention.</w:t>
      </w:r>
      <w:r>
        <w:rPr>
          <w:rFonts w:ascii="Times New Roman" w:hAnsi="Times New Roman"/>
          <w:color w:val="000000"/>
        </w:rPr>
        <w:t>foyer_residence_variante_2_nb_tranches</w:t>
      </w:r>
      <w:r>
        <w:rPr>
          <w:rFonts w:eastAsia="Arial Unicode MS" w:ascii="Times New Roman" w:hAnsi="Times New Roman"/>
        </w:rPr>
        <w:t>|default_str_if_none</w:t>
      </w:r>
      <w:r>
        <w:rPr>
          <w:rFonts w:ascii="Times New Roman" w:hAnsi="Times New Roman"/>
          <w:color w:val="000000"/>
        </w:rPr>
        <w:t xml:space="preserve"> }}</w:t>
      </w:r>
      <w:r>
        <w:rPr>
          <w:rFonts w:cs="Arial" w:ascii="Times New Roman" w:hAnsi="Times New Roman"/>
          <w:color w:val="0000FF"/>
          <w:sz w:val="22"/>
          <w:szCs w:val="22"/>
        </w:rPr>
        <w:t xml:space="preserve"> </w:t>
      </w:r>
      <w:r>
        <w:rPr>
          <w:rFonts w:ascii="Times New Roman" w:hAnsi="Times New Roman"/>
          <w:color w:val="000000"/>
        </w:rPr>
        <w:t>tranches annuelles pendant {{</w:t>
      </w:r>
      <w:r>
        <w:rPr>
          <w:rFonts w:ascii="Times New Roman" w:hAnsi="Times New Roman"/>
        </w:rPr>
        <w:t xml:space="preserve"> convention.</w:t>
      </w:r>
      <w:r>
        <w:rPr>
          <w:rFonts w:ascii="Times New Roman" w:hAnsi="Times New Roman"/>
          <w:color w:val="000000"/>
        </w:rPr>
        <w:t>foyer_residence_variante_2_nb_annees</w:t>
      </w:r>
      <w:r>
        <w:rPr>
          <w:rFonts w:eastAsia="Arial Unicode MS" w:ascii="Times New Roman" w:hAnsi="Times New Roman"/>
        </w:rPr>
        <w:t xml:space="preserve">|default_str_if_none </w:t>
      </w:r>
      <w:r>
        <w:rPr>
          <w:rFonts w:ascii="Times New Roman" w:hAnsi="Times New Roman"/>
          <w:color w:val="000000"/>
        </w:rPr>
        <w:t>}} années dont l'échéancier est joint à la présente convention.</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color w:val="000000"/>
        </w:rPr>
        <w:t>Tout programme de travaux de réhabilitation, d'aménagement ou de démolition doit être présenté pour avis au conseil de concertation. Les membres du conseil de concertation sont consultés pour avis préalablement à la réalisation des travaux.</w:t>
      </w:r>
    </w:p>
    <w:p>
      <w:pPr>
        <w:pStyle w:val="Normal"/>
        <w:jc w:val="both"/>
        <w:rPr>
          <w:b/>
          <w:b/>
          <w:bCs/>
        </w:rPr>
      </w:pPr>
      <w:r>
        <w:rPr>
          <w:b/>
          <w:bCs/>
        </w:rPr>
      </w:r>
    </w:p>
    <w:p>
      <w:pPr>
        <w:pStyle w:val="Normal"/>
        <w:jc w:val="center"/>
        <w:rPr/>
      </w:pPr>
      <w:r>
        <w:rPr>
          <w:color w:val="000000"/>
        </w:rPr>
        <w:t>Article 15</w:t>
      </w:r>
    </w:p>
    <w:p>
      <w:pPr>
        <w:pStyle w:val="Normal"/>
        <w:jc w:val="center"/>
        <w:rPr/>
      </w:pPr>
      <w:r>
        <w:rPr/>
      </w:r>
    </w:p>
    <w:p>
      <w:pPr>
        <w:pStyle w:val="Normal"/>
        <w:jc w:val="center"/>
        <w:rPr/>
      </w:pPr>
      <w:r>
        <w:rPr>
          <w:i/>
          <w:iCs/>
          <w:color w:val="000000"/>
        </w:rPr>
        <w:t>Suivi de l'exécution de la convention</w:t>
      </w:r>
    </w:p>
    <w:p>
      <w:pPr>
        <w:pStyle w:val="Normal"/>
        <w:jc w:val="both"/>
        <w:rPr/>
      </w:pPr>
      <w:r>
        <w:rPr/>
      </w:r>
    </w:p>
    <w:p>
      <w:pPr>
        <w:pStyle w:val="Normal"/>
        <w:jc w:val="both"/>
        <w:rPr/>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pPr>
        <w:pStyle w:val="Normal"/>
        <w:jc w:val="both"/>
        <w:rPr/>
      </w:pPr>
      <w:r>
        <w:rPr/>
      </w:r>
    </w:p>
    <w:p>
      <w:pPr>
        <w:pStyle w:val="Normal"/>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p>
    <w:p>
      <w:pPr>
        <w:pStyle w:val="Normal"/>
        <w:jc w:val="both"/>
        <w:rPr>
          <w:color w:val="000000"/>
        </w:rPr>
      </w:pPr>
      <w:r>
        <w:rPr>
          <w:color w:val="000000"/>
        </w:rPr>
      </w:r>
    </w:p>
    <w:p>
      <w:pPr>
        <w:pStyle w:val="Normal"/>
        <w:jc w:val="both"/>
        <w:rPr/>
      </w:pPr>
      <w:r>
        <w:rPr>
          <w:color w:val="000000"/>
        </w:rPr>
        <w:t>En cas de non-respect de ces engagements, les sanctions prévues à l'article 18 sont mises en œuvre.</w:t>
      </w:r>
    </w:p>
    <w:p>
      <w:pPr>
        <w:pStyle w:val="Normal"/>
        <w:rPr/>
      </w:pPr>
      <w:r>
        <w:rPr/>
      </w:r>
    </w:p>
    <w:p>
      <w:pPr>
        <w:pStyle w:val="Normal"/>
        <w:jc w:val="center"/>
        <w:rPr/>
      </w:pPr>
      <w:r>
        <w:rPr>
          <w:color w:val="000000"/>
        </w:rPr>
        <w:t>Article 16</w:t>
      </w:r>
    </w:p>
    <w:p>
      <w:pPr>
        <w:pStyle w:val="Normal"/>
        <w:jc w:val="center"/>
        <w:rPr/>
      </w:pPr>
      <w:r>
        <w:rPr/>
      </w:r>
    </w:p>
    <w:p>
      <w:pPr>
        <w:pStyle w:val="Normal"/>
        <w:jc w:val="center"/>
        <w:rPr>
          <w:i/>
          <w:i/>
          <w:iCs/>
        </w:rPr>
      </w:pPr>
      <w:r>
        <w:rPr>
          <w:i/>
          <w:iCs/>
          <w:color w:val="000000"/>
        </w:rPr>
        <w:t>Obligations à l'égard des organismes chargés de la liquidation et du paiement de l'APL</w:t>
      </w:r>
    </w:p>
    <w:p>
      <w:pPr>
        <w:pStyle w:val="Normal"/>
        <w:jc w:val="both"/>
        <w:rPr/>
      </w:pPr>
      <w:r>
        <w:rPr/>
      </w:r>
    </w:p>
    <w:p>
      <w:pPr>
        <w:pStyle w:val="Normal"/>
        <w:jc w:val="both"/>
        <w:rPr/>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pPr>
        <w:pStyle w:val="Normal"/>
        <w:jc w:val="both"/>
        <w:rPr/>
      </w:pPr>
      <w:r>
        <w:rPr/>
      </w:r>
    </w:p>
    <w:p>
      <w:pPr>
        <w:pStyle w:val="Normal"/>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p>
    <w:p>
      <w:pPr>
        <w:pStyle w:val="Normal"/>
        <w:jc w:val="both"/>
        <w:rPr>
          <w:color w:val="000000"/>
        </w:rPr>
      </w:pPr>
      <w:r>
        <w:rPr>
          <w:color w:val="000000"/>
        </w:rPr>
      </w:r>
    </w:p>
    <w:p>
      <w:pPr>
        <w:pStyle w:val="Normal"/>
        <w:jc w:val="both"/>
        <w:rPr/>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pPr>
        <w:pStyle w:val="Normal"/>
        <w:jc w:val="both"/>
        <w:rPr/>
      </w:pPr>
      <w:r>
        <w:rPr/>
      </w:r>
    </w:p>
    <w:p>
      <w:pPr>
        <w:pStyle w:val="Normal"/>
        <w:jc w:val="both"/>
        <w:rPr/>
      </w:pPr>
      <w:r>
        <w:rPr>
          <w:color w:val="000000"/>
        </w:rPr>
        <w:t>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spécialisée de coordination des actions de prévention des expulsions locatives en indiquant les démarches entreprises auprès du résident défaillant.</w:t>
      </w:r>
    </w:p>
    <w:p>
      <w:pPr>
        <w:pStyle w:val="Normal"/>
        <w:jc w:val="both"/>
        <w:rPr/>
      </w:pPr>
      <w:r>
        <w:rPr/>
      </w:r>
    </w:p>
    <w:p>
      <w:pPr>
        <w:pStyle w:val="Normal"/>
        <w:jc w:val="both"/>
        <w:rPr/>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p>
    <w:p>
      <w:pPr>
        <w:pStyle w:val="Normal"/>
        <w:jc w:val="both"/>
        <w:rPr>
          <w:b/>
          <w:b/>
          <w:bCs/>
        </w:rPr>
      </w:pPr>
      <w:r>
        <w:rPr>
          <w:b/>
          <w:bCs/>
        </w:rPr>
      </w:r>
    </w:p>
    <w:p>
      <w:pPr>
        <w:pStyle w:val="Normal"/>
        <w:jc w:val="center"/>
        <w:rPr/>
      </w:pPr>
      <w:r>
        <w:rPr>
          <w:color w:val="000000"/>
        </w:rPr>
        <w:t>Article 17</w:t>
      </w:r>
    </w:p>
    <w:p>
      <w:pPr>
        <w:pStyle w:val="Normal"/>
        <w:jc w:val="center"/>
        <w:rPr/>
      </w:pPr>
      <w:r>
        <w:rPr/>
      </w:r>
    </w:p>
    <w:p>
      <w:pPr>
        <w:pStyle w:val="Normal"/>
        <w:jc w:val="center"/>
        <w:rPr/>
      </w:pPr>
      <w:r>
        <w:rPr>
          <w:i/>
          <w:iCs/>
          <w:color w:val="000000"/>
        </w:rPr>
        <w:t>Résiliation de la convention</w:t>
      </w:r>
    </w:p>
    <w:p>
      <w:pPr>
        <w:pStyle w:val="Normal"/>
        <w:jc w:val="both"/>
        <w:rPr/>
      </w:pPr>
      <w:r>
        <w:rPr/>
      </w:r>
    </w:p>
    <w:p>
      <w:pPr>
        <w:pStyle w:val="Normal"/>
        <w:jc w:val="both"/>
        <w:rPr/>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p>
    <w:p>
      <w:pPr>
        <w:pStyle w:val="Normal"/>
        <w:jc w:val="both"/>
        <w:rPr/>
      </w:pPr>
      <w:r>
        <w:rPr/>
      </w:r>
    </w:p>
    <w:p>
      <w:pPr>
        <w:pStyle w:val="Normal"/>
        <w:jc w:val="both"/>
        <w:rPr/>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p>
    <w:p>
      <w:pPr>
        <w:pStyle w:val="Normal"/>
        <w:jc w:val="both"/>
        <w:rPr/>
      </w:pPr>
      <w:r>
        <w:rPr/>
      </w:r>
    </w:p>
    <w:p>
      <w:pPr>
        <w:pStyle w:val="Normal"/>
        <w:jc w:val="both"/>
        <w:rPr/>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p>
    <w:p>
      <w:pPr>
        <w:pStyle w:val="Normal"/>
        <w:jc w:val="both"/>
        <w:rPr/>
      </w:pPr>
      <w:r>
        <w:rPr/>
      </w:r>
    </w:p>
    <w:p>
      <w:pPr>
        <w:pStyle w:val="Normal"/>
        <w:jc w:val="both"/>
        <w:rPr/>
      </w:pPr>
      <w:r>
        <w:rPr>
          <w:color w:val="000000"/>
        </w:rPr>
        <w:t>Cette disposition ne fait pas obstacle à la signature d'une nouvelle convention ouvrant droit à l'aide personnalisée au logement.</w:t>
      </w:r>
    </w:p>
    <w:p>
      <w:pPr>
        <w:pStyle w:val="Normal"/>
        <w:jc w:val="both"/>
        <w:rPr>
          <w:b/>
          <w:b/>
          <w:bCs/>
        </w:rPr>
      </w:pPr>
      <w:r>
        <w:rPr>
          <w:b/>
          <w:bCs/>
        </w:rPr>
      </w:r>
    </w:p>
    <w:p>
      <w:pPr>
        <w:pStyle w:val="Normal"/>
        <w:jc w:val="center"/>
        <w:rPr/>
      </w:pPr>
      <w:r>
        <w:rPr>
          <w:color w:val="000000"/>
        </w:rPr>
        <w:t>Article 18</w:t>
      </w:r>
    </w:p>
    <w:p>
      <w:pPr>
        <w:pStyle w:val="Normal"/>
        <w:jc w:val="center"/>
        <w:rPr/>
      </w:pPr>
      <w:r>
        <w:rPr/>
      </w:r>
    </w:p>
    <w:p>
      <w:pPr>
        <w:pStyle w:val="Normal"/>
        <w:jc w:val="center"/>
        <w:rPr>
          <w:i/>
          <w:i/>
          <w:iCs/>
        </w:rPr>
      </w:pPr>
      <w:r>
        <w:rPr>
          <w:i/>
          <w:iCs/>
          <w:color w:val="000000"/>
        </w:rPr>
        <w:t>Sanctions</w:t>
      </w:r>
    </w:p>
    <w:p>
      <w:pPr>
        <w:pStyle w:val="Normal"/>
        <w:jc w:val="both"/>
        <w:rPr/>
      </w:pPr>
      <w:r>
        <w:rPr/>
      </w:r>
    </w:p>
    <w:p>
      <w:pPr>
        <w:pStyle w:val="Normal"/>
        <w:jc w:val="both"/>
        <w:rPr/>
      </w:pPr>
      <w:r>
        <w:rPr>
          <w:color w:val="000000"/>
        </w:rPr>
        <w:t>Des sanctions administratives peuvent être mises en œuvre en application de l'article L. 353-2 du code de la construction et de l'habitation.</w:t>
      </w:r>
    </w:p>
    <w:p>
      <w:pPr>
        <w:pStyle w:val="Normal"/>
        <w:jc w:val="both"/>
        <w:rPr/>
      </w:pPr>
      <w:r>
        <w:rPr/>
      </w:r>
    </w:p>
    <w:p>
      <w:pPr>
        <w:pStyle w:val="Normal"/>
        <w:jc w:val="both"/>
        <w:rPr/>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p>
    <w:p>
      <w:pPr>
        <w:pStyle w:val="Normal"/>
        <w:jc w:val="both"/>
        <w:rPr/>
      </w:pPr>
      <w:r>
        <w:rPr/>
      </w:r>
    </w:p>
    <w:p>
      <w:pPr>
        <w:pStyle w:val="Normal"/>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p>
    <w:p>
      <w:pPr>
        <w:pStyle w:val="Normal"/>
        <w:jc w:val="both"/>
        <w:rPr>
          <w:color w:val="000000"/>
        </w:rPr>
      </w:pPr>
      <w:r>
        <w:rPr>
          <w:color w:val="000000"/>
        </w:rPr>
      </w:r>
    </w:p>
    <w:p>
      <w:pPr>
        <w:pStyle w:val="Normal"/>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pPr>
        <w:pStyle w:val="Normal"/>
        <w:jc w:val="both"/>
        <w:rPr>
          <w:color w:val="000000"/>
        </w:rPr>
      </w:pPr>
      <w:r>
        <w:rPr>
          <w:color w:val="000000"/>
        </w:rPr>
      </w:r>
    </w:p>
    <w:p>
      <w:pPr>
        <w:pStyle w:val="Normal"/>
        <w:jc w:val="both"/>
        <w:rPr/>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pPr>
        <w:pStyle w:val="Normal"/>
        <w:jc w:val="both"/>
        <w:rPr>
          <w:b/>
          <w:b/>
          <w:bCs/>
        </w:rPr>
      </w:pPr>
      <w:r>
        <w:rPr>
          <w:b/>
          <w:bCs/>
        </w:rPr>
      </w:r>
    </w:p>
    <w:p>
      <w:pPr>
        <w:pStyle w:val="Normal"/>
        <w:jc w:val="center"/>
        <w:rPr/>
      </w:pPr>
      <w:r>
        <w:rPr>
          <w:color w:val="000000"/>
        </w:rPr>
        <w:t>Article 19</w:t>
      </w:r>
    </w:p>
    <w:p>
      <w:pPr>
        <w:pStyle w:val="Normal"/>
        <w:jc w:val="center"/>
        <w:rPr/>
      </w:pPr>
      <w:r>
        <w:rPr/>
      </w:r>
    </w:p>
    <w:p>
      <w:pPr>
        <w:pStyle w:val="Normal"/>
        <w:jc w:val="center"/>
        <w:rPr>
          <w:i/>
          <w:i/>
          <w:iCs/>
        </w:rPr>
      </w:pPr>
      <w:r>
        <w:rPr>
          <w:i/>
          <w:iCs/>
          <w:color w:val="000000"/>
        </w:rPr>
        <w:t>Contrôle</w:t>
      </w:r>
    </w:p>
    <w:p>
      <w:pPr>
        <w:pStyle w:val="Normal"/>
        <w:jc w:val="both"/>
        <w:rPr>
          <w:color w:val="000000"/>
        </w:rPr>
      </w:pPr>
      <w:r>
        <w:rPr>
          <w:color w:val="000000"/>
        </w:rPr>
      </w:r>
    </w:p>
    <w:p>
      <w:pPr>
        <w:pStyle w:val="Normal"/>
        <w:jc w:val="both"/>
        <w:rPr/>
      </w:pPr>
      <w:r>
        <w:rPr>
          <w:color w:val="000000"/>
        </w:rPr>
        <w:t>Afin de permettre à l'ETAT d'assurer le contrôle de l'application de la présente convention, le gestionnaire et le propriétaire fournissent à la demande du représentant de l'ETAT dans le département toutes les informations et tous les documents nécessaires au plein exercice de ce contrôle.</w:t>
      </w:r>
    </w:p>
    <w:p>
      <w:pPr>
        <w:pStyle w:val="Normal"/>
        <w:jc w:val="both"/>
        <w:rPr>
          <w:b/>
          <w:b/>
          <w:bCs/>
        </w:rPr>
      </w:pPr>
      <w:r>
        <w:rPr>
          <w:b/>
          <w:bCs/>
        </w:rPr>
      </w:r>
    </w:p>
    <w:p>
      <w:pPr>
        <w:pStyle w:val="Normal"/>
        <w:jc w:val="center"/>
        <w:rPr/>
      </w:pPr>
      <w:r>
        <w:rPr>
          <w:color w:val="000000"/>
        </w:rPr>
        <w:t>Article 20.</w:t>
      </w:r>
    </w:p>
    <w:p>
      <w:pPr>
        <w:pStyle w:val="Normal"/>
        <w:jc w:val="center"/>
        <w:rPr/>
      </w:pPr>
      <w:r>
        <w:rPr/>
      </w:r>
    </w:p>
    <w:p>
      <w:pPr>
        <w:pStyle w:val="Normal"/>
        <w:jc w:val="center"/>
        <w:rPr>
          <w:i/>
          <w:i/>
          <w:iCs/>
        </w:rPr>
      </w:pPr>
      <w:r>
        <w:rPr>
          <w:i/>
          <w:iCs/>
          <w:color w:val="000000"/>
        </w:rPr>
        <w:t>Publication</w:t>
      </w:r>
    </w:p>
    <w:p>
      <w:pPr>
        <w:pStyle w:val="Normal"/>
        <w:jc w:val="both"/>
        <w:rPr/>
      </w:pPr>
      <w:r>
        <w:rPr/>
      </w:r>
    </w:p>
    <w:p>
      <w:pPr>
        <w:pStyle w:val="Normal"/>
        <w:jc w:val="both"/>
        <w:rPr/>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p>
    <w:p>
      <w:pPr>
        <w:pStyle w:val="Normal"/>
        <w:jc w:val="both"/>
        <w:rPr/>
      </w:pPr>
      <w:r>
        <w:rPr/>
      </w:r>
    </w:p>
    <w:p>
      <w:pPr>
        <w:pStyle w:val="Normal"/>
        <w:jc w:val="both"/>
        <w:rPr/>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p>
    <w:p>
      <w:pPr>
        <w:pStyle w:val="Normal"/>
        <w:jc w:val="both"/>
        <w:rPr/>
      </w:pPr>
      <w:r>
        <w:rPr/>
      </w:r>
    </w:p>
    <w:p>
      <w:pPr>
        <w:pStyle w:val="Normal"/>
        <w:jc w:val="both"/>
        <w:rPr/>
      </w:pPr>
      <w:r>
        <w:rPr/>
        <mc:AlternateContent>
          <mc:Choice Requires="wps">
            <w:drawing>
              <wp:inline distT="0" distB="0" distL="0" distR="0" wp14:anchorId="00C3EE15">
                <wp:extent cx="5231765" cy="4039870"/>
                <wp:effectExtent l="0" t="0" r="635" b="0"/>
                <wp:docPr id="1" name="Shape1"/>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fillRef idx="0"/>
                        <a:effectRef idx="0"/>
                        <a:fontRef idx="minor"/>
                      </wps:style>
                      <wps:txbx>
                        <w:txbxContent>
                          <w:p>
                            <w:pPr>
                              <w:pStyle w:val="FrameContents"/>
                              <w:jc w:val="both"/>
                              <w:rPr>
                                <w:rFonts w:ascii="Times New Roman" w:hAnsi="Times New Roman"/>
                              </w:rPr>
                            </w:pPr>
                            <w:r>
                              <w:rPr>
                                <w:rFonts w:cs="TimesNewRomanPSMT" w:ascii="Times New Roman" w:hAnsi="Times New Roman"/>
                              </w:rPr>
                              <w:t>Fait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Le propriétaire (6),</w:t>
                            </w:r>
                            <w:r>
                              <w:rPr>
                                <w:rFonts w:ascii="Times New Roman" w:hAnsi="Times New Roman"/>
                              </w:rPr>
                              <w:t xml:space="preserve"> {%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Le gestionnaire (6),</w:t>
                            </w:r>
                            <w:r>
                              <w:rPr>
                                <w:rFonts w:ascii="Times New Roman" w:hAnsi="Times New Roman"/>
                              </w:rPr>
                              <w:t xml:space="preserve"> {{ </w:t>
                            </w:r>
                            <w:r>
                              <w:rPr>
                                <w:rFonts w:cs="TimesNewRomanPSMT" w:ascii="Times New Roman" w:hAnsi="Times New Roman"/>
                              </w:rPr>
                              <w:t>convention</w:t>
                            </w:r>
                            <w:r>
                              <w:rPr>
                                <w:rFonts w:ascii="Times New Roman" w:hAnsi="Times New Roman"/>
                              </w:rPr>
                              <w:t>.gestionnaire_signataire_bloc_signature|default_empty_if_none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shd w:fill="FFFFFF" w:val="clear"/>
                              </w:rPr>
                              <w:t>Le préfet, le président de l'établissement public de coopération intercommunale, du conseil départemental, de la métropole de Lyon, de la métropole du Grand Paris, de la métropole d’Aix-Marseille-Provence, ou du conseil exécutif de Corse,</w:t>
                            </w:r>
                            <w:r>
                              <w:rPr>
                                <w:rFonts w:ascii="Times New Roman" w:hAnsi="Times New Roman"/>
                              </w:rPr>
                              <w:t xml:space="preserve"> {{ </w:t>
                            </w:r>
                            <w:r>
                              <w:rPr>
                                <w:rFonts w:cs="TimesNewRomanPSMT" w:ascii="Times New Roman" w:hAnsi="Times New Roman"/>
                              </w:rPr>
                              <w:t>administration</w:t>
                            </w:r>
                            <w:r>
                              <w:rPr>
                                <w:rFonts w:ascii="Times New Roman" w:hAnsi="Times New Roman"/>
                              </w:rPr>
                              <w:t>.signataire_bloc_signature|default_empty_if_none }}</w:t>
                            </w:r>
                          </w:p>
                          <w:p>
                            <w:pPr>
                              <w:pStyle w:val="FrameContents"/>
                              <w:jc w:val="both"/>
                              <w:rPr>
                                <w:shd w:fill="FFFFFF" w:val="clear"/>
                              </w:rPr>
                            </w:pPr>
                            <w:r>
                              <w:rPr>
                                <w:shd w:fill="FFFFFF" w:val="clear"/>
                              </w:rPr>
                            </w:r>
                          </w:p>
                          <w:p>
                            <w:pPr>
                              <w:pStyle w:val="FrameContents"/>
                              <w:jc w:val="both"/>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p>
                            <w:pPr>
                              <w:pStyle w:val="FrameContents"/>
                              <w:rPr/>
                            </w:pPr>
                            <w:r>
                              <w:rPr/>
                            </w:r>
                          </w:p>
                        </w:txbxContent>
                      </wps:txbx>
                      <wps:bodyPr lIns="0" rIns="0" tIns="0" bIns="0" anchor="t">
                        <a:prstTxWarp prst="textNoShape"/>
                        <a:noAutofit/>
                      </wps:bodyPr>
                    </wps:wsp>
                  </a:graphicData>
                </a:graphic>
              </wp:inline>
            </w:drawing>
          </mc:Choice>
          <mc:Fallback>
            <w:pict>
              <v:rect id="shape_0" ID="Shape1" path="m0,0l-2147483645,0l-2147483645,-2147483646l0,-2147483646xe" fillcolor="white" stroked="f" o:allowincell="f" style="position:absolute;margin-left:0pt;margin-top:-318.15pt;width:411.9pt;height:318.05pt;mso-wrap-style:square;v-text-anchor:top;mso-position-vertical:top" wp14:anchorId="00C3EE15">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Le propriétaire (6),</w:t>
                      </w:r>
                      <w:r>
                        <w:rPr>
                          <w:rFonts w:ascii="Times New Roman" w:hAnsi="Times New Roman"/>
                        </w:rPr>
                        <w:t xml:space="preserve"> {%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Le gestionnaire (6),</w:t>
                      </w:r>
                      <w:r>
                        <w:rPr>
                          <w:rFonts w:ascii="Times New Roman" w:hAnsi="Times New Roman"/>
                        </w:rPr>
                        <w:t xml:space="preserve"> {{ </w:t>
                      </w:r>
                      <w:r>
                        <w:rPr>
                          <w:rFonts w:cs="TimesNewRomanPSMT" w:ascii="Times New Roman" w:hAnsi="Times New Roman"/>
                        </w:rPr>
                        <w:t>convention</w:t>
                      </w:r>
                      <w:r>
                        <w:rPr>
                          <w:rFonts w:ascii="Times New Roman" w:hAnsi="Times New Roman"/>
                        </w:rPr>
                        <w:t>.gestionnaire_signataire_bloc_signature|default_empty_if_none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shd w:fill="FFFFFF" w:val="clear"/>
                        </w:rPr>
                        <w:t>Le préfet, le président de l'établissement public de coopération intercommunale, du conseil départemental, de la métropole de Lyon, de la métropole du Grand Paris, de la métropole d’Aix-Marseille-Provence, ou du conseil exécutif de Corse,</w:t>
                      </w:r>
                      <w:r>
                        <w:rPr>
                          <w:rFonts w:ascii="Times New Roman" w:hAnsi="Times New Roman"/>
                        </w:rPr>
                        <w:t xml:space="preserve"> {{ </w:t>
                      </w:r>
                      <w:r>
                        <w:rPr>
                          <w:rFonts w:cs="TimesNewRomanPSMT" w:ascii="Times New Roman" w:hAnsi="Times New Roman"/>
                        </w:rPr>
                        <w:t>administration</w:t>
                      </w:r>
                      <w:r>
                        <w:rPr>
                          <w:rFonts w:ascii="Times New Roman" w:hAnsi="Times New Roman"/>
                        </w:rPr>
                        <w:t>.signataire_bloc_signature|default_empty_if_none }}</w:t>
                      </w:r>
                    </w:p>
                    <w:p>
                      <w:pPr>
                        <w:pStyle w:val="FrameContents"/>
                        <w:jc w:val="both"/>
                        <w:rPr>
                          <w:shd w:fill="FFFFFF" w:val="clear"/>
                        </w:rPr>
                      </w:pPr>
                      <w:r>
                        <w:rPr>
                          <w:shd w:fill="FFFFFF" w:val="clear"/>
                        </w:rPr>
                      </w:r>
                    </w:p>
                    <w:p>
                      <w:pPr>
                        <w:pStyle w:val="FrameContents"/>
                        <w:jc w:val="both"/>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p>
                      <w:pPr>
                        <w:pStyle w:val="FrameContents"/>
                        <w:rPr/>
                      </w:pPr>
                      <w:r>
                        <w:rPr/>
                      </w:r>
                    </w:p>
                  </w:txbxContent>
                </v:textbox>
                <w10:wrap type="square"/>
              </v:rect>
            </w:pict>
          </mc:Fallback>
        </mc:AlternateContent>
      </w:r>
      <w:r>
        <w:br w:type="page"/>
      </w:r>
    </w:p>
    <w:p>
      <w:pPr>
        <w:pStyle w:val="Normal"/>
        <w:jc w:val="center"/>
        <w:rPr>
          <w:shd w:fill="FFFFFF" w:val="clear"/>
        </w:rPr>
      </w:pPr>
      <w:r>
        <w:rPr>
          <w:b/>
          <w:bCs/>
          <w:color w:val="000000"/>
        </w:rPr>
        <w:t>Annexe I à la convention n° 2 annexée au III de l'article R. 353-159 du code de la construction et de l'habitation ouvrant droit à l'APL</w:t>
      </w:r>
    </w:p>
    <w:p>
      <w:pPr>
        <w:pStyle w:val="Normal"/>
        <w:jc w:val="center"/>
        <w:rPr>
          <w:b/>
          <w:b/>
          <w:bCs/>
          <w:shd w:fill="FFFFFF" w:val="clear"/>
        </w:rPr>
      </w:pPr>
      <w:r>
        <w:rPr>
          <w:b/>
          <w:bCs/>
          <w:shd w:fill="FFFFFF" w:val="clear"/>
        </w:rPr>
      </w:r>
    </w:p>
    <w:p>
      <w:pPr>
        <w:pStyle w:val="Normal"/>
        <w:jc w:val="center"/>
        <w:rPr>
          <w:shd w:fill="FFFFFF" w:val="clear"/>
        </w:rPr>
      </w:pPr>
      <w:r>
        <w:rPr>
          <w:b/>
          <w:bCs/>
          <w:shd w:fill="FFFFFF" w:val="clear"/>
        </w:rPr>
        <w:t>Descriptif du programme</w:t>
      </w:r>
    </w:p>
    <w:p>
      <w:pPr>
        <w:pStyle w:val="Normal"/>
        <w:rPr>
          <w:color w:val="000000"/>
        </w:rPr>
      </w:pPr>
      <w:r>
        <w:rPr>
          <w:color w:val="000000"/>
        </w:rPr>
      </w:r>
    </w:p>
    <w:p>
      <w:pPr>
        <w:pStyle w:val="Normal"/>
        <w:rPr>
          <w:color w:val="000000"/>
        </w:rPr>
      </w:pPr>
      <w:r>
        <w:rPr>
          <w:b/>
          <w:bCs/>
          <w:color w:val="000000"/>
        </w:rPr>
        <w:t>I. Nom et adresse de la résidence sociale :</w:t>
      </w:r>
      <w:r>
        <w:rPr>
          <w:color w:val="000000"/>
        </w:rPr>
        <w:t xml:space="preserve"> {{ programme.nom }}, pour {{ lot.nb_logements }} logement{{lot.nb_logements|pl }} {{ lot.financement }}, {{ adresse|inline_text_multiline }} à {{ code_postal }}, {{ ille }}</w:t>
      </w:r>
    </w:p>
    <w:p>
      <w:pPr>
        <w:pStyle w:val="Normal"/>
        <w:rPr>
          <w:color w:val="000000"/>
        </w:rPr>
      </w:pPr>
      <w:r>
        <w:rPr>
          <w:color w:val="000000"/>
        </w:rPr>
      </w:r>
    </w:p>
    <w:p>
      <w:pPr>
        <w:pStyle w:val="Normal"/>
        <w:rPr>
          <w:color w:val="000000"/>
        </w:rPr>
      </w:pPr>
      <w:r>
        <w:rPr>
          <w:b/>
          <w:bCs/>
          <w:color w:val="000000"/>
        </w:rPr>
        <w:t>I bis. Désignation du ou des immeubles</w:t>
      </w:r>
      <w:r>
        <w:rPr>
          <w:color w:val="000000"/>
        </w:rPr>
        <w:t xml:space="preserve"> [établie conformément à l'article 7 du décret n° 55-22 du 4 janvier 1955 modifié portant réforme de la publicité foncière] : </w:t>
      </w:r>
    </w:p>
    <w:p>
      <w:pPr>
        <w:pStyle w:val="Normal"/>
        <w:jc w:val="both"/>
        <w:rPr>
          <w:shd w:fill="FFFFFF" w:val="clear"/>
        </w:rPr>
      </w:pPr>
      <w:r>
        <w:rPr>
          <w:shd w:fill="FFFFFF" w:val="clear"/>
        </w:rPr>
      </w:r>
    </w:p>
    <w:p>
      <w:pPr>
        <w:pStyle w:val="Normal"/>
        <w:jc w:val="both"/>
        <w:rPr>
          <w:shd w:fill="FFFFFF" w:val="clear"/>
        </w:rPr>
      </w:pPr>
      <w:r>
        <w:rPr>
          <w:shd w:fill="FFFFFF" w:val="clear"/>
        </w:rPr>
        <w:t>Figurant au cadastre</w:t>
      </w:r>
    </w:p>
    <w:p>
      <w:pPr>
        <w:pStyle w:val="Normal"/>
        <w:jc w:val="both"/>
        <w:rPr>
          <w:shd w:fill="FFFFFF" w:val="clear"/>
        </w:rPr>
      </w:pPr>
      <w:r>
        <w:rPr>
          <w:shd w:fill="FFFFFF" w:val="clear"/>
        </w:rPr>
        <w:t>{% for image in reference_cadastrale_images %}</w:t>
      </w:r>
    </w:p>
    <w:p>
      <w:pPr>
        <w:pStyle w:val="Normal"/>
        <w:jc w:val="both"/>
        <w:rPr>
          <w:shd w:fill="FFFFFF" w:val="clear"/>
        </w:rPr>
      </w:pPr>
      <w:r>
        <w:rPr>
          <w:shd w:fill="FFFFFF" w:val="clear"/>
        </w:rPr>
        <w:t>{{image}}</w:t>
      </w:r>
    </w:p>
    <w:p>
      <w:pPr>
        <w:pStyle w:val="Normal"/>
        <w:jc w:val="both"/>
        <w:rPr>
          <w:shd w:fill="FFFFFF" w:val="clear"/>
          <w:lang w:val="en-US"/>
        </w:rPr>
      </w:pPr>
      <w:r>
        <w:rPr>
          <w:shd w:fill="FFFFFF" w:val="clear"/>
          <w:lang w:val="en-US"/>
        </w:rPr>
        <w:t>{% endfor %}{% if references_cadastrales|len %}</w:t>
      </w:r>
    </w:p>
    <w:tbl>
      <w:tblPr>
        <w:tblW w:w="8248"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1330"/>
        <w:gridCol w:w="1966"/>
        <w:gridCol w:w="1932"/>
        <w:gridCol w:w="3019"/>
      </w:tblGrid>
      <w:tr>
        <w:trPr>
          <w:trHeight w:val="254" w:hRule="atLeast"/>
        </w:trPr>
        <w:tc>
          <w:tcPr>
            <w:tcW w:w="133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b/>
                <w:b/>
                <w:bCs/>
                <w:lang w:val="en-US"/>
              </w:rPr>
            </w:pPr>
            <w:r>
              <w:rPr>
                <w:b/>
                <w:bCs/>
                <w:sz w:val="16"/>
                <w:szCs w:val="16"/>
                <w:lang w:val="en-US"/>
              </w:rPr>
              <w:t>Section</w:t>
            </w:r>
          </w:p>
        </w:tc>
        <w:tc>
          <w:tcPr>
            <w:tcW w:w="19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b/>
                <w:b/>
                <w:bCs/>
                <w:lang w:val="en-US"/>
              </w:rPr>
            </w:pPr>
            <w:r>
              <w:rPr>
                <w:b/>
                <w:bCs/>
                <w:sz w:val="16"/>
                <w:szCs w:val="16"/>
                <w:lang w:val="en-US"/>
              </w:rPr>
              <w:t>Numéro</w:t>
            </w:r>
          </w:p>
        </w:tc>
        <w:tc>
          <w:tcPr>
            <w:tcW w:w="193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b/>
                <w:b/>
                <w:bCs/>
                <w:lang w:val="en-US"/>
              </w:rPr>
            </w:pPr>
            <w:r>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b/>
                <w:b/>
                <w:bCs/>
                <w:lang w:val="en-US"/>
              </w:rPr>
            </w:pPr>
            <w:r>
              <w:rPr>
                <w:b/>
                <w:bCs/>
                <w:sz w:val="16"/>
                <w:szCs w:val="16"/>
                <w:lang w:val="en-US"/>
              </w:rPr>
              <w:t>Surface</w:t>
            </w:r>
          </w:p>
        </w:tc>
      </w:tr>
      <w:tr>
        <w:trPr>
          <w:trHeight w:val="70" w:hRule="atLeast"/>
        </w:trPr>
        <w:tc>
          <w:tcPr>
            <w:tcW w:w="8247" w:type="dxa"/>
            <w:gridSpan w:val="4"/>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b/>
                <w:bCs/>
                <w:sz w:val="16"/>
                <w:szCs w:val="16"/>
                <w:lang w:val="en-US"/>
              </w:rPr>
              <w:t>{%tr for rc in references_cadastrales %}</w:t>
            </w:r>
          </w:p>
        </w:tc>
      </w:tr>
      <w:tr>
        <w:trPr>
          <w:trHeight w:val="254" w:hRule="atLeast"/>
        </w:trPr>
        <w:tc>
          <w:tcPr>
            <w:tcW w:w="133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sz w:val="16"/>
                <w:szCs w:val="16"/>
                <w:lang w:val="en-US"/>
              </w:rPr>
              <w:t>{{ rc.section }}</w:t>
            </w:r>
          </w:p>
        </w:tc>
        <w:tc>
          <w:tcPr>
            <w:tcW w:w="1966"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sz w:val="16"/>
                <w:szCs w:val="16"/>
                <w:lang w:val="en-US"/>
              </w:rPr>
              <w:t>{{ rc.numero }}</w:t>
            </w:r>
          </w:p>
        </w:tc>
        <w:tc>
          <w:tcPr>
            <w:tcW w:w="193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sz w:val="16"/>
                <w:szCs w:val="16"/>
                <w:lang w:val="en-US"/>
              </w:rPr>
              <w:t>{{ rc.lieudit }}</w:t>
            </w:r>
          </w:p>
        </w:tc>
        <w:tc>
          <w:tcPr>
            <w:tcW w:w="301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sz w:val="16"/>
                <w:szCs w:val="16"/>
                <w:lang w:val="en-US"/>
              </w:rPr>
              <w:t>{{ rc.surface }}</w:t>
            </w:r>
          </w:p>
        </w:tc>
      </w:tr>
      <w:tr>
        <w:trPr>
          <w:trHeight w:val="271" w:hRule="atLeast"/>
        </w:trPr>
        <w:tc>
          <w:tcPr>
            <w:tcW w:w="8247" w:type="dxa"/>
            <w:gridSpan w:val="4"/>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b/>
                <w:bCs/>
                <w:sz w:val="16"/>
                <w:szCs w:val="16"/>
                <w:lang w:val="en-US"/>
              </w:rPr>
              <w:t>{%tr endfor %}</w:t>
            </w:r>
          </w:p>
        </w:tc>
      </w:tr>
    </w:tbl>
    <w:p>
      <w:pPr>
        <w:pStyle w:val="Normal"/>
        <w:jc w:val="both"/>
        <w:rPr>
          <w:shd w:fill="FFFFFF" w:val="clear"/>
        </w:rPr>
      </w:pPr>
      <w:r>
        <w:rPr>
          <w:shd w:fill="FFFFFF" w:val="clear"/>
        </w:rPr>
        <w:t>{% endif %}{% for image in effet_relatif_images %}</w:t>
      </w:r>
    </w:p>
    <w:p>
      <w:pPr>
        <w:pStyle w:val="Normal"/>
        <w:jc w:val="both"/>
        <w:rPr>
          <w:shd w:fill="FFFFFF" w:val="clear"/>
        </w:rPr>
      </w:pPr>
      <w:r>
        <w:rPr>
          <w:shd w:fill="FFFFFF" w:val="clear"/>
        </w:rPr>
        <w:t>{{image}}</w:t>
      </w:r>
    </w:p>
    <w:p>
      <w:pPr>
        <w:pStyle w:val="Normal"/>
        <w:jc w:val="both"/>
        <w:rPr>
          <w:shd w:fill="FFFFFF" w:val="clear"/>
          <w:lang w:val="en-US"/>
        </w:rPr>
      </w:pPr>
      <w:r>
        <w:rPr>
          <w:shd w:fill="FFFFFF" w:val="clear"/>
          <w:lang w:val="en-US"/>
        </w:rPr>
        <w:t>{% endfor %}{% if lot.edd_volumetrique_text()|len %}</w:t>
      </w:r>
    </w:p>
    <w:p>
      <w:pPr>
        <w:pStyle w:val="Normal"/>
        <w:jc w:val="both"/>
        <w:rPr>
          <w:shd w:fill="FFFFFF" w:val="clear"/>
          <w:lang w:val="en-US"/>
        </w:rPr>
      </w:pPr>
      <w:r>
        <w:rPr>
          <w:shd w:fill="FFFFFF" w:val="clear"/>
          <w:lang w:val="en-US"/>
        </w:rPr>
        <w:t>{{ lot.edd_volumetrique_text() }}</w:t>
      </w:r>
    </w:p>
    <w:p>
      <w:pPr>
        <w:pStyle w:val="Normal"/>
        <w:jc w:val="both"/>
        <w:rPr>
          <w:shd w:fill="FFFFFF" w:val="clear"/>
          <w:lang w:val="en-US"/>
        </w:rPr>
      </w:pPr>
      <w:r>
        <w:rPr>
          <w:shd w:fill="FFFFFF" w:val="clear"/>
          <w:lang w:val="en-US"/>
        </w:rPr>
        <w:t>{% endif %}{% for image in edd_volumetrique_images %}</w:t>
      </w:r>
    </w:p>
    <w:p>
      <w:pPr>
        <w:pStyle w:val="Normal"/>
        <w:jc w:val="both"/>
        <w:rPr>
          <w:shd w:fill="FFFFFF" w:val="clear"/>
          <w:lang w:val="en-US"/>
        </w:rPr>
      </w:pPr>
      <w:r>
        <w:rPr>
          <w:shd w:fill="FFFFFF" w:val="clear"/>
          <w:lang w:val="en-US"/>
        </w:rPr>
        <w:t>{{image}}</w:t>
      </w:r>
    </w:p>
    <w:p>
      <w:pPr>
        <w:pStyle w:val="Normal"/>
        <w:jc w:val="both"/>
        <w:rPr>
          <w:shd w:fill="FFFFFF" w:val="clear"/>
          <w:lang w:val="en-US"/>
        </w:rPr>
      </w:pPr>
      <w:r>
        <w:rPr>
          <w:shd w:fill="FFFFFF" w:val="clear"/>
          <w:lang w:val="en-US"/>
        </w:rPr>
        <w:t>{% endfor %}{% if programme.mention_publication_edd_volumetrique %}</w:t>
      </w:r>
    </w:p>
    <w:p>
      <w:pPr>
        <w:pStyle w:val="Normal"/>
        <w:jc w:val="both"/>
        <w:rPr>
          <w:shd w:fill="FFFFFF" w:val="clear"/>
          <w:lang w:val="en-US"/>
        </w:rPr>
      </w:pPr>
      <w:r>
        <w:rPr>
          <w:shd w:fill="FFFFFF" w:val="clear"/>
          <w:lang w:val="en-US"/>
        </w:rPr>
        <w:t>{{ programme.mention_publication_edd_volumetrique }}</w:t>
      </w:r>
    </w:p>
    <w:p>
      <w:pPr>
        <w:pStyle w:val="Normal"/>
        <w:jc w:val="both"/>
        <w:rPr>
          <w:shd w:fill="FFFFFF" w:val="clear"/>
          <w:lang w:val="en-US"/>
        </w:rPr>
      </w:pPr>
      <w:r>
        <w:rPr>
          <w:shd w:fill="FFFFFF" w:val="clear"/>
          <w:lang w:val="en-US"/>
        </w:rPr>
        <w:t>{% endif %}{% if lot.edd_classique_text()|len %}</w:t>
      </w:r>
    </w:p>
    <w:p>
      <w:pPr>
        <w:pStyle w:val="Normal"/>
        <w:jc w:val="both"/>
        <w:rPr>
          <w:shd w:fill="FFFFFF" w:val="clear"/>
        </w:rPr>
      </w:pPr>
      <w:r>
        <w:rPr>
          <w:shd w:fill="FFFFFF" w:val="clear"/>
        </w:rPr>
        <w:t>{{ lot.edd_classique_text() }}</w:t>
      </w:r>
    </w:p>
    <w:p>
      <w:pPr>
        <w:pStyle w:val="Normal"/>
        <w:jc w:val="both"/>
        <w:rPr>
          <w:shd w:fill="FFFFFF" w:val="clear"/>
        </w:rPr>
      </w:pPr>
      <w:r>
        <w:rPr>
          <w:shd w:fill="FFFFFF" w:val="clear"/>
        </w:rPr>
        <w:t>{% endif %}{% for image in edd_classique_images %}</w:t>
      </w:r>
    </w:p>
    <w:p>
      <w:pPr>
        <w:pStyle w:val="Normal"/>
        <w:jc w:val="both"/>
        <w:rPr>
          <w:shd w:fill="FFFFFF" w:val="clear"/>
        </w:rPr>
      </w:pPr>
      <w:r>
        <w:rPr>
          <w:shd w:fill="FFFFFF" w:val="clear"/>
        </w:rPr>
        <w:t>{{image}}</w:t>
      </w:r>
    </w:p>
    <w:p>
      <w:pPr>
        <w:pStyle w:val="Normal"/>
        <w:jc w:val="both"/>
        <w:rPr>
          <w:shd w:fill="FFFFFF" w:val="clear"/>
        </w:rPr>
      </w:pPr>
      <w:r>
        <w:rPr>
          <w:shd w:fill="FFFFFF" w:val="clear"/>
        </w:rPr>
        <w:t>{% endfor %}{% if programme.mention_publication_edd_classique %}</w:t>
      </w:r>
    </w:p>
    <w:p>
      <w:pPr>
        <w:pStyle w:val="Normal"/>
        <w:jc w:val="both"/>
        <w:rPr>
          <w:shd w:fill="FFFFFF" w:val="clear"/>
        </w:rPr>
      </w:pPr>
      <w:r>
        <w:rPr>
          <w:shd w:fill="FFFFFF" w:val="clear"/>
        </w:rPr>
        <w:t>{{ programme.mention_publication_edd_classique }}</w:t>
      </w:r>
    </w:p>
    <w:p>
      <w:pPr>
        <w:pStyle w:val="Normal"/>
        <w:jc w:val="both"/>
        <w:rPr>
          <w:shd w:fill="FFFFFF" w:val="clear"/>
        </w:rPr>
      </w:pPr>
      <w:r>
        <w:rPr>
          <w:shd w:fill="FFFFFF" w:val="clear"/>
        </w:rPr>
        <w:t>{% endif %}{% if logement_edds|len %}</w:t>
      </w:r>
    </w:p>
    <w:p>
      <w:pPr>
        <w:pStyle w:val="Normal"/>
        <w:jc w:val="both"/>
        <w:rPr>
          <w:shd w:fill="FFFFFF" w:val="clear"/>
        </w:rPr>
      </w:pPr>
      <w:r>
        <w:rPr>
          <w:b/>
          <w:bCs/>
          <w:sz w:val="22"/>
          <w:szCs w:val="22"/>
          <w:shd w:fill="FFFFFF" w:val="clear"/>
        </w:rPr>
        <w:t>Pour les besoins de la publication foncière, il y a lieu d’établir un état descriptif de</w:t>
      </w:r>
    </w:p>
    <w:p>
      <w:pPr>
        <w:pStyle w:val="Normal"/>
        <w:jc w:val="both"/>
        <w:rPr>
          <w:shd w:fill="FFFFFF" w:val="clear"/>
        </w:rPr>
      </w:pPr>
      <w:r>
        <w:rPr>
          <w:b/>
          <w:bCs/>
          <w:sz w:val="22"/>
          <w:szCs w:val="22"/>
          <w:shd w:fill="FFFFFF" w:val="clear"/>
        </w:rPr>
        <w:t>division simplifié afin de désigner les parties objet du conventionnement :</w:t>
      </w:r>
    </w:p>
    <w:p>
      <w:pPr>
        <w:pStyle w:val="Normal"/>
        <w:jc w:val="both"/>
        <w:rPr>
          <w:shd w:fill="FFFFFF" w:val="clear"/>
        </w:rPr>
      </w:pPr>
      <w:r>
        <w:rPr>
          <w:shd w:fill="FFFFFF" w:val="clear"/>
        </w:rPr>
      </w:r>
    </w:p>
    <w:tbl>
      <w:tblPr>
        <w:tblW w:w="8248"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1693"/>
        <w:gridCol w:w="1706"/>
        <w:gridCol w:w="1896"/>
        <w:gridCol w:w="2952"/>
      </w:tblGrid>
      <w:tr>
        <w:trPr>
          <w:trHeight w:val="422" w:hRule="atLeast"/>
        </w:trPr>
        <w:tc>
          <w:tcPr>
            <w:tcW w:w="16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
                <w:bCs/>
              </w:rPr>
            </w:pPr>
            <w:r>
              <w:rPr>
                <w:b/>
                <w:bCs/>
                <w:sz w:val="16"/>
                <w:szCs w:val="16"/>
              </w:rPr>
              <w:t>Numéro du lot défini automatiquement par l’EDD simplifié</w:t>
            </w:r>
          </w:p>
        </w:tc>
        <w:tc>
          <w:tcPr>
            <w:tcW w:w="17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jc w:val="both"/>
              <w:rPr>
                <w:b/>
                <w:b/>
                <w:bCs/>
                <w:lang w:val="en-US"/>
              </w:rPr>
            </w:pPr>
            <w:r>
              <w:rPr>
                <w:b/>
                <w:bCs/>
                <w:sz w:val="16"/>
                <w:szCs w:val="16"/>
                <w:lang w:val="en-US"/>
              </w:rPr>
              <w:t>Financement</w:t>
            </w:r>
          </w:p>
        </w:tc>
        <w:tc>
          <w:tcPr>
            <w:tcW w:w="189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jc w:val="both"/>
              <w:rPr>
                <w:b/>
                <w:b/>
                <w:bCs/>
                <w:lang w:val="en-US"/>
              </w:rPr>
            </w:pPr>
            <w:r>
              <w:rPr>
                <w:b/>
                <w:bCs/>
                <w:sz w:val="16"/>
                <w:szCs w:val="16"/>
                <w:lang w:val="en-US"/>
              </w:rPr>
              <w:t>Désignation</w:t>
            </w:r>
          </w:p>
        </w:tc>
        <w:tc>
          <w:tcPr>
            <w:tcW w:w="295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jc w:val="both"/>
              <w:rPr>
                <w:b/>
                <w:b/>
                <w:bCs/>
              </w:rPr>
            </w:pPr>
            <w:r>
              <w:rPr>
                <w:b/>
                <w:bCs/>
                <w:sz w:val="16"/>
                <w:szCs w:val="16"/>
              </w:rPr>
              <w:t xml:space="preserve">Numéro de lot des logements </w:t>
            </w:r>
          </w:p>
          <w:p>
            <w:pPr>
              <w:pStyle w:val="Normal"/>
              <w:widowControl w:val="false"/>
              <w:jc w:val="both"/>
              <w:rPr/>
            </w:pPr>
            <w:r>
              <w:rPr>
                <w:sz w:val="16"/>
                <w:szCs w:val="16"/>
              </w:rPr>
              <w:t>(tel que inscrit dans les actes de vente/propriété…)</w:t>
            </w:r>
          </w:p>
        </w:tc>
      </w:tr>
      <w:tr>
        <w:trPr>
          <w:trHeight w:val="211" w:hRule="atLeast"/>
        </w:trPr>
        <w:tc>
          <w:tcPr>
            <w:tcW w:w="8247" w:type="dxa"/>
            <w:gridSpan w:val="4"/>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b/>
                <w:bCs/>
                <w:sz w:val="16"/>
                <w:szCs w:val="16"/>
                <w:lang w:val="en-US"/>
              </w:rPr>
              <w:t>{%tr for i in logement_edds %}</w:t>
            </w:r>
          </w:p>
        </w:tc>
      </w:tr>
      <w:tr>
        <w:trPr>
          <w:trHeight w:val="211" w:hRule="atLeast"/>
        </w:trPr>
        <w:tc>
          <w:tcPr>
            <w:tcW w:w="1693"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sz w:val="16"/>
                <w:szCs w:val="16"/>
                <w:lang w:val="en-US"/>
              </w:rPr>
              <w:t>{{i.lot_num}}</w:t>
            </w:r>
          </w:p>
        </w:tc>
        <w:tc>
          <w:tcPr>
            <w:tcW w:w="1706"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sz w:val="16"/>
                <w:szCs w:val="16"/>
                <w:lang w:val="en-US"/>
              </w:rPr>
              <w:t>{{ i.financement }}</w:t>
            </w:r>
          </w:p>
        </w:tc>
        <w:tc>
          <w:tcPr>
            <w:tcW w:w="1896"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sz w:val="16"/>
                <w:szCs w:val="16"/>
                <w:lang w:val="en-US"/>
              </w:rPr>
              <w:t>{{ i.designation }}</w:t>
            </w:r>
          </w:p>
        </w:tc>
        <w:tc>
          <w:tcPr>
            <w:tcW w:w="295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sz w:val="16"/>
                <w:szCs w:val="16"/>
                <w:lang w:val="en-US"/>
              </w:rPr>
              <w:t>{{ i.numero_lot}}</w:t>
            </w:r>
          </w:p>
        </w:tc>
      </w:tr>
      <w:tr>
        <w:trPr>
          <w:trHeight w:val="211" w:hRule="atLeast"/>
        </w:trPr>
        <w:tc>
          <w:tcPr>
            <w:tcW w:w="8247" w:type="dxa"/>
            <w:gridSpan w:val="4"/>
            <w:tcBorders>
              <w:top w:val="single" w:sz="6" w:space="0" w:color="000000"/>
              <w:left w:val="single" w:sz="6" w:space="0" w:color="000000"/>
              <w:bottom w:val="single" w:sz="6" w:space="0" w:color="000000"/>
              <w:right w:val="single" w:sz="6" w:space="0" w:color="000000"/>
            </w:tcBorders>
          </w:tcPr>
          <w:p>
            <w:pPr>
              <w:pStyle w:val="Normal"/>
              <w:widowControl w:val="false"/>
              <w:jc w:val="both"/>
              <w:rPr>
                <w:lang w:val="en-US"/>
              </w:rPr>
            </w:pPr>
            <w:r>
              <w:rPr>
                <w:b/>
                <w:bCs/>
                <w:sz w:val="16"/>
                <w:szCs w:val="16"/>
                <w:lang w:val="en-US"/>
              </w:rPr>
              <w:t>{%tr endfor %}</w:t>
            </w:r>
          </w:p>
        </w:tc>
      </w:tr>
    </w:tbl>
    <w:p>
      <w:pPr>
        <w:pStyle w:val="Normal"/>
        <w:jc w:val="both"/>
        <w:rPr>
          <w:rFonts w:ascii="Times New Roman" w:hAnsi="Times New Roman"/>
        </w:rPr>
      </w:pPr>
      <w:r>
        <w:rPr>
          <w:rFonts w:ascii="Times New Roman" w:hAnsi="Times New Roman"/>
          <w:shd w:fill="FFFFFF" w:val="clear"/>
        </w:rPr>
        <w:t>{% endif %}</w:t>
      </w:r>
      <w:r>
        <w:rPr>
          <w:rFonts w:cs="TimesNewRomanPSMT" w:ascii="Times New Roman" w:hAnsi="Times New Roman"/>
          <w:lang w:val="en-US"/>
        </w:rPr>
        <w:t>{%  if programme.edd_stationnements_text()|len %}</w:t>
      </w:r>
    </w:p>
    <w:p>
      <w:pPr>
        <w:pStyle w:val="Normal"/>
        <w:jc w:val="both"/>
        <w:rPr>
          <w:rFonts w:ascii="Times New Roman" w:hAnsi="Times New Roman"/>
        </w:rPr>
      </w:pPr>
      <w:r>
        <w:rPr>
          <w:rFonts w:cs="TimesNewRomanPSMT" w:ascii="Times New Roman" w:hAnsi="Times New Roman"/>
        </w:rPr>
        <w:t xml:space="preserve">{{ </w:t>
      </w:r>
      <w:r>
        <w:rPr>
          <w:rFonts w:cs="TimesNewRomanPSMT" w:ascii="Times New Roman" w:hAnsi="Times New Roman"/>
          <w:lang w:val="en-US"/>
        </w:rPr>
        <w:t>programme.edd_stationnements_text()</w:t>
      </w:r>
      <w:r>
        <w:rPr>
          <w:rFonts w:cs="TimesNewRomanPSMT" w:ascii="Times New Roman" w:hAnsi="Times New Roman"/>
        </w:rPr>
        <w:t xml:space="preserve"> }}</w:t>
      </w:r>
    </w:p>
    <w:p>
      <w:pPr>
        <w:pStyle w:val="Normal"/>
        <w:jc w:val="both"/>
        <w:rPr>
          <w:rFonts w:ascii="Times New Roman" w:hAnsi="Times New Roman"/>
        </w:rPr>
      </w:pPr>
      <w:r>
        <w:rPr>
          <w:rFonts w:cs="TimesNewRomanPSMT" w:ascii="Times New Roman" w:hAnsi="Times New Roman"/>
        </w:rPr>
        <w:t>{% endif %}{% for image in edd_stationnements_images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rPr>
      </w:pPr>
      <w:r>
        <w:rPr>
          <w:rFonts w:cs="TimesNewRomanPSMT" w:ascii="Times New Roman" w:hAnsi="Times New Roman"/>
        </w:rPr>
        <w:t>{% endfor %}</w:t>
      </w:r>
    </w:p>
    <w:p>
      <w:pPr>
        <w:pStyle w:val="Normal"/>
        <w:jc w:val="both"/>
        <w:rPr>
          <w:shd w:fill="FFFFFF" w:val="clear"/>
        </w:rPr>
      </w:pPr>
      <w:r>
        <w:rPr>
          <w:shd w:fill="FFFFFF" w:val="clear"/>
        </w:rPr>
      </w:r>
    </w:p>
    <w:p>
      <w:pPr>
        <w:pStyle w:val="Normal"/>
        <w:rPr>
          <w:color w:val="000000"/>
        </w:rPr>
      </w:pPr>
      <w:r>
        <w:rPr>
          <w:color w:val="000000"/>
        </w:rPr>
      </w:r>
    </w:p>
    <w:p>
      <w:pPr>
        <w:pStyle w:val="Normal"/>
        <w:rPr>
          <w:color w:val="000000"/>
        </w:rPr>
      </w:pPr>
      <w:r>
        <w:rPr>
          <w:color w:val="000000"/>
        </w:rPr>
        <w:t> </w:t>
      </w:r>
    </w:p>
    <w:p>
      <w:pPr>
        <w:pStyle w:val="Normal"/>
        <w:rPr>
          <w:color w:val="000000"/>
        </w:rPr>
      </w:pPr>
      <w:r>
        <w:rPr>
          <w:color w:val="000000"/>
        </w:rPr>
        <w:t>II. Nature du programme conventionné</w:t>
      </w:r>
    </w:p>
    <w:p>
      <w:pPr>
        <w:pStyle w:val="Normal"/>
        <w:rPr>
          <w:color w:val="000000"/>
        </w:rPr>
      </w:pPr>
      <w:r>
        <w:rPr>
          <w:color w:val="000000"/>
        </w:rPr>
      </w:r>
    </w:p>
    <w:p>
      <w:pPr>
        <w:pStyle w:val="Normal"/>
        <w:rPr>
          <w:color w:val="000000"/>
        </w:rPr>
      </w:pPr>
      <w:r>
        <w:rPr>
          <w:color w:val="000000"/>
        </w:rPr>
        <w:t>[Rayer la mention inutile]</w:t>
      </w:r>
    </w:p>
    <w:p>
      <w:pPr>
        <w:pStyle w:val="Normal"/>
        <w:rPr>
          <w:color w:val="000000"/>
        </w:rPr>
      </w:pPr>
      <w:r>
        <w:rPr>
          <w:color w:val="000000"/>
        </w:rPr>
      </w:r>
    </w:p>
    <w:p>
      <w:pPr>
        <w:pStyle w:val="Normal"/>
        <w:rPr>
          <w:color w:val="000000"/>
        </w:rPr>
      </w:pPr>
      <w:r>
        <w:rPr>
          <w:color w:val="000000"/>
        </w:rPr>
        <w:t>{% if convention.foyer_residence_variante_1 %}Variante 1 : programme existant dont la construction a été financée dans les conditions du 1° de l'article R. 832-21 du code de la construction et de l'habitation.{% else %}</w:t>
      </w:r>
      <w:r>
        <w:rPr>
          <w:strike/>
          <w:color w:val="000000"/>
        </w:rPr>
        <w:t>Variante 1 : programme existant dont la construction a été financée dans les conditions du 1° de l'article R. 832-21 du code de la construction et de l'habitation.</w:t>
      </w:r>
      <w:r>
        <w:rPr>
          <w:color w:val="000000"/>
        </w:rPr>
        <w:t>{% endif %}</w:t>
      </w:r>
    </w:p>
    <w:p>
      <w:pPr>
        <w:pStyle w:val="Normal"/>
        <w:rPr>
          <w:color w:val="000000"/>
        </w:rPr>
      </w:pPr>
      <w:r>
        <w:rPr>
          <w:color w:val="000000"/>
        </w:rPr>
      </w:r>
    </w:p>
    <w:p>
      <w:pPr>
        <w:pStyle w:val="Normal"/>
        <w:rPr>
          <w:color w:val="000000"/>
        </w:rPr>
      </w:pPr>
      <w:r>
        <w:rPr>
          <w:color w:val="000000"/>
        </w:rPr>
        <w:t>{% if convention.foyer_residence_variante_2 %}Variante 2 : programme existant dont l'amélioration ou l'acquisition suivie d'une amélioration est financée dans les conditions prévues au 2° de l'article R. 832-21 du code de la construction et de l'habitation. {% else %}</w:t>
      </w:r>
      <w:r>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pPr>
        <w:pStyle w:val="Normal"/>
        <w:rPr>
          <w:color w:val="000000"/>
        </w:rPr>
      </w:pPr>
      <w:r>
        <w:rPr>
          <w:color w:val="000000"/>
        </w:rPr>
        <w:t>{% if convention.foyer_residence_variante_2_travaux %}</w:t>
      </w:r>
    </w:p>
    <w:p>
      <w:pPr>
        <w:pStyle w:val="Normal"/>
        <w:rPr>
          <w:color w:val="000000"/>
        </w:rPr>
      </w:pPr>
      <w:r>
        <w:rPr>
          <w:color w:val="000000"/>
        </w:rPr>
        <w:t xml:space="preserve">Description du programme des travaux : </w:t>
      </w:r>
    </w:p>
    <w:p>
      <w:pPr>
        <w:pStyle w:val="Normal"/>
        <w:rPr>
          <w:color w:val="000000"/>
        </w:rPr>
      </w:pPr>
      <w:r>
        <w:rPr>
          <w:color w:val="000000"/>
        </w:rPr>
        <w:t>{{ convention.foyer_residence_variante_2_travaux }}</w:t>
      </w:r>
    </w:p>
    <w:p>
      <w:pPr>
        <w:pStyle w:val="Normal"/>
        <w:rPr>
          <w:color w:val="000000"/>
        </w:rPr>
      </w:pPr>
      <w:r>
        <w:rPr>
          <w:color w:val="000000"/>
        </w:rPr>
        <w:t>{% endif %}</w:t>
      </w:r>
    </w:p>
    <w:p>
      <w:pPr>
        <w:pStyle w:val="Normal"/>
        <w:rPr>
          <w:color w:val="000000"/>
        </w:rPr>
      </w:pPr>
      <w:r>
        <w:rPr>
          <w:color w:val="000000"/>
        </w:rPr>
        <w:t>{% if convention.foyer_residence_variante_3 %}Variante 3 : programme neuf dont la construction est financée dans les conditions visées au 3° de l'article R. 832-21 du code de la construction et de l'habitation. {% else %}</w:t>
      </w:r>
      <w:r>
        <w:rPr>
          <w:strike/>
          <w:color w:val="000000"/>
        </w:rPr>
        <w:t>Variante 3 : programme neuf dont la construction est financée dans les conditions visées au 3° de l'article R. 832-21 du code de la construction et de l'habitation.</w:t>
      </w:r>
      <w:r>
        <w:rPr>
          <w:color w:val="000000"/>
        </w:rPr>
        <w:t>{% endif %}</w:t>
      </w:r>
    </w:p>
    <w:p>
      <w:pPr>
        <w:pStyle w:val="Normal"/>
        <w:rPr>
          <w:color w:val="000000"/>
        </w:rPr>
      </w:pPr>
      <w:r>
        <w:rPr>
          <w:color w:val="000000"/>
        </w:rPr>
      </w:r>
    </w:p>
    <w:p>
      <w:pPr>
        <w:pStyle w:val="Normal"/>
        <w:rPr>
          <w:rFonts w:ascii="Times New Roman" w:hAnsi="Times New Roman"/>
        </w:rPr>
      </w:pPr>
      <w:r>
        <w:rPr>
          <w:rFonts w:ascii="Times New Roman" w:hAnsi="Times New Roman"/>
          <w:color w:val="000000"/>
        </w:rPr>
        <w:t>III. Composition du programme</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color w:val="000000"/>
        </w:rPr>
        <w:t>A. Surface habitable totale : {{ lot.surface_habitable_totale</w:t>
      </w:r>
      <w:r>
        <w:rPr>
          <w:rFonts w:cs="TimesNewRomanPSMT" w:ascii="Times New Roman" w:hAnsi="Times New Roman"/>
        </w:rPr>
        <w:t>|f</w:t>
      </w:r>
      <w:r>
        <w:rPr>
          <w:rFonts w:ascii="Times New Roman" w:hAnsi="Times New Roman"/>
          <w:color w:val="000000"/>
        </w:rPr>
        <w:t xml:space="preserve"> }} mètres carrés</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color w:val="000000"/>
        </w:rPr>
        <w:t>B. Locaux auxquels s'applique la présente convention :</w:t>
      </w:r>
    </w:p>
    <w:p>
      <w:pPr>
        <w:pStyle w:val="Normal"/>
        <w:rPr>
          <w:rFonts w:ascii="Times New Roman" w:hAnsi="Times New Roman"/>
          <w:color w:val="000000"/>
        </w:rPr>
      </w:pPr>
      <w:r>
        <w:rPr>
          <w:rFonts w:ascii="Times New Roman" w:hAnsi="Times New Roman"/>
          <w:color w:val="000000"/>
        </w:rPr>
      </w:r>
    </w:p>
    <w:p>
      <w:pPr>
        <w:pStyle w:val="ListParagraph"/>
        <w:numPr>
          <w:ilvl w:val="0"/>
          <w:numId w:val="4"/>
        </w:numPr>
        <w:rPr>
          <w:rFonts w:ascii="Times New Roman" w:hAnsi="Times New Roman"/>
        </w:rPr>
      </w:pPr>
      <w:r>
        <w:rPr>
          <w:rFonts w:ascii="Times New Roman" w:hAnsi="Times New Roman"/>
          <w:color w:val="000000"/>
        </w:rPr>
        <w:t xml:space="preserve">Surface habitable totale :  {{ res_sh_totale|f }} mètres carrés, dont : </w:t>
      </w:r>
    </w:p>
    <w:p>
      <w:pPr>
        <w:pStyle w:val="Normal"/>
        <w:rPr>
          <w:rFonts w:ascii="Times New Roman" w:hAnsi="Times New Roman"/>
          <w:color w:val="000000"/>
        </w:rPr>
      </w:pPr>
      <w:r>
        <w:rPr>
          <w:rFonts w:ascii="Times New Roman" w:hAnsi="Times New Roman"/>
          <w:color w:val="000000"/>
        </w:rPr>
      </w:r>
    </w:p>
    <w:p>
      <w:pPr>
        <w:pStyle w:val="ListParagraph"/>
        <w:numPr>
          <w:ilvl w:val="0"/>
          <w:numId w:val="4"/>
        </w:numPr>
        <w:rPr>
          <w:rFonts w:ascii="Times New Roman" w:hAnsi="Times New Roman"/>
        </w:rPr>
      </w:pPr>
      <w:r>
        <w:rPr>
          <w:rFonts w:ascii="Times New Roman" w:hAnsi="Times New Roman"/>
          <w:color w:val="000000"/>
        </w:rPr>
        <w:t xml:space="preserve">Surface habitable totale des parties privatives : </w:t>
      </w:r>
      <w:r>
        <w:rPr>
          <w:rFonts w:cs="TimesNewRomanPSMT" w:ascii="Times New Roman" w:hAnsi="Times New Roman"/>
        </w:rPr>
        <w:t xml:space="preserve">{{ sh_totale|f }} </w:t>
      </w:r>
      <w:r>
        <w:rPr>
          <w:rFonts w:ascii="Times New Roman" w:hAnsi="Times New Roman"/>
          <w:color w:val="000000"/>
        </w:rPr>
        <w:t>mètres carrés ; Se décomposant comme suit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color w:val="000000"/>
        </w:rPr>
        <w:t>Nombre total de logements : {{ lot.nb_logements }}</w:t>
      </w:r>
    </w:p>
    <w:p>
      <w:pPr>
        <w:pStyle w:val="Normal"/>
        <w:rPr>
          <w:color w:val="000000"/>
        </w:rPr>
      </w:pPr>
      <w:r>
        <w:rPr>
          <w:color w:val="000000"/>
        </w:rPr>
      </w:r>
    </w:p>
    <w:tbl>
      <w:tblPr>
        <w:tblW w:w="8257"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1904"/>
        <w:gridCol w:w="2343"/>
        <w:gridCol w:w="1715"/>
        <w:gridCol w:w="2294"/>
      </w:tblGrid>
      <w:tr>
        <w:trPr>
          <w:trHeight w:val="636" w:hRule="atLeast"/>
          <w:cantSplit w:val="true"/>
        </w:trPr>
        <w:tc>
          <w:tcPr>
            <w:tcW w:w="1904" w:type="dxa"/>
            <w:tcBorders>
              <w:top w:val="single" w:sz="8" w:space="0" w:color="808080"/>
              <w:left w:val="single" w:sz="8" w:space="0" w:color="808080"/>
              <w:bottom w:val="single" w:sz="8" w:space="0" w:color="808080"/>
              <w:right w:val="single" w:sz="8" w:space="0" w:color="808080"/>
            </w:tcBorders>
          </w:tcPr>
          <w:p>
            <w:pPr>
              <w:pStyle w:val="Normal"/>
              <w:widowControl w:val="false"/>
              <w:jc w:val="center"/>
              <w:rPr>
                <w:color w:val="000000"/>
                <w:sz w:val="16"/>
                <w:szCs w:val="16"/>
              </w:rPr>
            </w:pPr>
            <w:r>
              <w:rPr>
                <w:color w:val="000000"/>
                <w:sz w:val="16"/>
                <w:szCs w:val="16"/>
              </w:rPr>
              <w:t>TYPES DE LOGEMENT (*)</w:t>
            </w:r>
          </w:p>
          <w:p>
            <w:pPr>
              <w:pStyle w:val="Normal"/>
              <w:widowControl w:val="false"/>
              <w:jc w:val="center"/>
              <w:rPr>
                <w:color w:val="000000"/>
              </w:rPr>
            </w:pPr>
            <w:r>
              <w:rPr>
                <w:color w:val="000000"/>
                <w:sz w:val="16"/>
                <w:szCs w:val="16"/>
              </w:rPr>
              <w:t>(une ligne par logement)</w:t>
            </w:r>
          </w:p>
        </w:tc>
        <w:tc>
          <w:tcPr>
            <w:tcW w:w="2343" w:type="dxa"/>
            <w:tcBorders>
              <w:top w:val="single" w:sz="8" w:space="0" w:color="808080"/>
              <w:left w:val="single" w:sz="8" w:space="0" w:color="808080"/>
              <w:bottom w:val="single" w:sz="8" w:space="0" w:color="808080"/>
              <w:right w:val="single" w:sz="8" w:space="0" w:color="808080"/>
            </w:tcBorders>
          </w:tcPr>
          <w:p>
            <w:pPr>
              <w:pStyle w:val="Normal"/>
              <w:widowControl w:val="false"/>
              <w:jc w:val="center"/>
              <w:rPr>
                <w:color w:val="000000"/>
                <w:sz w:val="16"/>
                <w:szCs w:val="16"/>
              </w:rPr>
            </w:pPr>
            <w:r>
              <w:rPr>
                <w:color w:val="000000"/>
                <w:sz w:val="16"/>
                <w:szCs w:val="16"/>
              </w:rPr>
              <w:t>SURFACE HABITABLE</w:t>
            </w:r>
          </w:p>
          <w:p>
            <w:pPr>
              <w:pStyle w:val="Normal"/>
              <w:widowControl w:val="false"/>
              <w:jc w:val="center"/>
              <w:rPr>
                <w:color w:val="000000"/>
              </w:rPr>
            </w:pPr>
            <w:r>
              <w:rPr>
                <w:color w:val="000000"/>
                <w:sz w:val="16"/>
                <w:szCs w:val="16"/>
              </w:rPr>
              <w:t>par local</w:t>
            </w:r>
          </w:p>
        </w:tc>
        <w:tc>
          <w:tcPr>
            <w:tcW w:w="1715" w:type="dxa"/>
            <w:tcBorders>
              <w:top w:val="single" w:sz="8" w:space="0" w:color="808080"/>
              <w:left w:val="single" w:sz="8" w:space="0" w:color="808080"/>
              <w:bottom w:val="single" w:sz="8" w:space="0" w:color="808080"/>
              <w:right w:val="single" w:sz="8" w:space="0" w:color="808080"/>
            </w:tcBorders>
          </w:tcPr>
          <w:p>
            <w:pPr>
              <w:pStyle w:val="Normal"/>
              <w:widowControl w:val="false"/>
              <w:jc w:val="center"/>
              <w:rPr>
                <w:color w:val="000000"/>
                <w:sz w:val="16"/>
                <w:szCs w:val="16"/>
              </w:rPr>
            </w:pPr>
            <w:r>
              <w:rPr>
                <w:color w:val="000000"/>
                <w:sz w:val="16"/>
                <w:szCs w:val="16"/>
              </w:rPr>
              <w:t>NUMÉRO</w:t>
            </w:r>
          </w:p>
          <w:p>
            <w:pPr>
              <w:pStyle w:val="Normal"/>
              <w:widowControl w:val="false"/>
              <w:jc w:val="center"/>
              <w:rPr>
                <w:color w:val="000000"/>
              </w:rPr>
            </w:pPr>
            <w:r>
              <w:rPr>
                <w:color w:val="000000"/>
                <w:sz w:val="16"/>
                <w:szCs w:val="16"/>
              </w:rPr>
              <w:t>du logement</w:t>
            </w:r>
          </w:p>
        </w:tc>
        <w:tc>
          <w:tcPr>
            <w:tcW w:w="2294" w:type="dxa"/>
            <w:tcBorders>
              <w:top w:val="single" w:sz="8" w:space="0" w:color="808080"/>
              <w:left w:val="single" w:sz="8" w:space="0" w:color="808080"/>
              <w:bottom w:val="single" w:sz="8" w:space="0" w:color="808080"/>
              <w:right w:val="single" w:sz="8" w:space="0" w:color="808080"/>
            </w:tcBorders>
          </w:tcPr>
          <w:p>
            <w:pPr>
              <w:pStyle w:val="Normal"/>
              <w:widowControl w:val="false"/>
              <w:jc w:val="center"/>
              <w:rPr>
                <w:color w:val="000000"/>
                <w:sz w:val="16"/>
                <w:szCs w:val="16"/>
              </w:rPr>
            </w:pPr>
            <w:r>
              <w:rPr>
                <w:color w:val="000000"/>
                <w:sz w:val="16"/>
                <w:szCs w:val="16"/>
              </w:rPr>
              <w:t>REDEVANCE MAXIMALE</w:t>
            </w:r>
          </w:p>
          <w:p>
            <w:pPr>
              <w:pStyle w:val="Normal"/>
              <w:widowControl w:val="false"/>
              <w:jc w:val="center"/>
              <w:rPr>
                <w:color w:val="000000"/>
              </w:rPr>
            </w:pPr>
            <w:r>
              <w:rPr>
                <w:color w:val="000000"/>
                <w:sz w:val="16"/>
                <w:szCs w:val="16"/>
              </w:rPr>
              <w:t>par logement prise en compte pour le calcul de l'APL</w:t>
            </w:r>
          </w:p>
        </w:tc>
      </w:tr>
      <w:tr>
        <w:trPr>
          <w:trHeight w:val="94" w:hRule="atLeast"/>
          <w:cantSplit w:val="true"/>
        </w:trPr>
        <w:tc>
          <w:tcPr>
            <w:tcW w:w="8256" w:type="dxa"/>
            <w:gridSpan w:val="4"/>
            <w:tcBorders>
              <w:top w:val="single" w:sz="8" w:space="0" w:color="808080"/>
              <w:left w:val="single" w:sz="8" w:space="0" w:color="808080"/>
              <w:bottom w:val="single" w:sz="8" w:space="0" w:color="808080"/>
              <w:right w:val="single" w:sz="8" w:space="0" w:color="808080"/>
            </w:tcBorders>
          </w:tcPr>
          <w:p>
            <w:pPr>
              <w:pStyle w:val="Normal"/>
              <w:widowControl w:val="false"/>
              <w:rPr>
                <w:color w:val="000000"/>
                <w:lang w:val="en-US"/>
              </w:rPr>
            </w:pPr>
            <w:r>
              <w:rPr>
                <w:rFonts w:cs="TimesNewRomanPSMT" w:ascii="TimesNewRomanPSMT" w:hAnsi="TimesNewRomanPSMT"/>
                <w:sz w:val="16"/>
                <w:szCs w:val="16"/>
                <w:lang w:val="en-US"/>
              </w:rPr>
              <w:t>{%tr for l in logements %}</w:t>
            </w:r>
          </w:p>
        </w:tc>
      </w:tr>
      <w:tr>
        <w:trPr>
          <w:trHeight w:val="22" w:hRule="atLeast"/>
          <w:cantSplit w:val="true"/>
        </w:trPr>
        <w:tc>
          <w:tcPr>
            <w:tcW w:w="1904" w:type="dxa"/>
            <w:tcBorders>
              <w:top w:val="single" w:sz="8" w:space="0" w:color="808080"/>
              <w:left w:val="single" w:sz="8" w:space="0" w:color="808080"/>
              <w:bottom w:val="single" w:sz="8" w:space="0" w:color="808080"/>
              <w:right w:val="single" w:sz="8" w:space="0" w:color="808080"/>
            </w:tcBorders>
          </w:tcPr>
          <w:p>
            <w:pPr>
              <w:pStyle w:val="Normal"/>
              <w:widowControl w:val="false"/>
              <w:rPr>
                <w:color w:val="000000"/>
                <w:sz w:val="20"/>
                <w:szCs w:val="20"/>
              </w:rPr>
            </w:pPr>
            <w:r>
              <w:rPr>
                <w:color w:val="000000"/>
                <w:sz w:val="20"/>
                <w:szCs w:val="20"/>
              </w:rPr>
              <w:t>{{l.typologie|tl}}</w:t>
            </w:r>
          </w:p>
        </w:tc>
        <w:tc>
          <w:tcPr>
            <w:tcW w:w="2343" w:type="dxa"/>
            <w:tcBorders>
              <w:top w:val="single" w:sz="8" w:space="0" w:color="808080"/>
              <w:left w:val="single" w:sz="8" w:space="0" w:color="808080"/>
              <w:bottom w:val="single" w:sz="8" w:space="0" w:color="808080"/>
              <w:right w:val="single" w:sz="8" w:space="0" w:color="808080"/>
            </w:tcBorders>
          </w:tcPr>
          <w:p>
            <w:pPr>
              <w:pStyle w:val="Normal"/>
              <w:widowControl w:val="false"/>
              <w:rPr>
                <w:color w:val="000000"/>
                <w:sz w:val="20"/>
                <w:szCs w:val="20"/>
              </w:rPr>
            </w:pPr>
            <w:r>
              <w:rPr>
                <w:color w:val="000000"/>
                <w:sz w:val="20"/>
                <w:szCs w:val="20"/>
              </w:rPr>
              <w:t>{{l.surface_habitable|f}}</w:t>
            </w:r>
          </w:p>
        </w:tc>
        <w:tc>
          <w:tcPr>
            <w:tcW w:w="1715" w:type="dxa"/>
            <w:tcBorders>
              <w:top w:val="single" w:sz="8" w:space="0" w:color="808080"/>
              <w:left w:val="single" w:sz="8" w:space="0" w:color="808080"/>
              <w:bottom w:val="single" w:sz="8" w:space="0" w:color="808080"/>
              <w:right w:val="single" w:sz="8" w:space="0" w:color="808080"/>
            </w:tcBorders>
          </w:tcPr>
          <w:p>
            <w:pPr>
              <w:pStyle w:val="Normal"/>
              <w:widowControl w:val="false"/>
              <w:rPr>
                <w:color w:val="000000"/>
                <w:sz w:val="20"/>
                <w:szCs w:val="20"/>
              </w:rPr>
            </w:pPr>
            <w:r>
              <w:rPr>
                <w:color w:val="000000"/>
                <w:sz w:val="20"/>
                <w:szCs w:val="20"/>
              </w:rPr>
              <w:t>{{l.designation}}</w:t>
            </w:r>
          </w:p>
        </w:tc>
        <w:tc>
          <w:tcPr>
            <w:tcW w:w="2294" w:type="dxa"/>
            <w:tcBorders>
              <w:top w:val="single" w:sz="8" w:space="0" w:color="808080"/>
              <w:left w:val="single" w:sz="8" w:space="0" w:color="808080"/>
              <w:bottom w:val="single" w:sz="8" w:space="0" w:color="808080"/>
              <w:right w:val="single" w:sz="8" w:space="0" w:color="808080"/>
            </w:tcBorders>
          </w:tcPr>
          <w:p>
            <w:pPr>
              <w:pStyle w:val="Normal"/>
              <w:widowControl w:val="false"/>
              <w:rPr>
                <w:color w:val="000000"/>
                <w:sz w:val="20"/>
                <w:szCs w:val="20"/>
              </w:rPr>
            </w:pPr>
            <w:r>
              <w:rPr>
                <w:color w:val="000000"/>
                <w:sz w:val="20"/>
                <w:szCs w:val="20"/>
              </w:rPr>
              <w:t>{{l.loyer|f}}</w:t>
            </w:r>
          </w:p>
        </w:tc>
      </w:tr>
      <w:tr>
        <w:trPr>
          <w:trHeight w:val="63" w:hRule="atLeast"/>
          <w:cantSplit w:val="true"/>
        </w:trPr>
        <w:tc>
          <w:tcPr>
            <w:tcW w:w="8256" w:type="dxa"/>
            <w:gridSpan w:val="4"/>
            <w:tcBorders>
              <w:top w:val="single" w:sz="8" w:space="0" w:color="808080"/>
              <w:left w:val="single" w:sz="8" w:space="0" w:color="808080"/>
              <w:bottom w:val="single" w:sz="8" w:space="0" w:color="808080"/>
              <w:right w:val="single" w:sz="8" w:space="0" w:color="808080"/>
            </w:tcBorders>
          </w:tcPr>
          <w:p>
            <w:pPr>
              <w:pStyle w:val="Normal"/>
              <w:widowControl w:val="false"/>
              <w:rPr>
                <w:color w:val="000000"/>
                <w:sz w:val="16"/>
                <w:szCs w:val="16"/>
              </w:rPr>
            </w:pPr>
            <w:r>
              <w:rPr>
                <w:color w:val="000000"/>
                <w:sz w:val="16"/>
                <w:szCs w:val="16"/>
              </w:rPr>
              <w:t>{%tr endfor %}</w:t>
            </w:r>
          </w:p>
        </w:tc>
      </w:tr>
      <w:tr>
        <w:trPr>
          <w:trHeight w:val="339" w:hRule="atLeast"/>
          <w:cantSplit w:val="true"/>
        </w:trPr>
        <w:tc>
          <w:tcPr>
            <w:tcW w:w="8256" w:type="dxa"/>
            <w:gridSpan w:val="4"/>
            <w:tcBorders>
              <w:top w:val="single" w:sz="8" w:space="0" w:color="808080"/>
              <w:left w:val="single" w:sz="8" w:space="0" w:color="808080"/>
              <w:bottom w:val="single" w:sz="8" w:space="0" w:color="808080"/>
              <w:right w:val="single" w:sz="8" w:space="0" w:color="808080"/>
            </w:tcBorders>
          </w:tcPr>
          <w:p>
            <w:pPr>
              <w:pStyle w:val="Normal"/>
              <w:widowControl w:val="false"/>
              <w:rPr>
                <w:color w:val="000000"/>
              </w:rPr>
            </w:pPr>
            <w:r>
              <w:rPr>
                <w:color w:val="000000"/>
              </w:rPr>
              <w:t>(*) Normes des typologies définies par l'arrêté du 17 octobre 2011. A prendre en compte dans la liste déroulante</w:t>
            </w:r>
          </w:p>
        </w:tc>
      </w:tr>
    </w:tbl>
    <w:p>
      <w:pPr>
        <w:pStyle w:val="Normal"/>
        <w:rPr>
          <w:color w:val="000000"/>
        </w:rPr>
      </w:pPr>
      <w:r>
        <w:rPr>
          <w:color w:val="000000"/>
        </w:rPr>
      </w:r>
    </w:p>
    <w:p>
      <w:pPr>
        <w:pStyle w:val="Normal"/>
        <w:rPr>
          <w:color w:val="000000"/>
        </w:rPr>
      </w:pPr>
      <w:r>
        <w:rPr>
          <w:color w:val="000000"/>
        </w:rPr>
        <w:t xml:space="preserve">Surface totale des locaux à usage collectif : {{ lc_sh_totale|f }} mètres carrés de surface habitable ; Se décomposant comme suit : </w:t>
      </w:r>
    </w:p>
    <w:p>
      <w:pPr>
        <w:pStyle w:val="Normal"/>
        <w:rPr>
          <w:color w:val="000000"/>
        </w:rPr>
      </w:pPr>
      <w:r>
        <w:rPr>
          <w:color w:val="000000"/>
        </w:rPr>
      </w:r>
    </w:p>
    <w:tbl>
      <w:tblPr>
        <w:tblW w:w="8281"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2582"/>
        <w:gridCol w:w="3447"/>
        <w:gridCol w:w="2252"/>
      </w:tblGrid>
      <w:tr>
        <w:trPr>
          <w:trHeight w:val="203" w:hRule="atLeast"/>
          <w:cantSplit w:val="true"/>
        </w:trPr>
        <w:tc>
          <w:tcPr>
            <w:tcW w:w="2582" w:type="dxa"/>
            <w:tcBorders>
              <w:top w:val="single" w:sz="8" w:space="0" w:color="808080"/>
              <w:left w:val="single" w:sz="8" w:space="0" w:color="808080"/>
              <w:bottom w:val="single" w:sz="8" w:space="0" w:color="808080"/>
              <w:right w:val="single" w:sz="8" w:space="0" w:color="808080"/>
            </w:tcBorders>
            <w:vAlign w:val="center"/>
          </w:tcPr>
          <w:p>
            <w:pPr>
              <w:pStyle w:val="Normal"/>
              <w:widowControl w:val="false"/>
              <w:jc w:val="center"/>
              <w:rPr>
                <w:color w:val="000000"/>
                <w:sz w:val="16"/>
                <w:szCs w:val="16"/>
              </w:rPr>
            </w:pPr>
            <w:r>
              <w:rPr>
                <w:color w:val="000000"/>
                <w:sz w:val="16"/>
                <w:szCs w:val="16"/>
              </w:rPr>
              <w:t>TYPE DE LOCAL</w:t>
            </w:r>
          </w:p>
        </w:tc>
        <w:tc>
          <w:tcPr>
            <w:tcW w:w="3447" w:type="dxa"/>
            <w:tcBorders>
              <w:top w:val="single" w:sz="8" w:space="0" w:color="808080"/>
              <w:left w:val="single" w:sz="8" w:space="0" w:color="808080"/>
              <w:bottom w:val="single" w:sz="8" w:space="0" w:color="808080"/>
              <w:right w:val="single" w:sz="8" w:space="0" w:color="808080"/>
            </w:tcBorders>
            <w:vAlign w:val="center"/>
          </w:tcPr>
          <w:p>
            <w:pPr>
              <w:pStyle w:val="Normal"/>
              <w:widowControl w:val="false"/>
              <w:jc w:val="center"/>
              <w:rPr>
                <w:color w:val="000000"/>
                <w:sz w:val="16"/>
                <w:szCs w:val="16"/>
              </w:rPr>
            </w:pPr>
            <w:r>
              <w:rPr>
                <w:color w:val="000000"/>
                <w:sz w:val="16"/>
                <w:szCs w:val="16"/>
              </w:rPr>
              <w:t>SURFACE HABITABLE</w:t>
            </w:r>
          </w:p>
        </w:tc>
        <w:tc>
          <w:tcPr>
            <w:tcW w:w="2252" w:type="dxa"/>
            <w:tcBorders>
              <w:top w:val="single" w:sz="8" w:space="0" w:color="808080"/>
              <w:left w:val="single" w:sz="8" w:space="0" w:color="808080"/>
              <w:bottom w:val="single" w:sz="8" w:space="0" w:color="808080"/>
              <w:right w:val="single" w:sz="8" w:space="0" w:color="808080"/>
            </w:tcBorders>
            <w:vAlign w:val="center"/>
          </w:tcPr>
          <w:p>
            <w:pPr>
              <w:pStyle w:val="Normal"/>
              <w:widowControl w:val="false"/>
              <w:jc w:val="center"/>
              <w:rPr>
                <w:color w:val="000000"/>
                <w:sz w:val="16"/>
                <w:szCs w:val="16"/>
              </w:rPr>
            </w:pPr>
            <w:r>
              <w:rPr>
                <w:color w:val="000000"/>
                <w:sz w:val="16"/>
                <w:szCs w:val="16"/>
              </w:rPr>
              <w:t>NOMBRE</w:t>
            </w:r>
          </w:p>
        </w:tc>
      </w:tr>
      <w:tr>
        <w:trPr>
          <w:trHeight w:val="203" w:hRule="atLeast"/>
          <w:cantSplit w:val="true"/>
        </w:trPr>
        <w:tc>
          <w:tcPr>
            <w:tcW w:w="8281" w:type="dxa"/>
            <w:gridSpan w:val="3"/>
            <w:tcBorders>
              <w:top w:val="single" w:sz="8" w:space="0" w:color="808080"/>
              <w:left w:val="single" w:sz="8" w:space="0" w:color="808080"/>
              <w:bottom w:val="single" w:sz="8" w:space="0" w:color="808080"/>
              <w:right w:val="single" w:sz="8" w:space="0" w:color="808080"/>
            </w:tcBorders>
            <w:vAlign w:val="center"/>
          </w:tcPr>
          <w:p>
            <w:pPr>
              <w:pStyle w:val="Normal"/>
              <w:widowControl w:val="false"/>
              <w:rPr>
                <w:color w:val="000000"/>
              </w:rPr>
            </w:pPr>
            <w:r>
              <w:rPr>
                <w:rFonts w:cs="TimesNewRomanPSMT" w:ascii="TimesNewRomanPSMT" w:hAnsi="TimesNewRomanPSMT"/>
                <w:sz w:val="16"/>
                <w:szCs w:val="16"/>
              </w:rPr>
              <w:t>{%tr for lc in locaux_collectifs %}</w:t>
            </w:r>
          </w:p>
        </w:tc>
      </w:tr>
      <w:tr>
        <w:trPr>
          <w:trHeight w:val="191" w:hRule="atLeast"/>
          <w:cantSplit w:val="true"/>
        </w:trPr>
        <w:tc>
          <w:tcPr>
            <w:tcW w:w="2582" w:type="dxa"/>
            <w:tcBorders>
              <w:top w:val="single" w:sz="8" w:space="0" w:color="808080"/>
              <w:left w:val="single" w:sz="8" w:space="0" w:color="808080"/>
              <w:bottom w:val="single" w:sz="8" w:space="0" w:color="808080"/>
              <w:right w:val="single" w:sz="8" w:space="0" w:color="808080"/>
            </w:tcBorders>
            <w:vAlign w:val="center"/>
          </w:tcPr>
          <w:p>
            <w:pPr>
              <w:pStyle w:val="Normal"/>
              <w:widowControl w:val="false"/>
              <w:rPr>
                <w:color w:val="000000"/>
                <w:sz w:val="20"/>
                <w:szCs w:val="20"/>
              </w:rPr>
            </w:pPr>
            <w:r>
              <w:rPr>
                <w:color w:val="000000"/>
                <w:sz w:val="20"/>
                <w:szCs w:val="20"/>
              </w:rPr>
              <w:t>{{ lc.type_local }}</w:t>
            </w:r>
          </w:p>
        </w:tc>
        <w:tc>
          <w:tcPr>
            <w:tcW w:w="3447" w:type="dxa"/>
            <w:tcBorders>
              <w:top w:val="single" w:sz="8" w:space="0" w:color="808080"/>
              <w:left w:val="single" w:sz="8" w:space="0" w:color="808080"/>
              <w:bottom w:val="single" w:sz="8" w:space="0" w:color="808080"/>
              <w:right w:val="single" w:sz="8" w:space="0" w:color="808080"/>
            </w:tcBorders>
            <w:vAlign w:val="center"/>
          </w:tcPr>
          <w:p>
            <w:pPr>
              <w:pStyle w:val="Normal"/>
              <w:widowControl w:val="false"/>
              <w:rPr>
                <w:color w:val="000000"/>
                <w:sz w:val="20"/>
                <w:szCs w:val="20"/>
              </w:rPr>
            </w:pPr>
            <w:r>
              <w:rPr>
                <w:color w:val="000000"/>
                <w:sz w:val="20"/>
                <w:szCs w:val="20"/>
              </w:rPr>
              <w:t>{{ lc.surface_habitable }}</w:t>
            </w:r>
          </w:p>
        </w:tc>
        <w:tc>
          <w:tcPr>
            <w:tcW w:w="2252" w:type="dxa"/>
            <w:tcBorders>
              <w:top w:val="single" w:sz="8" w:space="0" w:color="808080"/>
              <w:left w:val="single" w:sz="8" w:space="0" w:color="808080"/>
              <w:bottom w:val="single" w:sz="8" w:space="0" w:color="808080"/>
              <w:right w:val="single" w:sz="8" w:space="0" w:color="808080"/>
            </w:tcBorders>
            <w:vAlign w:val="center"/>
          </w:tcPr>
          <w:p>
            <w:pPr>
              <w:pStyle w:val="Normal"/>
              <w:widowControl w:val="false"/>
              <w:rPr>
                <w:color w:val="000000"/>
                <w:sz w:val="20"/>
                <w:szCs w:val="20"/>
              </w:rPr>
            </w:pPr>
            <w:r>
              <w:rPr>
                <w:color w:val="000000"/>
                <w:sz w:val="20"/>
                <w:szCs w:val="20"/>
              </w:rPr>
              <w:t>{{ lc.nombre }}</w:t>
            </w:r>
          </w:p>
        </w:tc>
      </w:tr>
      <w:tr>
        <w:trPr>
          <w:trHeight w:val="203" w:hRule="atLeast"/>
          <w:cantSplit w:val="true"/>
        </w:trPr>
        <w:tc>
          <w:tcPr>
            <w:tcW w:w="8281" w:type="dxa"/>
            <w:gridSpan w:val="3"/>
            <w:tcBorders>
              <w:top w:val="single" w:sz="8" w:space="0" w:color="808080"/>
              <w:left w:val="single" w:sz="8" w:space="0" w:color="808080"/>
              <w:bottom w:val="single" w:sz="8" w:space="0" w:color="808080"/>
              <w:right w:val="single" w:sz="8" w:space="0" w:color="808080"/>
            </w:tcBorders>
            <w:vAlign w:val="center"/>
          </w:tcPr>
          <w:p>
            <w:pPr>
              <w:pStyle w:val="Normal"/>
              <w:widowControl w:val="false"/>
              <w:rPr>
                <w:color w:val="000000"/>
              </w:rPr>
            </w:pPr>
            <w:r>
              <w:rPr>
                <w:color w:val="000000"/>
                <w:sz w:val="16"/>
                <w:szCs w:val="16"/>
              </w:rPr>
              <w:t>{%tr endfor %}</w:t>
            </w:r>
          </w:p>
        </w:tc>
      </w:tr>
    </w:tbl>
    <w:p>
      <w:pPr>
        <w:pStyle w:val="Normal"/>
        <w:rPr>
          <w:color w:val="000000"/>
        </w:rPr>
      </w:pPr>
      <w:r>
        <w:rPr>
          <w:color w:val="000000"/>
        </w:rPr>
        <w:t> </w:t>
      </w:r>
    </w:p>
    <w:p>
      <w:pPr>
        <w:pStyle w:val="ListParagraph"/>
        <w:numPr>
          <w:ilvl w:val="0"/>
          <w:numId w:val="5"/>
        </w:numPr>
        <w:rPr>
          <w:color w:val="000000"/>
        </w:rPr>
      </w:pPr>
      <w:r>
        <w:rPr>
          <w:color w:val="000000"/>
        </w:rPr>
        <w:t>Dépendances (nombre et surface) : {% if lot.foyer_residence_dependance %}</w:t>
      </w:r>
    </w:p>
    <w:p>
      <w:pPr>
        <w:pStyle w:val="Normal"/>
        <w:rPr>
          <w:color w:val="000000"/>
        </w:rPr>
      </w:pPr>
      <w:r>
        <w:rPr>
          <w:color w:val="000000"/>
        </w:rPr>
      </w:r>
    </w:p>
    <w:p>
      <w:pPr>
        <w:pStyle w:val="Normal"/>
        <w:rPr>
          <w:color w:val="000000"/>
        </w:rPr>
      </w:pPr>
      <w:r>
        <w:rPr>
          <w:color w:val="000000"/>
        </w:rPr>
        <w:t>{{ lot.foyer_residence_dependance }}{% endif %}</w:t>
      </w:r>
    </w:p>
    <w:p>
      <w:pPr>
        <w:pStyle w:val="Normal"/>
        <w:rPr>
          <w:color w:val="000000"/>
        </w:rPr>
      </w:pPr>
      <w:r>
        <w:rPr>
          <w:color w:val="000000"/>
        </w:rPr>
      </w:r>
    </w:p>
    <w:p>
      <w:pPr>
        <w:pStyle w:val="ListParagraph"/>
        <w:numPr>
          <w:ilvl w:val="0"/>
          <w:numId w:val="5"/>
        </w:numPr>
        <w:rPr>
          <w:color w:val="000000"/>
        </w:rPr>
      </w:pPr>
      <w:r>
        <w:rPr>
          <w:color w:val="000000"/>
        </w:rPr>
        <w:t>Garages et/ ou parking (nombre) : {{ lot.foyer_residence_nb_garage_parking }}</w:t>
      </w:r>
    </w:p>
    <w:p>
      <w:pPr>
        <w:pStyle w:val="Normal"/>
        <w:rPr>
          <w:color w:val="000000"/>
        </w:rPr>
      </w:pPr>
      <w:r>
        <w:rPr>
          <w:color w:val="000000"/>
        </w:rPr>
      </w:r>
    </w:p>
    <w:p>
      <w:pPr>
        <w:pStyle w:val="Normal"/>
        <w:rPr>
          <w:color w:val="000000"/>
        </w:rPr>
      </w:pPr>
      <w:r>
        <w:rPr>
          <w:color w:val="000000"/>
        </w:rPr>
        <w:t xml:space="preserve">C. Locaux auxquels ne s'applique pas la convention [Exemple : logement de fonction, logement d'accueil...] : </w:t>
      </w:r>
    </w:p>
    <w:p>
      <w:pPr>
        <w:pStyle w:val="Normal"/>
        <w:jc w:val="both"/>
        <w:rPr>
          <w:lang w:val="en-US"/>
        </w:rPr>
      </w:pPr>
      <w:r>
        <w:rPr>
          <w:lang w:val="en-US"/>
        </w:rPr>
        <w:t xml:space="preserve">{% for line in </w:t>
      </w:r>
      <w:r>
        <w:rPr>
          <w:color w:val="000000"/>
          <w:lang w:val="en-US"/>
        </w:rPr>
        <w:t xml:space="preserve">lot.foyer_residence_locaux_hors_convention|get_text_as_list </w:t>
      </w:r>
      <w:r>
        <w:rPr>
          <w:lang w:val="en-US"/>
        </w:rPr>
        <w:t>%}</w:t>
      </w:r>
    </w:p>
    <w:p>
      <w:pPr>
        <w:pStyle w:val="ListParagraph"/>
        <w:numPr>
          <w:ilvl w:val="0"/>
          <w:numId w:val="6"/>
        </w:numPr>
        <w:jc w:val="both"/>
        <w:rPr>
          <w:color w:val="000000" w:themeColor="text1"/>
        </w:rPr>
      </w:pPr>
      <w:r>
        <w:rPr>
          <w:color w:val="000000" w:themeColor="text1"/>
        </w:rPr>
        <w:t>{{ line }}</w:t>
      </w:r>
    </w:p>
    <w:p>
      <w:pPr>
        <w:pStyle w:val="Normal"/>
        <w:jc w:val="both"/>
        <w:rPr>
          <w:color w:val="000000"/>
        </w:rPr>
      </w:pPr>
      <w:r>
        <w:rPr>
          <w:color w:val="000000"/>
        </w:rPr>
        <w:t>{%- endfor %}</w:t>
      </w:r>
    </w:p>
    <w:p>
      <w:pPr>
        <w:pStyle w:val="Normal"/>
        <w:rPr>
          <w:color w:val="000000"/>
        </w:rPr>
      </w:pPr>
      <w:r>
        <w:rPr>
          <w:color w:val="000000"/>
        </w:rPr>
      </w:r>
    </w:p>
    <w:p>
      <w:pPr>
        <w:pStyle w:val="Normal"/>
        <w:rPr>
          <w:rFonts w:ascii="Times New Roman" w:hAnsi="Times New Roman"/>
        </w:rPr>
      </w:pPr>
      <w:r>
        <w:rPr>
          <w:rFonts w:ascii="Times New Roman" w:hAnsi="Times New Roman"/>
          <w:b/>
          <w:bCs/>
          <w:color w:val="000000"/>
        </w:rPr>
        <w:t>IV. Renseignements administratifs</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color w:val="000000"/>
        </w:rPr>
        <w:t xml:space="preserve">A. Origine de propriété [établie conformément à l'article 3 du décret n° 55-22 du 4 janvier 1955 modifié portant réforme de la publicité foncière] : </w:t>
      </w:r>
    </w:p>
    <w:p>
      <w:pPr>
        <w:pStyle w:val="Normal"/>
        <w:rPr>
          <w:rFonts w:ascii="Times New Roman" w:hAnsi="Times New Roman"/>
          <w:color w:val="000000"/>
        </w:rPr>
      </w:pPr>
      <w:r>
        <w:rPr>
          <w:rFonts w:ascii="Times New Roman" w:hAnsi="Times New Roman"/>
          <w:color w:val="000000"/>
        </w:rPr>
      </w:r>
    </w:p>
    <w:p>
      <w:pPr>
        <w:pStyle w:val="Normal"/>
        <w:jc w:val="both"/>
        <w:rPr>
          <w:rFonts w:ascii="Times New Roman" w:hAnsi="Times New Roman"/>
        </w:rPr>
      </w:pPr>
      <w:r>
        <w:rPr>
          <w:rFonts w:cs="TimesNewRomanPSMT" w:ascii="Times New Roman" w:hAnsi="Times New Roman"/>
        </w:rPr>
        <w:t xml:space="preserve">Vendeur : </w:t>
      </w:r>
      <w:bookmarkStart w:id="15" w:name="Vendeur"/>
      <w:bookmarkEnd w:id="15"/>
      <w:r>
        <w:rPr>
          <w:rFonts w:cs="TimesNewRomanPSMT" w:ascii="Times New Roman" w:hAnsi="Times New Roman"/>
        </w:rPr>
        <w:t>{{ programme.vendeur_text()  }}</w:t>
      </w:r>
    </w:p>
    <w:p>
      <w:pPr>
        <w:pStyle w:val="Normal"/>
        <w:jc w:val="both"/>
        <w:rPr>
          <w:rFonts w:ascii="Times New Roman" w:hAnsi="Times New Roman"/>
        </w:rPr>
      </w:pPr>
      <w:r>
        <w:rPr>
          <w:rFonts w:cs="TimesNewRomanPSMT" w:ascii="Times New Roman" w:hAnsi="Times New Roman"/>
        </w:rPr>
        <w:t>{% for image in vendeur_images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endfor %}</w:t>
      </w:r>
    </w:p>
    <w:p>
      <w:pPr>
        <w:pStyle w:val="Normal"/>
        <w:jc w:val="both"/>
        <w:rPr>
          <w:rFonts w:ascii="Times New Roman" w:hAnsi="Times New Roman"/>
        </w:rPr>
      </w:pPr>
      <w:r>
        <w:rPr>
          <w:rFonts w:cs="TimesNewRomanPSMT" w:ascii="Times New Roman" w:hAnsi="Times New Roman"/>
        </w:rPr>
        <w:t xml:space="preserve">Acquéreur : </w:t>
      </w:r>
      <w:bookmarkStart w:id="16" w:name="Acquereur"/>
      <w:bookmarkEnd w:id="16"/>
      <w:r>
        <w:rPr>
          <w:rFonts w:cs="TimesNewRomanPSMT" w:ascii="Times New Roman" w:hAnsi="Times New Roman"/>
        </w:rPr>
        <w:t>{{ programme.acquereur_text() }}</w:t>
      </w:r>
    </w:p>
    <w:p>
      <w:pPr>
        <w:pStyle w:val="Normal"/>
        <w:jc w:val="both"/>
        <w:rPr>
          <w:rFonts w:ascii="Times New Roman" w:hAnsi="Times New Roman"/>
        </w:rPr>
      </w:pPr>
      <w:r>
        <w:rPr>
          <w:rFonts w:cs="TimesNewRomanPSMT" w:ascii="Times New Roman" w:hAnsi="Times New Roman"/>
        </w:rPr>
        <w:t>{% for image in acquereur_images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endfor %}</w:t>
      </w:r>
    </w:p>
    <w:p>
      <w:pPr>
        <w:pStyle w:val="Normal"/>
        <w:jc w:val="both"/>
        <w:rPr>
          <w:rFonts w:ascii="Times New Roman" w:hAnsi="Times New Roman"/>
        </w:rPr>
      </w:pPr>
      <w:r>
        <w:rPr>
          <w:rFonts w:ascii="Times New Roman" w:hAnsi="Times New Roman"/>
        </w:rPr>
        <w:t xml:space="preserve">Acte notarié : </w:t>
      </w:r>
      <w:bookmarkStart w:id="17" w:name="ActeNotaire"/>
      <w:bookmarkEnd w:id="17"/>
      <w:r>
        <w:rPr>
          <w:rFonts w:cs="TimesNewRomanPSMT" w:ascii="Times New Roman" w:hAnsi="Times New Roman"/>
        </w:rPr>
        <w:t>{{ programme.date_acte_notarie|d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lang w:val="en-US"/>
        </w:rPr>
        <w:t xml:space="preserve">Notaire : </w:t>
      </w:r>
      <w:bookmarkStart w:id="18" w:name="Notaire"/>
      <w:bookmarkEnd w:id="18"/>
      <w:r>
        <w:rPr>
          <w:rFonts w:cs="TimesNewRomanPSMT" w:ascii="Times New Roman" w:hAnsi="Times New Roman"/>
          <w:lang w:val="en-US"/>
        </w:rPr>
        <w:t>{{ programme.reference_notaire_text()  }}</w:t>
      </w:r>
    </w:p>
    <w:p>
      <w:pPr>
        <w:pStyle w:val="Normal"/>
        <w:jc w:val="both"/>
        <w:rPr>
          <w:rFonts w:ascii="Times New Roman" w:hAnsi="Times New Roman"/>
        </w:rPr>
      </w:pPr>
      <w:r>
        <w:rPr>
          <w:rFonts w:cs="TimesNewRomanPSMT" w:ascii="Times New Roman" w:hAnsi="Times New Roman"/>
          <w:lang w:val="en-US"/>
        </w:rPr>
        <w:t>{% for image in reference_notaire_images %}</w:t>
      </w:r>
    </w:p>
    <w:p>
      <w:pPr>
        <w:pStyle w:val="Normal"/>
        <w:jc w:val="both"/>
        <w:rPr>
          <w:rFonts w:ascii="Times New Roman" w:hAnsi="Times New Roman"/>
        </w:rPr>
      </w:pPr>
      <w:r>
        <w:rPr>
          <w:rFonts w:cs="TimesNewRomanPSMT" w:ascii="Times New Roman" w:hAnsi="Times New Roman"/>
          <w:lang w:val="en-US"/>
        </w:rPr>
        <w:t>{{image}}</w:t>
      </w:r>
    </w:p>
    <w:p>
      <w:pPr>
        <w:pStyle w:val="Normal"/>
        <w:jc w:val="both"/>
        <w:rPr>
          <w:rFonts w:ascii="Times New Roman" w:hAnsi="Times New Roman" w:cs="TimesNewRomanPSMT"/>
          <w:lang w:val="en-US"/>
        </w:rPr>
      </w:pPr>
      <w:r>
        <w:rPr>
          <w:rFonts w:cs="TimesNewRomanPSMT" w:ascii="Times New Roman" w:hAnsi="Times New Roman"/>
          <w:lang w:val="en-US"/>
        </w:rPr>
      </w:r>
    </w:p>
    <w:p>
      <w:pPr>
        <w:pStyle w:val="Normal"/>
        <w:jc w:val="both"/>
        <w:rPr>
          <w:rFonts w:ascii="Times New Roman" w:hAnsi="Times New Roman"/>
        </w:rPr>
      </w:pPr>
      <w:r>
        <w:rPr>
          <w:rFonts w:cs="TimesNewRomanPSMT" w:ascii="Times New Roman" w:hAnsi="Times New Roman"/>
          <w:lang w:val="en-US"/>
        </w:rPr>
        <w:t>{% endfor %}</w:t>
      </w:r>
    </w:p>
    <w:p>
      <w:pPr>
        <w:pStyle w:val="Normal"/>
        <w:jc w:val="both"/>
        <w:rPr>
          <w:rFonts w:ascii="Times New Roman" w:hAnsi="Times New Roman"/>
        </w:rPr>
      </w:pPr>
      <w:r>
        <w:rPr>
          <w:rFonts w:ascii="Times New Roman" w:hAnsi="Times New Roman"/>
        </w:rPr>
        <w:t xml:space="preserve">Référence publicitaire : </w:t>
      </w:r>
      <w:bookmarkStart w:id="19" w:name="Refpublic"/>
      <w:bookmarkEnd w:id="19"/>
      <w:r>
        <w:rPr>
          <w:rFonts w:cs="TimesNewRomanPSMT" w:ascii="Times New Roman" w:hAnsi="Times New Roman"/>
        </w:rPr>
        <w:t>{{ programme.reference_publication_acte_text() }}</w:t>
      </w:r>
    </w:p>
    <w:p>
      <w:pPr>
        <w:pStyle w:val="Normal"/>
        <w:jc w:val="both"/>
        <w:rPr>
          <w:rFonts w:ascii="Times New Roman" w:hAnsi="Times New Roman"/>
        </w:rPr>
      </w:pPr>
      <w:r>
        <w:rPr>
          <w:rFonts w:cs="TimesNewRomanPSMT" w:ascii="Times New Roman" w:hAnsi="Times New Roman"/>
          <w:lang w:val="en-US"/>
        </w:rPr>
        <w:t>{% for image in reference_publication_acte_images %}</w:t>
      </w:r>
    </w:p>
    <w:p>
      <w:pPr>
        <w:pStyle w:val="Normal"/>
        <w:jc w:val="both"/>
        <w:rPr>
          <w:rFonts w:ascii="Times New Roman" w:hAnsi="Times New Roman"/>
        </w:rPr>
      </w:pPr>
      <w:r>
        <w:rPr>
          <w:rFonts w:cs="TimesNewRomanPSMT" w:ascii="Times New Roman" w:hAnsi="Times New Roman"/>
        </w:rPr>
        <w:t>{{image}}</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endfor %}</w:t>
      </w:r>
    </w:p>
    <w:p>
      <w:pPr>
        <w:pStyle w:val="Normal"/>
        <w:rPr>
          <w:rFonts w:ascii="Times New Roman" w:hAnsi="Times New Roman"/>
        </w:rPr>
      </w:pPr>
      <w:r>
        <w:rPr>
          <w:rFonts w:ascii="Times New Roman" w:hAnsi="Times New Roman"/>
          <w:color w:val="000000"/>
        </w:rPr>
        <w:t xml:space="preserve">B. Permis de construire ou déclaration préalable de construction [selon la nature des travaux] : </w:t>
      </w:r>
      <w:r>
        <w:rPr>
          <w:rFonts w:cs="TimesNewRomanPSMT" w:ascii="Times New Roman" w:hAnsi="Times New Roman"/>
        </w:rPr>
        <w:t>{{ programme.permis_construire or ‘’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color w:val="000000"/>
        </w:rPr>
        <w:t xml:space="preserve">C. Modalités de financement de l'opération [Renseignements à compléter dès que les décisions de financements sont intervenues] : </w:t>
      </w:r>
    </w:p>
    <w:p>
      <w:pPr>
        <w:pStyle w:val="Normal"/>
        <w:jc w:val="both"/>
        <w:rPr>
          <w:rFonts w:ascii="Times New Roman" w:hAnsi="Times New Roman"/>
        </w:rPr>
      </w:pPr>
      <w:r>
        <w:rPr>
          <w:rFonts w:cs="TimesNewRomanPSMT" w:ascii="Times New Roman" w:hAnsi="Times New Roman"/>
          <w:lang w:val="en-US"/>
        </w:rPr>
        <w:t>{% if prets_cdc.count() %}{% for p in prets_cdc %}</w:t>
      </w:r>
    </w:p>
    <w:p>
      <w:pPr>
        <w:pStyle w:val="ListParagraph"/>
        <w:numPr>
          <w:ilvl w:val="0"/>
          <w:numId w:val="3"/>
        </w:numPr>
        <w:jc w:val="both"/>
        <w:rPr>
          <w:rFonts w:ascii="Times New Roman" w:hAnsi="Times New Roman"/>
        </w:rPr>
      </w:pPr>
      <w:r>
        <w:rPr>
          <w:rFonts w:cs="TimesNewRomanPSMT" w:ascii="Times New Roman" w:hAnsi="Times New Roman"/>
        </w:rPr>
        <w:t>Numéro : {{ p.n }}</w:t>
      </w:r>
    </w:p>
    <w:p>
      <w:pPr>
        <w:pStyle w:val="ListParagraph"/>
        <w:numPr>
          <w:ilvl w:val="0"/>
          <w:numId w:val="3"/>
        </w:numPr>
        <w:jc w:val="both"/>
        <w:rPr>
          <w:rFonts w:ascii="Times New Roman" w:hAnsi="Times New Roman"/>
        </w:rPr>
      </w:pPr>
      <w:r>
        <w:rPr>
          <w:rFonts w:cs="TimesNewRomanPSMT" w:ascii="Times New Roman" w:hAnsi="Times New Roman"/>
        </w:rPr>
        <w:t>Date d’octroi : {{ p.do|sd }}</w:t>
      </w:r>
    </w:p>
    <w:p>
      <w:pPr>
        <w:pStyle w:val="ListParagraph"/>
        <w:numPr>
          <w:ilvl w:val="0"/>
          <w:numId w:val="3"/>
        </w:numPr>
        <w:jc w:val="both"/>
        <w:rPr>
          <w:rFonts w:ascii="Times New Roman" w:hAnsi="Times New Roman"/>
        </w:rPr>
      </w:pPr>
      <w:r>
        <w:rPr>
          <w:rFonts w:cs="TimesNewRomanPSMT" w:ascii="Times New Roman" w:hAnsi="Times New Roman"/>
        </w:rPr>
        <w:t>Durée: {{ p.d }} an{{ p.d|pl }}</w:t>
      </w:r>
    </w:p>
    <w:p>
      <w:pPr>
        <w:pStyle w:val="ListParagraph"/>
        <w:numPr>
          <w:ilvl w:val="0"/>
          <w:numId w:val="3"/>
        </w:numPr>
        <w:jc w:val="both"/>
        <w:rPr>
          <w:rFonts w:ascii="Times New Roman" w:hAnsi="Times New Roman"/>
        </w:rPr>
      </w:pPr>
      <w:r>
        <w:rPr>
          <w:rFonts w:cs="TimesNewRomanPSMT" w:ascii="Times New Roman" w:hAnsi="Times New Roman"/>
        </w:rPr>
        <w:t>Montant : {{ p.m|f }} €</w:t>
      </w:r>
    </w:p>
    <w:p>
      <w:pPr>
        <w:pStyle w:val="ListParagraph"/>
        <w:numPr>
          <w:ilvl w:val="0"/>
          <w:numId w:val="3"/>
        </w:numPr>
        <w:jc w:val="both"/>
        <w:rPr>
          <w:rFonts w:ascii="Times New Roman" w:hAnsi="Times New Roman"/>
        </w:rPr>
      </w:pPr>
      <w:r>
        <w:rPr>
          <w:rFonts w:cs="TimesNewRomanPSMT" w:ascii="Times New Roman" w:hAnsi="Times New Roman"/>
        </w:rPr>
        <w:t>Prêteur : {{ p.p_full() }}</w:t>
      </w:r>
    </w:p>
    <w:p>
      <w:pPr>
        <w:pStyle w:val="Normal"/>
        <w:jc w:val="both"/>
        <w:rPr>
          <w:rFonts w:ascii="Times New Roman" w:hAnsi="Times New Roman"/>
        </w:rPr>
      </w:pPr>
      <w:r>
        <w:rPr>
          <w:rFonts w:cs="TimesNewRomanPSMT" w:ascii="Times New Roman" w:hAnsi="Times New Roman"/>
          <w:lang w:val="en-US"/>
        </w:rPr>
        <w:t>{% endfor %}</w:t>
      </w:r>
      <w:r>
        <w:rPr>
          <w:rFonts w:ascii="Times New Roman" w:hAnsi="Times New Roman"/>
        </w:rPr>
        <w:t>{% endif %}</w:t>
      </w:r>
    </w:p>
    <w:p>
      <w:pPr>
        <w:pStyle w:val="Normal"/>
        <w:jc w:val="both"/>
        <w:rPr>
          <w:rFonts w:ascii="Times New Roman" w:hAnsi="Times New Roman"/>
        </w:rPr>
      </w:pPr>
      <w:bookmarkStart w:id="20" w:name="Etat"/>
      <w:bookmarkEnd w:id="20"/>
      <w:r>
        <w:rPr>
          <w:rFonts w:cs="TimesNewRomanPSMT" w:ascii="Times New Roman" w:hAnsi="Times New Roman"/>
        </w:rPr>
        <w:t>{% if autres_prets.count() %} Financement complémentaire :</w:t>
      </w:r>
    </w:p>
    <w:p>
      <w:pPr>
        <w:pStyle w:val="Normal"/>
        <w:jc w:val="both"/>
        <w:rPr>
          <w:rFonts w:ascii="Times New Roman" w:hAnsi="Times New Roman"/>
        </w:rPr>
      </w:pPr>
      <w:r>
        <w:rPr>
          <w:rFonts w:cs="TimesNewRomanPSMT" w:ascii="Times New Roman" w:hAnsi="Times New Roman"/>
          <w:lang w:val="en-US"/>
        </w:rPr>
        <w:t>{% for p in autres_prets %}{% if p.n %}</w:t>
      </w:r>
    </w:p>
    <w:p>
      <w:pPr>
        <w:pStyle w:val="ListParagraph"/>
        <w:numPr>
          <w:ilvl w:val="0"/>
          <w:numId w:val="3"/>
        </w:numPr>
        <w:jc w:val="both"/>
        <w:rPr>
          <w:rFonts w:ascii="Times New Roman" w:hAnsi="Times New Roman"/>
        </w:rPr>
      </w:pPr>
      <w:r>
        <w:rPr>
          <w:rFonts w:cs="TimesNewRomanPSMT" w:ascii="Times New Roman" w:hAnsi="Times New Roman"/>
          <w:lang w:val="en-US"/>
        </w:rPr>
        <w:t>Numéro : {{ p.n }}</w:t>
      </w:r>
      <w:r>
        <w:rPr>
          <w:rFonts w:ascii="Times New Roman" w:hAnsi="Times New Roman"/>
          <w:lang w:val="en-US"/>
        </w:rPr>
        <w:t>{% endif %}</w:t>
      </w:r>
      <w:r>
        <w:rPr>
          <w:rFonts w:cs="TimesNewRomanPSMT" w:ascii="Times New Roman" w:hAnsi="Times New Roman"/>
          <w:lang w:val="en-US"/>
        </w:rPr>
        <w:t>{% if p.do %}</w:t>
      </w:r>
    </w:p>
    <w:p>
      <w:pPr>
        <w:pStyle w:val="ListParagraph"/>
        <w:numPr>
          <w:ilvl w:val="0"/>
          <w:numId w:val="3"/>
        </w:numPr>
        <w:jc w:val="both"/>
        <w:rPr>
          <w:rFonts w:ascii="Times New Roman" w:hAnsi="Times New Roman"/>
        </w:rPr>
      </w:pPr>
      <w:r>
        <w:rPr>
          <w:rFonts w:cs="TimesNewRomanPSMT" w:ascii="Times New Roman" w:hAnsi="Times New Roman"/>
          <w:lang w:val="en-US"/>
        </w:rPr>
        <w:t>Date d’octroi : {{ p.do|sd }}</w:t>
      </w:r>
      <w:r>
        <w:rPr>
          <w:rFonts w:ascii="Times New Roman" w:hAnsi="Times New Roman"/>
          <w:lang w:val="en-US"/>
        </w:rPr>
        <w:t>{% endif %}</w:t>
      </w:r>
      <w:r>
        <w:rPr>
          <w:rFonts w:cs="TimesNewRomanPSMT" w:ascii="Times New Roman" w:hAnsi="Times New Roman"/>
          <w:lang w:val="en-US"/>
        </w:rPr>
        <w:t>{% if p.d %}</w:t>
      </w:r>
    </w:p>
    <w:p>
      <w:pPr>
        <w:pStyle w:val="ListParagraph"/>
        <w:numPr>
          <w:ilvl w:val="0"/>
          <w:numId w:val="3"/>
        </w:numPr>
        <w:jc w:val="both"/>
        <w:rPr>
          <w:rFonts w:ascii="Times New Roman" w:hAnsi="Times New Roman"/>
        </w:rPr>
      </w:pPr>
      <w:r>
        <w:rPr>
          <w:rFonts w:cs="TimesNewRomanPSMT" w:ascii="Times New Roman" w:hAnsi="Times New Roman"/>
          <w:lang w:val="en-US"/>
        </w:rPr>
        <w:t>Durée : {{ p.d }} an{{ p.d|pl }}</w:t>
      </w:r>
      <w:r>
        <w:rPr>
          <w:rFonts w:ascii="Times New Roman" w:hAnsi="Times New Roman"/>
          <w:lang w:val="en-US"/>
        </w:rPr>
        <w:t>{% endif %}</w:t>
      </w:r>
      <w:r>
        <w:rPr>
          <w:rFonts w:cs="TimesNewRomanPSMT" w:ascii="Times New Roman" w:hAnsi="Times New Roman"/>
          <w:lang w:val="en-US"/>
        </w:rPr>
        <w:t>{% if p.m %}</w:t>
      </w:r>
    </w:p>
    <w:p>
      <w:pPr>
        <w:pStyle w:val="ListParagraph"/>
        <w:numPr>
          <w:ilvl w:val="0"/>
          <w:numId w:val="3"/>
        </w:numPr>
        <w:jc w:val="both"/>
        <w:rPr>
          <w:rFonts w:ascii="Times New Roman" w:hAnsi="Times New Roman"/>
        </w:rPr>
      </w:pPr>
      <w:r>
        <w:rPr>
          <w:rFonts w:cs="TimesNewRomanPSMT" w:ascii="Times New Roman" w:hAnsi="Times New Roman"/>
          <w:lang w:val="en-US"/>
        </w:rPr>
        <w:t>Montant : {{ p.m|f }} €</w:t>
      </w:r>
      <w:r>
        <w:rPr>
          <w:rFonts w:ascii="Times New Roman" w:hAnsi="Times New Roman"/>
          <w:lang w:val="en-US"/>
        </w:rPr>
        <w:t>{% endif %}</w:t>
      </w:r>
      <w:r>
        <w:rPr>
          <w:rFonts w:cs="TimesNewRomanPSMT" w:ascii="Times New Roman" w:hAnsi="Times New Roman"/>
          <w:lang w:val="en-US"/>
        </w:rPr>
        <w:t>{% if p.preteur_display() %}</w:t>
      </w:r>
    </w:p>
    <w:p>
      <w:pPr>
        <w:pStyle w:val="ListParagraph"/>
        <w:numPr>
          <w:ilvl w:val="0"/>
          <w:numId w:val="3"/>
        </w:numPr>
        <w:jc w:val="both"/>
        <w:rPr>
          <w:rFonts w:ascii="Times New Roman" w:hAnsi="Times New Roman"/>
        </w:rPr>
      </w:pPr>
      <w:r>
        <w:rPr>
          <w:rFonts w:cs="TimesNewRomanPSMT" w:ascii="Times New Roman" w:hAnsi="Times New Roman"/>
        </w:rPr>
        <w:t>Prêteur : {{ p.preteur_display() }}</w:t>
      </w:r>
      <w:r>
        <w:rPr>
          <w:rFonts w:ascii="Times New Roman" w:hAnsi="Times New Roman"/>
        </w:rPr>
        <w:t>{% endif %}</w:t>
      </w:r>
    </w:p>
    <w:p>
      <w:pPr>
        <w:pStyle w:val="Normal"/>
        <w:jc w:val="both"/>
        <w:rPr>
          <w:rFonts w:ascii="Times New Roman" w:hAnsi="Times New Roman"/>
        </w:rPr>
      </w:pPr>
      <w:r>
        <w:rPr>
          <w:rFonts w:cs="TimesNewRomanPSMT" w:ascii="Times New Roman" w:hAnsi="Times New Roman"/>
        </w:rPr>
        <w:t>{% endfor %}</w:t>
      </w:r>
      <w:r>
        <w:rPr>
          <w:rFonts w:ascii="Times New Roman" w:hAnsi="Times New Roman"/>
        </w:rPr>
        <w:t>{% endif %}</w:t>
      </w:r>
    </w:p>
    <w:p>
      <w:pPr>
        <w:pStyle w:val="Normal"/>
        <w:jc w:val="both"/>
        <w:rPr>
          <w:rFonts w:ascii="Times New Roman" w:hAnsi="Times New Roman"/>
        </w:rPr>
      </w:pPr>
      <w:bookmarkStart w:id="21" w:name="Fondpropre"/>
      <w:bookmarkEnd w:id="21"/>
      <w:r>
        <w:rPr>
          <w:rFonts w:cs="TimesNewRomanPSMT" w:ascii="Times New Roman" w:hAnsi="Times New Roman"/>
        </w:rPr>
        <w:t>{% if convention.fond_propre %}Fond propre : {{ convention.fond_propre|f }} €</w:t>
      </w:r>
    </w:p>
    <w:p>
      <w:pPr>
        <w:pStyle w:val="Normal"/>
        <w:jc w:val="both"/>
        <w:rPr>
          <w:rFonts w:ascii="Times New Roman" w:hAnsi="Times New Roman" w:cs="TimesNewRomanPSMT"/>
        </w:rPr>
      </w:pPr>
      <w:r>
        <w:rPr>
          <w:rFonts w:cs="TimesNewRomanPSMT" w:ascii="Times New Roman" w:hAnsi="Times New Roman"/>
        </w:rPr>
      </w:r>
    </w:p>
    <w:p>
      <w:pPr>
        <w:pStyle w:val="Normal"/>
        <w:jc w:val="both"/>
        <w:rPr>
          <w:rFonts w:ascii="Times New Roman" w:hAnsi="Times New Roman"/>
        </w:rPr>
      </w:pPr>
      <w:r>
        <w:rPr>
          <w:rFonts w:cs="TimesNewRomanPSMT" w:ascii="Times New Roman" w:hAnsi="Times New Roman"/>
        </w:rPr>
        <w:t xml:space="preserve">{% endif %}Date d'achèvement de la construction ou certificat de conformité : </w:t>
      </w:r>
      <w:bookmarkStart w:id="22" w:name="Construc"/>
      <w:bookmarkEnd w:id="22"/>
      <w:r>
        <w:rPr>
          <w:rFonts w:cs="TimesNewRomanPSMT" w:ascii="Times New Roman" w:hAnsi="Times New Roman"/>
        </w:rPr>
        <w:t>{{ programme.date_achevement|d }}</w:t>
      </w:r>
    </w:p>
    <w:p>
      <w:pPr>
        <w:pStyle w:val="Normal"/>
        <w:rPr>
          <w:color w:val="000000"/>
        </w:rPr>
      </w:pPr>
      <w:r>
        <w:rPr>
          <w:color w:val="000000"/>
        </w:rPr>
      </w:r>
    </w:p>
    <w:p>
      <w:pPr>
        <w:pStyle w:val="Normal"/>
        <w:rPr>
          <w:color w:val="000000"/>
        </w:rPr>
      </w:pPr>
      <w:r>
        <w:rPr>
          <w:color w:val="000000"/>
        </w:rPr>
        <w:t>D. Historique des financements publics dont le programme a bénéficié depuis sa construction : {% if convention.historique_financement_public %}</w:t>
      </w:r>
    </w:p>
    <w:p>
      <w:pPr>
        <w:pStyle w:val="Normal"/>
        <w:rPr>
          <w:color w:val="000000"/>
        </w:rPr>
      </w:pPr>
      <w:r>
        <w:rPr>
          <w:color w:val="000000"/>
        </w:rPr>
      </w:r>
    </w:p>
    <w:p>
      <w:pPr>
        <w:pStyle w:val="Normal"/>
        <w:rPr>
          <w:color w:val="000000"/>
        </w:rPr>
      </w:pPr>
      <w:r>
        <w:rPr>
          <w:color w:val="000000"/>
        </w:rPr>
        <w:t>{{ convention.historique_financement_public }}{% endif %}</w:t>
      </w:r>
    </w:p>
    <w:p>
      <w:pPr>
        <w:pStyle w:val="Normal"/>
        <w:rPr>
          <w:color w:val="000000"/>
        </w:rPr>
      </w:pPr>
      <w:r>
        <w:rPr>
          <w:color w:val="000000"/>
        </w:rPr>
      </w:r>
    </w:p>
    <w:p>
      <w:pPr>
        <w:pStyle w:val="Normal"/>
        <w:rPr>
          <w:color w:val="000000"/>
        </w:rPr>
      </w:pPr>
      <w:r>
        <w:rPr/>
        <mc:AlternateContent>
          <mc:Choice Requires="wps">
            <w:drawing>
              <wp:inline distT="0" distB="0" distL="0" distR="0" wp14:anchorId="2F152AD3">
                <wp:extent cx="5231765" cy="4039870"/>
                <wp:effectExtent l="0" t="0" r="635" b="0"/>
                <wp:docPr id="3" name="Shape2"/>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fillRef idx="0"/>
                        <a:effectRef idx="0"/>
                        <a:fontRef idx="minor"/>
                      </wps:style>
                      <wps:txbx>
                        <w:txbxContent>
                          <w:p>
                            <w:pPr>
                              <w:pStyle w:val="FrameContents"/>
                              <w:jc w:val="both"/>
                              <w:rPr>
                                <w:rFonts w:ascii="Times New Roman" w:hAnsi="Times New Roman"/>
                              </w:rPr>
                            </w:pPr>
                            <w:r>
                              <w:rPr>
                                <w:rFonts w:cs="TimesNewRomanPSMT" w:ascii="Times New Roman" w:hAnsi="Times New Roman"/>
                              </w:rPr>
                              <w:t>Fait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propriétaire (6), </w:t>
                            </w:r>
                            <w:r>
                              <w:rPr>
                                <w:rFonts w:ascii="Times New Roman" w:hAnsi="Times New Roman"/>
                              </w:rPr>
                              <w:t>{%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gestionnaire (6), </w:t>
                            </w:r>
                            <w:r>
                              <w:rPr>
                                <w:rFonts w:ascii="Times New Roman" w:hAnsi="Times New Roman"/>
                              </w:rPr>
                              <w:t xml:space="preserve">{{ </w:t>
                            </w:r>
                            <w:r>
                              <w:rPr>
                                <w:rFonts w:cs="TimesNewRomanPSMT" w:ascii="Times New Roman" w:hAnsi="Times New Roman"/>
                              </w:rPr>
                              <w:t>convention</w:t>
                            </w:r>
                            <w:r>
                              <w:rPr>
                                <w:rFonts w:ascii="Times New Roman" w:hAnsi="Times New Roman"/>
                              </w:rPr>
                              <w:t>.gestionnaire_signataire_bloc_signature|default_empty_if_none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shd w:fill="FFFFFF" w:val="clear"/>
                              </w:rPr>
                              <w:t>Le préfet, le président de l'établissement public de coopération intercommunale, du conseil départemental, de la métropole de Lyon, de la métropole du Grand Paris, de la métropole d’Aix-Marseille-Provence, ou du conseil exécutif de Corse,</w:t>
                            </w:r>
                            <w:r>
                              <w:rPr>
                                <w:rFonts w:cs="TimesNewRomanPSMT" w:ascii="Times New Roman" w:hAnsi="Times New Roman"/>
                              </w:rPr>
                              <w:t xml:space="preserv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jc w:val="both"/>
                              <w:rPr>
                                <w:rFonts w:ascii="Times New Roman" w:hAnsi="Times New Roman" w:cs="TimesNewRomanPSMT"/>
                              </w:rPr>
                            </w:pPr>
                            <w:r>
                              <w:rPr>
                                <w:rFonts w:cs="TimesNewRomanPSMT" w:ascii="Times New Roman" w:hAnsi="Times New Roman"/>
                              </w:rPr>
                            </w:r>
                          </w:p>
                          <w:p>
                            <w:pPr>
                              <w:pStyle w:val="FrameContents"/>
                              <w:rPr>
                                <w:rFonts w:ascii="Times New Roman" w:hAnsi="Times New Roman" w:cs="TimesNewRomanPSMT"/>
                              </w:rPr>
                            </w:pPr>
                            <w:r>
                              <w:rPr>
                                <w:rFonts w:cs="TimesNewRomanPSMT" w:ascii="Times New Roman" w:hAnsi="Times New Roman"/>
                              </w:rPr>
                            </w:r>
                          </w:p>
                          <w:p>
                            <w:pPr>
                              <w:pStyle w:val="FrameContents"/>
                              <w:rPr>
                                <w:rFonts w:ascii="Times New Roman" w:hAnsi="Times New Roman" w:cs="TimesNewRomanPSMT"/>
                              </w:rPr>
                            </w:pPr>
                            <w:r>
                              <w:rPr>
                                <w:rFonts w:cs="TimesNewRomanPSMT" w:ascii="Times New Roman" w:hAnsi="Times New Roman"/>
                              </w:rPr>
                            </w:r>
                          </w:p>
                          <w:p>
                            <w:pPr>
                              <w:pStyle w:val="FrameContents"/>
                              <w:rPr/>
                            </w:pPr>
                            <w:r>
                              <w:rPr/>
                            </w:r>
                          </w:p>
                          <w:p>
                            <w:pPr>
                              <w:pStyle w:val="FrameContents"/>
                              <w:rPr/>
                            </w:pPr>
                            <w:r>
                              <w:rPr/>
                            </w:r>
                          </w:p>
                          <w:p>
                            <w:pPr>
                              <w:pStyle w:val="FrameContents"/>
                              <w:rPr/>
                            </w:pPr>
                            <w:r>
                              <w:rPr/>
                            </w:r>
                          </w:p>
                        </w:txbxContent>
                      </wps:txbx>
                      <wps:bodyPr lIns="0" rIns="0" tIns="0" bIns="0" anchor="t">
                        <a:prstTxWarp prst="textNoShape"/>
                        <a:noAutofit/>
                      </wps:bodyPr>
                    </wps:wsp>
                  </a:graphicData>
                </a:graphic>
              </wp:inline>
            </w:drawing>
          </mc:Choice>
          <mc:Fallback>
            <w:pict>
              <v:rect id="shape_0" ID="Shape2" path="m0,0l-2147483645,0l-2147483645,-2147483646l0,-2147483646xe" fillcolor="white" stroked="f" o:allowincell="f" style="position:absolute;margin-left:0pt;margin-top:-318.15pt;width:411.9pt;height:318.05pt;mso-wrap-style:square;v-text-anchor:top;mso-position-vertical:top" wp14:anchorId="2F152AD3">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propriétaire (6), </w:t>
                      </w:r>
                      <w:r>
                        <w:rPr>
                          <w:rFonts w:ascii="Times New Roman" w:hAnsi="Times New Roman"/>
                        </w:rPr>
                        <w:t>{%  if convention.signataire_bloc_signature %}{{ convention.signataire_bloc_signature|default_empty_if_none }}{% else %} {{ bailleur.signataire_bloc_signature|default_empty_if_none }}{% endif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gestionnaire (6), </w:t>
                      </w:r>
                      <w:r>
                        <w:rPr>
                          <w:rFonts w:ascii="Times New Roman" w:hAnsi="Times New Roman"/>
                        </w:rPr>
                        <w:t xml:space="preserve">{{ </w:t>
                      </w:r>
                      <w:r>
                        <w:rPr>
                          <w:rFonts w:cs="TimesNewRomanPSMT" w:ascii="Times New Roman" w:hAnsi="Times New Roman"/>
                        </w:rPr>
                        <w:t>convention</w:t>
                      </w:r>
                      <w:r>
                        <w:rPr>
                          <w:rFonts w:ascii="Times New Roman" w:hAnsi="Times New Roman"/>
                        </w:rPr>
                        <w:t>.gestionnaire_signataire_bloc_signature|default_empty_if_none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shd w:fill="FFFFFF" w:val="clear"/>
                        </w:rPr>
                        <w:t>Le préfet, le président de l'établissement public de coopération intercommunale, du conseil départemental, de la métropole de Lyon, de la métropole du Grand Paris, de la métropole d’Aix-Marseille-Provence, ou du conseil exécutif de Corse,</w:t>
                      </w:r>
                      <w:r>
                        <w:rPr>
                          <w:rFonts w:cs="TimesNewRomanPSMT" w:ascii="Times New Roman" w:hAnsi="Times New Roman"/>
                        </w:rPr>
                        <w:t xml:space="preserv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jc w:val="both"/>
                        <w:rPr>
                          <w:rFonts w:ascii="Times New Roman" w:hAnsi="Times New Roman" w:cs="TimesNewRomanPSMT"/>
                        </w:rPr>
                      </w:pPr>
                      <w:r>
                        <w:rPr>
                          <w:rFonts w:cs="TimesNewRomanPSMT" w:ascii="Times New Roman" w:hAnsi="Times New Roman"/>
                        </w:rPr>
                      </w:r>
                    </w:p>
                    <w:p>
                      <w:pPr>
                        <w:pStyle w:val="FrameContents"/>
                        <w:rPr>
                          <w:rFonts w:ascii="Times New Roman" w:hAnsi="Times New Roman" w:cs="TimesNewRomanPSMT"/>
                        </w:rPr>
                      </w:pPr>
                      <w:r>
                        <w:rPr>
                          <w:rFonts w:cs="TimesNewRomanPSMT" w:ascii="Times New Roman" w:hAnsi="Times New Roman"/>
                        </w:rPr>
                      </w:r>
                    </w:p>
                    <w:p>
                      <w:pPr>
                        <w:pStyle w:val="FrameContents"/>
                        <w:rPr>
                          <w:rFonts w:ascii="Times New Roman" w:hAnsi="Times New Roman" w:cs="TimesNewRomanPSMT"/>
                        </w:rPr>
                      </w:pPr>
                      <w:r>
                        <w:rPr>
                          <w:rFonts w:cs="TimesNewRomanPSMT" w:ascii="Times New Roman" w:hAnsi="Times New Roman"/>
                        </w:rPr>
                      </w:r>
                    </w:p>
                    <w:p>
                      <w:pPr>
                        <w:pStyle w:val="FrameContents"/>
                        <w:rPr/>
                      </w:pPr>
                      <w:r>
                        <w:rPr/>
                      </w:r>
                    </w:p>
                    <w:p>
                      <w:pPr>
                        <w:pStyle w:val="FrameContents"/>
                        <w:rPr/>
                      </w:pPr>
                      <w:r>
                        <w:rPr/>
                      </w:r>
                    </w:p>
                    <w:p>
                      <w:pPr>
                        <w:pStyle w:val="FrameContents"/>
                        <w:rPr/>
                      </w:pPr>
                      <w:r>
                        <w:rPr/>
                      </w:r>
                    </w:p>
                  </w:txbxContent>
                </v:textbox>
                <w10:wrap type="square"/>
              </v:rect>
            </w:pict>
          </mc:Fallback>
        </mc:AlternateContent>
      </w:r>
    </w:p>
    <w:p>
      <w:pPr>
        <w:pStyle w:val="Normal"/>
        <w:rPr>
          <w:color w:val="000000"/>
        </w:rPr>
      </w:pPr>
      <w:r>
        <w:rPr>
          <w:color w:val="000000"/>
        </w:rPr>
      </w:r>
      <w:r>
        <w:br w:type="page"/>
      </w:r>
    </w:p>
    <w:p>
      <w:pPr>
        <w:pStyle w:val="Normal"/>
        <w:jc w:val="center"/>
        <w:rPr>
          <w:b/>
          <w:b/>
          <w:bCs/>
          <w:color w:val="000000"/>
        </w:rPr>
      </w:pPr>
      <w:r>
        <w:rPr>
          <w:b/>
          <w:bCs/>
          <w:color w:val="000000"/>
        </w:rPr>
        <w:t>Annexe II à la convention n° 2 annexée au III de l'article R. 353-159 du code de la construction et de l'habitation ouvrant droit à l'APL</w:t>
      </w:r>
    </w:p>
    <w:p>
      <w:pPr>
        <w:pStyle w:val="Normal"/>
        <w:rPr>
          <w:color w:val="000000"/>
        </w:rPr>
      </w:pPr>
      <w:r>
        <w:rPr>
          <w:color w:val="000000"/>
        </w:rPr>
      </w:r>
    </w:p>
    <w:p>
      <w:pPr>
        <w:pStyle w:val="Normal"/>
        <w:rPr>
          <w:color w:val="000000"/>
        </w:rPr>
      </w:pPr>
      <w:r>
        <w:rPr>
          <w:color w:val="000000"/>
        </w:rPr>
        <w:t>Préciser, parmi les personnes ayant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p>
    <w:p>
      <w:pPr>
        <w:pStyle w:val="Normal"/>
        <w:rPr>
          <w:color w:val="000000"/>
        </w:rPr>
      </w:pPr>
      <w:r>
        <w:rPr>
          <w:color w:val="000000"/>
        </w:rPr>
      </w:r>
    </w:p>
    <w:p>
      <w:pPr>
        <w:pStyle w:val="Normal"/>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pPr>
        <w:pStyle w:val="Normal"/>
        <w:rPr>
          <w:color w:val="000000"/>
        </w:rPr>
      </w:pPr>
      <w:r>
        <w:rPr>
          <w:color w:val="000000"/>
        </w:rPr>
      </w:r>
    </w:p>
    <w:p>
      <w:pPr>
        <w:pStyle w:val="Normal"/>
        <w:rPr>
          <w:color w:val="000000"/>
        </w:rPr>
      </w:pPr>
      <w:r>
        <w:rPr>
          <w:color w:val="000000"/>
        </w:rPr>
        <w:t xml:space="preserve">Conditions spécifiques d'accueil : </w:t>
      </w:r>
    </w:p>
    <w:p>
      <w:pPr>
        <w:pStyle w:val="Normal"/>
        <w:rPr>
          <w:color w:val="000000"/>
        </w:rPr>
      </w:pPr>
      <w:r>
        <w:rPr>
          <w:color w:val="000000"/>
        </w:rPr>
        <w:t>{% if convention.attribution_inclusif_conditions_specifiques %}</w:t>
      </w:r>
    </w:p>
    <w:p>
      <w:pPr>
        <w:pStyle w:val="Normal"/>
        <w:ind w:left="708" w:hanging="0"/>
        <w:rPr>
          <w:color w:val="000000"/>
        </w:rPr>
      </w:pPr>
      <w:r>
        <w:rPr>
          <w:color w:val="000000"/>
        </w:rPr>
        <w:t>{{ convention.attribution_inclusif_conditions_specifiques }}</w:t>
      </w:r>
    </w:p>
    <w:p>
      <w:pPr>
        <w:pStyle w:val="Normal"/>
        <w:rPr>
          <w:color w:val="000000"/>
        </w:rPr>
      </w:pPr>
      <w:r>
        <w:rPr>
          <w:color w:val="000000"/>
        </w:rPr>
        <w:t>{%- endif %}</w:t>
      </w:r>
    </w:p>
    <w:p>
      <w:pPr>
        <w:pStyle w:val="Normal"/>
        <w:rPr>
          <w:color w:val="000000"/>
        </w:rPr>
      </w:pPr>
      <w:r>
        <w:rPr>
          <w:color w:val="000000"/>
        </w:rPr>
      </w:r>
    </w:p>
    <w:p>
      <w:pPr>
        <w:pStyle w:val="Normal"/>
        <w:rPr>
          <w:color w:val="000000"/>
        </w:rPr>
      </w:pPr>
      <w:r>
        <w:rPr>
          <w:color w:val="000000"/>
        </w:rPr>
        <w:t xml:space="preserve">Conditions d'admission dans la résidence sociale : </w:t>
      </w:r>
    </w:p>
    <w:p>
      <w:pPr>
        <w:pStyle w:val="Normal"/>
        <w:rPr>
          <w:color w:val="000000"/>
        </w:rPr>
      </w:pPr>
      <w:r>
        <w:rPr>
          <w:color w:val="000000"/>
        </w:rPr>
        <w:t>{% if convention.attribution_inclusif_conditions_admission %}</w:t>
      </w:r>
    </w:p>
    <w:p>
      <w:pPr>
        <w:pStyle w:val="Normal"/>
        <w:ind w:left="708" w:hanging="0"/>
        <w:rPr>
          <w:color w:val="000000"/>
        </w:rPr>
      </w:pPr>
      <w:r>
        <w:rPr>
          <w:color w:val="000000"/>
        </w:rPr>
        <w:t>{{ convention.attribution_inclusif_conditions_admission }}</w:t>
      </w:r>
    </w:p>
    <w:p>
      <w:pPr>
        <w:pStyle w:val="Normal"/>
        <w:rPr>
          <w:color w:val="000000"/>
        </w:rPr>
      </w:pPr>
      <w:r>
        <w:rPr>
          <w:color w:val="000000"/>
        </w:rPr>
        <w:t>{%- endif %}</w:t>
      </w:r>
    </w:p>
    <w:p>
      <w:pPr>
        <w:pStyle w:val="Normal"/>
        <w:rPr>
          <w:color w:val="000000"/>
        </w:rPr>
      </w:pPr>
      <w:r>
        <w:rPr>
          <w:color w:val="000000"/>
        </w:rPr>
      </w:r>
    </w:p>
    <w:p>
      <w:pPr>
        <w:pStyle w:val="Normal"/>
        <w:rPr>
          <w:color w:val="000000"/>
        </w:rPr>
      </w:pPr>
      <w:r>
        <w:rPr>
          <w:color w:val="000000"/>
        </w:rPr>
        <w:t>Durée maximale de l'accueil et conditions de son renouvellement :</w:t>
      </w:r>
    </w:p>
    <w:p>
      <w:pPr>
        <w:pStyle w:val="Normal"/>
        <w:rPr>
          <w:color w:val="000000"/>
        </w:rPr>
      </w:pPr>
      <w:r>
        <w:rPr>
          <w:color w:val="000000"/>
        </w:rPr>
      </w:r>
    </w:p>
    <w:p>
      <w:pPr>
        <w:pStyle w:val="Normal"/>
        <w:rPr>
          <w:color w:val="000000"/>
        </w:rPr>
      </w:pPr>
      <w:r>
        <w:rPr>
          <w:color w:val="000000"/>
        </w:rPr>
        <w:t>Modalités d'attribution [organisme ou instance désignataire, type de public, conditions d'accès]</w:t>
      </w:r>
      <w:r>
        <w:rPr/>
        <w:t> </w:t>
      </w:r>
      <w:r>
        <w:rPr>
          <w:color w:val="000000"/>
        </w:rPr>
        <w:t xml:space="preserve">: </w:t>
      </w:r>
    </w:p>
    <w:p>
      <w:pPr>
        <w:pStyle w:val="Normal"/>
        <w:rPr>
          <w:color w:val="000000"/>
        </w:rPr>
      </w:pPr>
      <w:r>
        <w:rPr>
          <w:color w:val="000000"/>
        </w:rPr>
        <w:t>{% if convention.attribution_inclusif_modalites_attribution %}</w:t>
      </w:r>
    </w:p>
    <w:p>
      <w:pPr>
        <w:pStyle w:val="Normal"/>
        <w:ind w:left="708" w:hanging="0"/>
        <w:rPr>
          <w:color w:val="000000"/>
        </w:rPr>
      </w:pPr>
      <w:r>
        <w:rPr>
          <w:color w:val="000000"/>
        </w:rPr>
        <w:t>{{ convention.attribution_inclusif_modalites_attribution }}</w:t>
      </w:r>
    </w:p>
    <w:p>
      <w:pPr>
        <w:pStyle w:val="Normal"/>
        <w:rPr>
          <w:color w:val="000000"/>
        </w:rPr>
      </w:pPr>
      <w:r>
        <w:rPr>
          <w:color w:val="000000"/>
        </w:rPr>
        <w:t>{%- endif %}</w:t>
      </w:r>
    </w:p>
    <w:p>
      <w:pPr>
        <w:pStyle w:val="Normal"/>
        <w:rPr>
          <w:color w:val="000000"/>
        </w:rPr>
      </w:pPr>
      <w:r>
        <w:rPr>
          <w:color w:val="000000"/>
        </w:rPr>
      </w:r>
    </w:p>
    <w:p>
      <w:pPr>
        <w:pStyle w:val="Normal"/>
        <w:rPr>
          <w:color w:val="000000"/>
        </w:rPr>
      </w:pPr>
      <w:r>
        <w:rPr>
          <w:color w:val="000000"/>
        </w:rPr>
        <w:t>Actions à caractère social :</w:t>
      </w:r>
    </w:p>
    <w:p>
      <w:pPr>
        <w:pStyle w:val="Normal"/>
        <w:rPr>
          <w:color w:val="000000"/>
        </w:rPr>
      </w:pPr>
      <w:r>
        <w:rPr>
          <w:color w:val="000000"/>
        </w:rPr>
      </w:r>
    </w:p>
    <w:p>
      <w:pPr>
        <w:pStyle w:val="Normal"/>
        <w:rPr>
          <w:color w:val="000000"/>
        </w:rPr>
      </w:pPr>
      <w:r>
        <w:rPr>
          <w:color w:val="000000"/>
        </w:rPr>
        <w:t>Action spécifique pour l'insertion par le logement :</w:t>
      </w:r>
    </w:p>
    <w:p>
      <w:pPr>
        <w:pStyle w:val="Normal"/>
        <w:rPr>
          <w:color w:val="000000"/>
        </w:rPr>
      </w:pPr>
      <w:r>
        <w:rPr>
          <w:color w:val="000000"/>
        </w:rPr>
      </w:r>
    </w:p>
    <w:p>
      <w:pPr>
        <w:pStyle w:val="Normal"/>
        <w:rPr>
          <w:shd w:fill="FFFFFF" w:val="clear"/>
        </w:rPr>
      </w:pPr>
      <w:r>
        <w:rPr>
          <w:color w:val="000000"/>
        </w:rPr>
        <w:t>Projet de relogement [s'il y a lieu] :</w:t>
      </w:r>
    </w:p>
    <w:p>
      <w:pPr>
        <w:pStyle w:val="Normal"/>
        <w:jc w:val="both"/>
        <w:rPr/>
      </w:pPr>
      <w:r>
        <w:rPr/>
      </w:r>
    </w:p>
    <w:p>
      <w:pPr>
        <w:pStyle w:val="Normal"/>
        <w:jc w:val="both"/>
        <w:rPr/>
      </w:pPr>
      <w:r>
        <w:rPr/>
        <mc:AlternateContent>
          <mc:Choice Requires="wps">
            <w:drawing>
              <wp:inline distT="0" distB="0" distL="0" distR="0" wp14:anchorId="146E7DB9">
                <wp:extent cx="5231765" cy="4039870"/>
                <wp:effectExtent l="0" t="0" r="635" b="0"/>
                <wp:docPr id="5" name="Shape3"/>
                <a:graphic xmlns:a="http://schemas.openxmlformats.org/drawingml/2006/main">
                  <a:graphicData uri="http://schemas.microsoft.com/office/word/2010/wordprocessingShape">
                    <wps:wsp>
                      <wps:cNvSpPr/>
                      <wps:spPr>
                        <a:xfrm>
                          <a:off x="0" y="0"/>
                          <a:ext cx="5231880" cy="4039920"/>
                        </a:xfrm>
                        <a:prstGeom prst="rect">
                          <a:avLst/>
                        </a:prstGeom>
                        <a:solidFill>
                          <a:schemeClr val="lt1"/>
                        </a:solidFill>
                        <a:ln w="6350">
                          <a:noFill/>
                        </a:ln>
                      </wps:spPr>
                      <wps:style>
                        <a:lnRef idx="0"/>
                        <a:fillRef idx="0"/>
                        <a:effectRef idx="0"/>
                        <a:fontRef idx="minor"/>
                      </wps:style>
                      <wps:txbx>
                        <w:txbxContent>
                          <w:p>
                            <w:pPr>
                              <w:pStyle w:val="FrameContents"/>
                              <w:jc w:val="both"/>
                              <w:rPr>
                                <w:rFonts w:ascii="Times New Roman" w:hAnsi="Times New Roman"/>
                              </w:rPr>
                            </w:pPr>
                            <w:r>
                              <w:rPr>
                                <w:rFonts w:cs="TimesNewRomanPSMT" w:ascii="Times New Roman" w:hAnsi="Times New Roman"/>
                              </w:rPr>
                              <w:t>Fait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Le propriétaire (6),</w:t>
                            </w:r>
                            <w:r>
                              <w:rPr>
                                <w:rFonts w:ascii="Times New Roman" w:hAnsi="Times New Roman"/>
                              </w:rPr>
                              <w:t xml:space="preserve"> {{ </w:t>
                            </w:r>
                            <w:r>
                              <w:rPr>
                                <w:rFonts w:cs="TimesNewRomanPSMT" w:ascii="Times New Roman" w:hAnsi="Times New Roman"/>
                              </w:rPr>
                              <w:t>convention</w:t>
                            </w:r>
                            <w:r>
                              <w:rPr>
                                <w:rFonts w:ascii="Times New Roman" w:hAnsi="Times New Roman"/>
                              </w:rPr>
                              <w:t>.signataire_bloc_signature|default_empty_if_none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gestionnaire (6), </w:t>
                            </w:r>
                            <w:r>
                              <w:rPr>
                                <w:rFonts w:ascii="Times New Roman" w:hAnsi="Times New Roman"/>
                              </w:rPr>
                              <w:t xml:space="preserve">{{ </w:t>
                            </w:r>
                            <w:r>
                              <w:rPr>
                                <w:rFonts w:cs="TimesNewRomanPSMT" w:ascii="Times New Roman" w:hAnsi="Times New Roman"/>
                              </w:rPr>
                              <w:t>convention</w:t>
                            </w:r>
                            <w:r>
                              <w:rPr>
                                <w:rFonts w:ascii="Times New Roman" w:hAnsi="Times New Roman"/>
                              </w:rPr>
                              <w:t>.gestionnaire_signataire_bloc_signature|default_empty_if_none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shd w:fill="FFFFFF" w:val="clear"/>
                              </w:rPr>
                              <w:t>Le préfet, le président de l'établissement public de coopération intercommunale, du conseil départemental, de la métropole de Lyon, de la métropole du Grand Paris, de la métropole d’Aix-Marseille-Provence, ou du conseil exécutif de Corse,</w:t>
                            </w:r>
                            <w:r>
                              <w:rPr>
                                <w:rFonts w:cs="TimesNewRomanPSMT" w:ascii="Times New Roman" w:hAnsi="Times New Roman"/>
                              </w:rPr>
                              <w:t xml:space="preserv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p>
                            <w:pPr>
                              <w:pStyle w:val="FrameContents"/>
                              <w:rPr/>
                            </w:pPr>
                            <w:r>
                              <w:rPr/>
                            </w:r>
                          </w:p>
                        </w:txbxContent>
                      </wps:txbx>
                      <wps:bodyPr lIns="0" rIns="0" tIns="0" bIns="0" anchor="t">
                        <a:prstTxWarp prst="textNoShape"/>
                        <a:noAutofit/>
                      </wps:bodyPr>
                    </wps:wsp>
                  </a:graphicData>
                </a:graphic>
              </wp:inline>
            </w:drawing>
          </mc:Choice>
          <mc:Fallback>
            <w:pict>
              <v:rect id="shape_0" ID="Shape3" path="m0,0l-2147483645,0l-2147483645,-2147483646l0,-2147483646xe" fillcolor="white" stroked="f" o:allowincell="f" style="position:absolute;margin-left:0pt;margin-top:-318.15pt;width:411.9pt;height:318.05pt;mso-wrap-style:square;v-text-anchor:top;mso-position-vertical:top" wp14:anchorId="146E7DB9">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Le propriétaire (6),</w:t>
                      </w:r>
                      <w:r>
                        <w:rPr>
                          <w:rFonts w:ascii="Times New Roman" w:hAnsi="Times New Roman"/>
                        </w:rPr>
                        <w:t xml:space="preserve"> {{ </w:t>
                      </w:r>
                      <w:r>
                        <w:rPr>
                          <w:rFonts w:cs="TimesNewRomanPSMT" w:ascii="Times New Roman" w:hAnsi="Times New Roman"/>
                        </w:rPr>
                        <w:t>convention</w:t>
                      </w:r>
                      <w:r>
                        <w:rPr>
                          <w:rFonts w:ascii="Times New Roman" w:hAnsi="Times New Roman"/>
                        </w:rPr>
                        <w:t>.signataire_bloc_signature|default_empty_if_none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gestionnaire (6), </w:t>
                      </w:r>
                      <w:r>
                        <w:rPr>
                          <w:rFonts w:ascii="Times New Roman" w:hAnsi="Times New Roman"/>
                        </w:rPr>
                        <w:t xml:space="preserve">{{ </w:t>
                      </w:r>
                      <w:r>
                        <w:rPr>
                          <w:rFonts w:cs="TimesNewRomanPSMT" w:ascii="Times New Roman" w:hAnsi="Times New Roman"/>
                        </w:rPr>
                        <w:t>convention</w:t>
                      </w:r>
                      <w:r>
                        <w:rPr>
                          <w:rFonts w:ascii="Times New Roman" w:hAnsi="Times New Roman"/>
                        </w:rPr>
                        <w:t>.gestionnaire_signataire_bloc_signature|default_empty_if_none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shd w:fill="FFFFFF" w:val="clear"/>
                        </w:rPr>
                        <w:t>Le préfet, le président de l'établissement public de coopération intercommunale, du conseil départemental, de la métropole de Lyon, de la métropole du Grand Paris, de la métropole d’Aix-Marseille-Provence, ou du conseil exécutif de Corse,</w:t>
                      </w:r>
                      <w:r>
                        <w:rPr>
                          <w:rFonts w:cs="TimesNewRomanPSMT" w:ascii="Times New Roman" w:hAnsi="Times New Roman"/>
                        </w:rPr>
                        <w:t xml:space="preserv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p>
                      <w:pPr>
                        <w:pStyle w:val="FrameContents"/>
                        <w:rPr/>
                      </w:pPr>
                      <w:r>
                        <w:rPr/>
                      </w:r>
                    </w:p>
                  </w:txbxContent>
                </v:textbox>
                <w10:wrap type="square"/>
              </v:rect>
            </w:pict>
          </mc:Fallback>
        </mc:AlternateContent>
      </w:r>
    </w:p>
    <w:p>
      <w:pPr>
        <w:pStyle w:val="Normal"/>
        <w:rPr>
          <w:sz w:val="16"/>
          <w:szCs w:val="16"/>
        </w:rPr>
      </w:pPr>
      <w:r>
        <w:rPr>
          <w:sz w:val="16"/>
          <w:szCs w:val="16"/>
        </w:rPr>
      </w:r>
    </w:p>
    <w:p>
      <w:pPr>
        <w:pStyle w:val="Normal"/>
        <w:rPr>
          <w:color w:val="000080"/>
          <w:sz w:val="16"/>
          <w:szCs w:val="16"/>
        </w:rPr>
      </w:pPr>
      <w:r>
        <w:rPr>
          <w:color w:val="000080"/>
          <w:sz w:val="16"/>
          <w:szCs w:val="16"/>
        </w:rPr>
      </w:r>
    </w:p>
    <w:p>
      <w:pPr>
        <w:pStyle w:val="Normal"/>
        <w:rPr>
          <w:sz w:val="16"/>
          <w:szCs w:val="16"/>
        </w:rPr>
      </w:pPr>
      <w:r>
        <w:rPr>
          <w:color w:val="000080"/>
          <w:sz w:val="16"/>
          <w:szCs w:val="16"/>
        </w:rPr>
        <w:t>1</w:t>
      </w:r>
      <w:r>
        <w:rPr>
          <w:color w:val="000000"/>
          <w:sz w:val="16"/>
          <w:szCs w:val="16"/>
        </w:rPr>
        <w:t xml:space="preserve"> Nom </w:t>
      </w:r>
      <w:r>
        <w:rPr>
          <w:sz w:val="16"/>
          <w:szCs w:val="16"/>
        </w:rPr>
        <w:t>de la personne morale identifiée conformément aux dispositions de l’article 6 du décret n° 55-22 du 4 janvier 1955 modifié portant réforme de la publicité foncière.</w:t>
      </w:r>
    </w:p>
    <w:p>
      <w:pPr>
        <w:pStyle w:val="Normal"/>
        <w:ind w:left="340" w:hanging="340"/>
        <w:rPr>
          <w:sz w:val="16"/>
          <w:szCs w:val="16"/>
        </w:rPr>
      </w:pPr>
      <w:r>
        <w:rPr>
          <w:sz w:val="16"/>
          <w:szCs w:val="16"/>
        </w:rPr>
      </w:r>
    </w:p>
    <w:p>
      <w:pPr>
        <w:pStyle w:val="Normal"/>
        <w:ind w:left="340" w:hanging="340"/>
        <w:rPr>
          <w:sz w:val="16"/>
          <w:szCs w:val="16"/>
        </w:rPr>
      </w:pPr>
      <w:r>
        <w:rPr>
          <w:sz w:val="16"/>
          <w:szCs w:val="16"/>
        </w:rPr>
        <w:t>2 à renseigner le cas échéant</w:t>
      </w:r>
    </w:p>
    <w:p>
      <w:pPr>
        <w:pStyle w:val="Normal"/>
        <w:ind w:right="283" w:hanging="0"/>
        <w:rPr/>
      </w:pPr>
      <w:r>
        <w:rPr/>
      </w:r>
      <w:r>
        <w:br w:type="page"/>
      </w:r>
    </w:p>
    <w:p>
      <w:pPr>
        <w:pStyle w:val="Normal"/>
        <w:keepLines/>
        <w:jc w:val="both"/>
        <w:rPr>
          <w:rFonts w:ascii="Times New Roman" w:hAnsi="Times New Roman"/>
        </w:rPr>
      </w:pPr>
      <w:r>
        <w:rPr>
          <w:rFonts w:ascii="Times New Roman" w:hAnsi="Times New Roman"/>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ascii="Times New Roman" w:hAnsi="Times New Roman"/>
          <w:b/>
          <w:szCs w:val="22"/>
        </w:rPr>
        <w:fldChar w:fldCharType="begin"/>
      </w:r>
      <w:r>
        <w:rPr>
          <w:b/>
          <w:szCs w:val="22"/>
          <w:rFonts w:ascii="Times New Roman" w:hAnsi="Times New Roman"/>
        </w:rPr>
        <w:instrText xml:space="preserve"> NUMPAGES </w:instrText>
      </w:r>
      <w:r>
        <w:rPr>
          <w:b/>
          <w:szCs w:val="22"/>
          <w:rFonts w:ascii="Times New Roman" w:hAnsi="Times New Roman"/>
        </w:rPr>
        <w:fldChar w:fldCharType="separate"/>
      </w:r>
      <w:r>
        <w:rPr>
          <w:b/>
          <w:szCs w:val="22"/>
          <w:rFonts w:ascii="Times New Roman" w:hAnsi="Times New Roman"/>
        </w:rPr>
        <w:t>23</w:t>
      </w:r>
      <w:r>
        <w:rPr>
          <w:b/>
          <w:szCs w:val="22"/>
          <w:rFonts w:ascii="Times New Roman" w:hAnsi="Times New Roman"/>
        </w:rPr>
        <w:fldChar w:fldCharType="end"/>
      </w:r>
      <w:r>
        <w:rPr>
          <w:rFonts w:ascii="Times New Roman" w:hAnsi="Times New Roman"/>
          <w:szCs w:val="22"/>
        </w:rPr>
        <w:t xml:space="preserve"> pages de texte, conforme à la minute et à l'expédition destinée à recevoir la mention de publicité foncière et approuve sans renvoi ou mot rayé.</w:t>
      </w:r>
    </w:p>
    <w:p>
      <w:pPr>
        <w:pStyle w:val="Normal"/>
        <w:ind w:left="2127" w:right="-6" w:hanging="0"/>
        <w:jc w:val="both"/>
        <w:rPr>
          <w:rFonts w:ascii="Times New Roman" w:hAnsi="Times New Roman"/>
          <w:szCs w:val="22"/>
        </w:rPr>
      </w:pPr>
      <w:r>
        <w:rPr>
          <w:rFonts w:ascii="Times New Roman" w:hAnsi="Times New Roman"/>
          <w:szCs w:val="22"/>
        </w:rPr>
      </w:r>
    </w:p>
    <w:p>
      <w:pPr>
        <w:pStyle w:val="Normal"/>
        <w:keepLines/>
        <w:jc w:val="both"/>
        <w:rPr>
          <w:rFonts w:ascii="Times New Roman" w:hAnsi="Times New Roman"/>
        </w:rPr>
      </w:pPr>
      <w:r>
        <w:rPr>
          <w:rFonts w:ascii="Times New Roman" w:hAnsi="Times New Roman"/>
          <w:szCs w:val="22"/>
        </w:rPr>
        <w:t xml:space="preserve">Il certifie que l'identité complète des parties dénommées en en-tête du présent document lui a été régulièrement justifiée </w:t>
      </w:r>
      <w:r>
        <w:rPr>
          <w:rFonts w:ascii="Times New Roman" w:hAnsi="Times New Roman"/>
          <w:szCs w:val="22"/>
          <w:lang w:eastAsia="fr-FR"/>
        </w:rPr>
        <w:t xml:space="preserve">au vu </w:t>
      </w:r>
      <w:r>
        <w:rPr>
          <w:rFonts w:ascii="Times New Roman" w:hAnsi="Times New Roman"/>
          <w:color w:val="000000"/>
          <w:szCs w:val="22"/>
          <w:lang w:eastAsia="fr-FR"/>
        </w:rPr>
        <w:t xml:space="preserve">des statuts et de l'avis d'identification délivré par l'INSEE par son numéro SIRET </w:t>
      </w:r>
      <w:bookmarkStart w:id="23" w:name="Siret2"/>
      <w:bookmarkEnd w:id="23"/>
      <w:r>
        <w:rPr>
          <w:rFonts w:ascii="Times New Roman" w:hAnsi="Times New Roman"/>
          <w:color w:val="000000"/>
          <w:szCs w:val="22"/>
          <w:lang w:eastAsia="fr-FR"/>
        </w:rPr>
        <w:t>{{ bailleur.siret }}</w:t>
      </w:r>
    </w:p>
    <w:p>
      <w:pPr>
        <w:pStyle w:val="Normal"/>
        <w:ind w:left="2127" w:right="-6" w:hanging="0"/>
        <w:jc w:val="both"/>
        <w:rPr>
          <w:rFonts w:ascii="Times New Roman" w:hAnsi="Times New Roman"/>
          <w:color w:val="0000FF"/>
          <w:szCs w:val="22"/>
        </w:rPr>
      </w:pPr>
      <w:r>
        <w:rPr>
          <w:rFonts w:ascii="Times New Roman" w:hAnsi="Times New Roman"/>
          <w:color w:val="0000FF"/>
          <w:szCs w:val="22"/>
        </w:rPr>
      </w:r>
    </w:p>
    <w:p>
      <w:pPr>
        <w:pStyle w:val="Normal"/>
        <w:keepLines/>
        <w:jc w:val="both"/>
        <w:rPr>
          <w:rFonts w:ascii="Times New Roman" w:hAnsi="Times New Roman"/>
        </w:rPr>
      </w:pPr>
      <w:r>
        <w:rPr>
          <w:rFonts w:ascii="Times New Roman" w:hAnsi="Times New Roman"/>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pPr>
        <w:pStyle w:val="Normal"/>
        <w:ind w:left="2127" w:right="-6" w:hanging="0"/>
        <w:jc w:val="both"/>
        <w:rPr>
          <w:rFonts w:ascii="Times New Roman" w:hAnsi="Times New Roman"/>
          <w:color w:val="000000"/>
          <w:szCs w:val="22"/>
        </w:rPr>
      </w:pPr>
      <w:r>
        <w:rPr>
          <w:rFonts w:ascii="Times New Roman" w:hAnsi="Times New Roman"/>
          <w:color w:val="000000"/>
          <w:szCs w:val="22"/>
        </w:rPr>
      </w:r>
    </w:p>
    <w:p>
      <w:pPr>
        <w:pStyle w:val="Normal"/>
        <w:ind w:left="2127" w:right="-6" w:hanging="0"/>
        <w:jc w:val="both"/>
        <w:rPr>
          <w:rFonts w:ascii="Times New Roman" w:hAnsi="Times New Roman"/>
          <w:color w:val="000000"/>
          <w:szCs w:val="22"/>
        </w:rPr>
      </w:pPr>
      <w:r>
        <w:rPr>
          <w:rFonts w:ascii="Times New Roman" w:hAnsi="Times New Roman"/>
          <w:color w:val="000000"/>
          <w:szCs w:val="22"/>
        </w:rPr>
      </w:r>
    </w:p>
    <w:p>
      <w:pPr>
        <w:pStyle w:val="Normal"/>
        <w:keepLines/>
        <w:tabs>
          <w:tab w:val="clear" w:pos="708"/>
          <w:tab w:val="left" w:pos="9069" w:leader="none"/>
        </w:tabs>
        <w:ind w:right="283" w:hanging="0"/>
        <w:jc w:val="both"/>
        <w:rPr>
          <w:rFonts w:ascii="Times New Roman" w:hAnsi="Times New Roman"/>
        </w:rPr>
      </w:pPr>
      <w:r>
        <w:rPr>
          <w:rFonts w:ascii="Times New Roman" w:hAnsi="Times New Roman"/>
          <w:color w:val="000000"/>
          <w:szCs w:val="22"/>
        </w:rPr>
        <w:t xml:space="preserve">A </w:t>
      </w:r>
      <w:r>
        <w:rPr>
          <w:rFonts w:ascii="Times New Roman" w:hAnsi="Times New Roman"/>
        </w:rPr>
        <w:t>{{ administration.get_ville_signature_or_empty() }}</w:t>
      </w:r>
      <w:r>
        <w:rPr>
          <w:rFonts w:ascii="Times New Roman" w:hAnsi="Times New Roman"/>
          <w:color w:val="000000"/>
          <w:szCs w:val="22"/>
        </w:rPr>
        <w:t>, le</w:t>
      </w:r>
    </w:p>
    <w:p>
      <w:pPr>
        <w:pStyle w:val="Normal"/>
        <w:keepLines/>
        <w:tabs>
          <w:tab w:val="clear" w:pos="708"/>
          <w:tab w:val="left" w:pos="9069" w:leader="none"/>
        </w:tabs>
        <w:ind w:right="283" w:hanging="0"/>
        <w:jc w:val="both"/>
        <w:rPr>
          <w:rFonts w:ascii="Times New Roman" w:hAnsi="Times New Roman"/>
          <w:color w:val="000000"/>
          <w:szCs w:val="22"/>
        </w:rPr>
      </w:pPr>
      <w:r>
        <w:rPr>
          <w:rFonts w:ascii="Times New Roman" w:hAnsi="Times New Roman"/>
          <w:color w:val="000000"/>
          <w:szCs w:val="22"/>
        </w:rPr>
      </w:r>
    </w:p>
    <w:p>
      <w:pPr>
        <w:pStyle w:val="Normal"/>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Normal"/>
        <w:keepLines/>
        <w:tabs>
          <w:tab w:val="clear" w:pos="708"/>
          <w:tab w:val="left" w:pos="9069" w:leader="none"/>
        </w:tabs>
        <w:ind w:right="283" w:hanging="0"/>
        <w:jc w:val="both"/>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4"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Unicode MS">
    <w:charset w:val="01"/>
    <w:family w:val="roman"/>
    <w:pitch w:val="variable"/>
  </w:font>
  <w:font w:name="Times New Roman">
    <w:charset w:val="01"/>
    <w:family w:val="roman"/>
    <w:pitch w:val="default"/>
  </w:font>
  <w:font w:name="TimesNewRomanPSMT">
    <w:charset w:val="01"/>
    <w:family w:val="roman"/>
    <w:pitch w:val="variable"/>
  </w:font>
  <w:font w:name="TimesNewRomanPSMT">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1357468907" o:spid="shape_0" fillcolor="#7f7f7f" stroked="f" o:allowincell="f" style="position:absolute;margin-left:-73.95pt;margin-top:333.95pt;width:561.75pt;height:32.15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s">
          <w:drawing>
            <wp:anchor behindDoc="1" distT="0" distB="0" distL="0" distR="0" simplePos="0" locked="0" layoutInCell="0" allowOverlap="1" relativeHeight="73" wp14:anchorId="1C468005">
              <wp:simplePos x="0" y="0"/>
              <wp:positionH relativeFrom="page">
                <wp:posOffset>5425440</wp:posOffset>
              </wp:positionH>
              <wp:positionV relativeFrom="page">
                <wp:posOffset>243840</wp:posOffset>
              </wp:positionV>
              <wp:extent cx="264160" cy="243840"/>
              <wp:effectExtent l="0" t="0" r="0" b="0"/>
              <wp:wrapSquare wrapText="largest"/>
              <wp:docPr id="8" name="Text Box 2"/>
              <a:graphic xmlns:a="http://schemas.openxmlformats.org/drawingml/2006/main">
                <a:graphicData uri="http://schemas.microsoft.com/office/word/2010/wordprocessingShape">
                  <wps:wsp>
                    <wps:cNvSpPr/>
                    <wps:spPr>
                      <a:xfrm>
                        <a:off x="0" y="0"/>
                        <a:ext cx="264240" cy="243720"/>
                      </a:xfrm>
                      <a:prstGeom prst="rect">
                        <a:avLst/>
                      </a:prstGeom>
                      <a:noFill/>
                      <a:ln w="0">
                        <a:noFill/>
                      </a:ln>
                    </wps:spPr>
                    <wps:style>
                      <a:lnRef idx="0"/>
                      <a:fillRef idx="0"/>
                      <a:effectRef idx="0"/>
                      <a:fontRef idx="minor"/>
                    </wps:style>
                    <wps:txb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22</w:t>
                          </w:r>
                          <w:r>
                            <w:rPr>
                              <w:rStyle w:val="Pagenumber"/>
                              <w:sz w:val="22"/>
                              <w:szCs w:val="22"/>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9.2pt;width:20.75pt;height:19.1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22</w:t>
                    </w:r>
                    <w:r>
                      <w:rPr>
                        <w:rStyle w:val="Pagenumber"/>
                        <w:sz w:val="22"/>
                        <w:szCs w:val="22"/>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pPr>
    <w:r>
      <w:pict>
        <v:shape id="PowerPlusWaterMarkObject1357468908" o:spid="shape_0" fillcolor="#7f7f7f" stroked="f" o:allowincell="f" style="position:absolute;margin-left:-72.75pt;margin-top:334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s">
          <w:drawing>
            <wp:anchor behindDoc="1" distT="0" distB="0" distL="0" distR="0" simplePos="0" locked="0" layoutInCell="0" allowOverlap="1" relativeHeight="46" wp14:anchorId="6DE7176B">
              <wp:simplePos x="0" y="0"/>
              <wp:positionH relativeFrom="page">
                <wp:posOffset>6837680</wp:posOffset>
              </wp:positionH>
              <wp:positionV relativeFrom="page">
                <wp:posOffset>254000</wp:posOffset>
              </wp:positionV>
              <wp:extent cx="264160" cy="264160"/>
              <wp:effectExtent l="0" t="0" r="0" b="0"/>
              <wp:wrapSquare wrapText="largest"/>
              <wp:docPr id="11" name="Text Box 2"/>
              <a:graphic xmlns:a="http://schemas.openxmlformats.org/drawingml/2006/main">
                <a:graphicData uri="http://schemas.microsoft.com/office/word/2010/wordprocessingShape">
                  <wps:wsp>
                    <wps:cNvSpPr/>
                    <wps:spPr>
                      <a:xfrm>
                        <a:off x="0" y="0"/>
                        <a:ext cx="264240" cy="264240"/>
                      </a:xfrm>
                      <a:prstGeom prst="rect">
                        <a:avLst/>
                      </a:prstGeom>
                      <a:noFill/>
                      <a:ln w="0">
                        <a:noFill/>
                      </a:ln>
                    </wps:spPr>
                    <wps:style>
                      <a:lnRef idx="0"/>
                      <a:fillRef idx="0"/>
                      <a:effectRef idx="0"/>
                      <a:fontRef idx="minor"/>
                    </wps:style>
                    <wps:txb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23</w:t>
                          </w:r>
                          <w:r>
                            <w:rPr>
                              <w:rStyle w:val="Pagenumber"/>
                              <w:sz w:val="22"/>
                              <w:szCs w:val="22"/>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0.7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23</w:t>
                    </w:r>
                    <w:r>
                      <w:rPr>
                        <w:rStyle w:val="Pagenumber"/>
                        <w:sz w:val="22"/>
                        <w:szCs w:val="22"/>
                      </w:rPr>
                      <w:fldChar w:fldCharType="end"/>
                    </w:r>
                  </w:p>
                </w:txbxContent>
              </v:textbox>
              <w10:wrap type="square" side="largest"/>
            </v:rect>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84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37"/>
      <w:gridCol w:w="2083"/>
      <w:gridCol w:w="3440"/>
    </w:tblGrid>
    <w:tr>
      <w:trPr/>
      <w:tc>
        <w:tcPr>
          <w:tcW w:w="8460" w:type="dxa"/>
          <w:gridSpan w:val="3"/>
          <w:tcBorders>
            <w:top w:val="nil"/>
            <w:left w:val="nil"/>
            <w:right w:val="nil"/>
          </w:tcBorders>
        </w:tcPr>
        <w:p>
          <w:pPr>
            <w:pStyle w:val="Normal"/>
            <w:widowControl/>
            <w:spacing w:before="0" w:after="0"/>
            <w:jc w:val="left"/>
            <w:rPr>
              <w:sz w:val="12"/>
              <w:szCs w:val="12"/>
            </w:rPr>
          </w:pPr>
          <w:r>
            <w:rPr>
              <w:rFonts w:eastAsia="Times New Roman" w:cs="Times New Roman"/>
              <w:kern w:val="0"/>
              <w:sz w:val="12"/>
              <w:szCs w:val="12"/>
              <w:lang w:val="fr-FR" w:eastAsia="en-GB" w:bidi="ar-SA"/>
            </w:rPr>
          </w:r>
        </w:p>
        <w:p>
          <w:pPr>
            <w:pStyle w:val="Normal"/>
            <w:widowControl/>
            <w:spacing w:before="0" w:after="0"/>
            <w:jc w:val="center"/>
            <w:rPr>
              <w:rFonts w:ascii="Times New Roman" w:hAnsi="Times New Roman" w:eastAsia="Times New Roman" w:cs="Times New Roman"/>
              <w:kern w:val="0"/>
              <w:lang w:val="fr-FR" w:eastAsia="en-GB" w:bidi="ar-SA"/>
            </w:rPr>
          </w:pPr>
          <w:r>
            <w:rPr>
              <w:rFonts w:eastAsia="Times New Roman" w:cs="Times New Roman"/>
              <w:kern w:val="0"/>
              <w:lang w:val="fr-FR" w:eastAsia="en-GB" w:bidi="ar-SA"/>
            </w:rPr>
            <mc:AlternateContent>
              <mc:Choice Requires="wps">
                <w:drawing>
                  <wp:anchor behindDoc="1" distT="0" distB="0" distL="0" distR="0" simplePos="0" locked="0" layoutInCell="1" allowOverlap="1" relativeHeight="48" wp14:anchorId="4BE100B5">
                    <wp:simplePos x="0" y="0"/>
                    <wp:positionH relativeFrom="column">
                      <wp:posOffset>4092575</wp:posOffset>
                    </wp:positionH>
                    <wp:positionV relativeFrom="page">
                      <wp:posOffset>184785</wp:posOffset>
                    </wp:positionV>
                    <wp:extent cx="798830" cy="306705"/>
                    <wp:effectExtent l="0" t="0" r="0" b="0"/>
                    <wp:wrapNone/>
                    <wp:docPr id="13" name="Text Box 18"/>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fillRef idx="0"/>
                            <a:effectRef idx="0"/>
                            <a:fontRef idx="minor"/>
                          </wps:style>
                          <wps:txbx>
                            <w:txbxContent>
                              <w:p>
                                <w:pPr>
                                  <w:pStyle w:val="Form12"/>
                                  <w:widowControl w:val="false"/>
                                  <w:jc w:val="center"/>
                                  <w:rPr/>
                                </w:pPr>
                                <w:r>
                                  <w:rPr>
                                    <w:sz w:val="20"/>
                                  </w:rPr>
                                  <w:t>N° 3265-SD</w:t>
                                </w:r>
                              </w:p>
                              <w:p>
                                <w:pPr>
                                  <w:pStyle w:val="Form12"/>
                                  <w:widowControl w:val="false"/>
                                  <w:rPr/>
                                </w:pPr>
                                <w:r>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drawing>
              <wp:inline distT="0" distB="0" distL="0" distR="0">
                <wp:extent cx="694690" cy="367030"/>
                <wp:effectExtent l="0" t="0" r="0" b="0"/>
                <wp:docPr id="15" name="Graphiqu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que 1" descr=""/>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pPr>
            <w:pStyle w:val="Form16"/>
            <w:widowControl/>
            <w:spacing w:before="0" w:after="0"/>
            <w:rPr>
              <w:rFonts w:ascii="Times New Roman" w:hAnsi="Times New Roman" w:cs="Times New Roman"/>
              <w:kern w:val="0"/>
              <w:szCs w:val="20"/>
              <w:lang w:val="fr-FR" w:bidi="ar-SA"/>
            </w:rPr>
          </w:pPr>
          <w:r>
            <w:rPr>
              <w:rFonts w:cs="Times New Roman"/>
              <w:kern w:val="0"/>
              <w:szCs w:val="20"/>
              <w:lang w:val="fr-FR" w:bidi="ar-SA"/>
            </w:rPr>
            <w:t>Formule de publication</w:t>
          </w:r>
        </w:p>
        <w:p>
          <w:pPr>
            <w:pStyle w:val="Form9"/>
            <w:widowControl/>
            <w:spacing w:before="0" w:after="0"/>
            <w:rPr>
              <w:rFonts w:ascii="Times New Roman" w:hAnsi="Times New Roman" w:cs="Times New Roman"/>
              <w:kern w:val="0"/>
              <w:szCs w:val="20"/>
              <w:lang w:val="fr-FR" w:bidi="ar-SA"/>
            </w:rPr>
          </w:pPr>
          <w:r>
            <w:rPr>
              <w:rFonts w:cs="Times New Roman"/>
              <w:kern w:val="0"/>
              <w:szCs w:val="20"/>
              <w:lang w:val="fr-FR" w:bidi="ar-SA"/>
            </w:rPr>
            <w:t>(pour l'établissement d'expéditions, copies, extraits d'actes ou décisions judiciaires à publier)</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r>
      <w:trPr/>
      <w:tc>
        <w:tcPr>
          <w:tcW w:w="2937" w:type="dxa"/>
          <w:tcBorders>
            <w:left w:val="nil"/>
          </w:tcBorders>
        </w:tcPr>
        <w:p>
          <w:pPr>
            <w:pStyle w:val="Normal"/>
            <w:widowControl/>
            <w:spacing w:before="0" w:after="0"/>
            <w:jc w:val="center"/>
            <w:rPr>
              <w:sz w:val="4"/>
            </w:rPr>
          </w:pPr>
          <w:r>
            <w:rPr>
              <w:rFonts w:eastAsia="Times New Roman" w:cs="Times New Roman"/>
              <w:kern w:val="0"/>
              <w:sz w:val="4"/>
              <w:lang w:val="fr-FR" w:eastAsia="en-GB" w:bidi="ar-SA"/>
            </w:rPr>
          </w:r>
        </w:p>
        <w:p>
          <w:pPr>
            <w:pStyle w:val="Form10C"/>
            <w:widowControl/>
            <w:spacing w:before="0" w:after="0"/>
            <w:rPr>
              <w:sz w:val="4"/>
            </w:rPr>
          </w:pPr>
          <w:r>
            <w:rPr>
              <w:rFonts w:cs="Times New Roman"/>
              <w:kern w:val="0"/>
              <w:sz w:val="20"/>
              <w:szCs w:val="20"/>
              <w:lang w:val="fr-FR" w:bidi="ar-SA"/>
            </w:rPr>
          </w:r>
        </w:p>
        <w:p>
          <w:pPr>
            <w:pStyle w:val="Normal"/>
            <w:widowControl/>
            <w:spacing w:before="0" w:after="0"/>
            <w:jc w:val="center"/>
            <w:rPr>
              <w:rFonts w:ascii="Times New Roman" w:hAnsi="Times New Roman" w:eastAsia="Times New Roman" w:cs="Times New Roman"/>
              <w:kern w:val="0"/>
              <w:lang w:val="fr-FR" w:bidi="ar-SA"/>
            </w:rPr>
          </w:pPr>
          <w:r>
            <w:rPr>
              <w:rFonts w:eastAsia="Times New Roman" w:cs="Times New Roman"/>
              <w:kern w:val="0"/>
              <w:sz w:val="20"/>
              <w:lang w:val="fr-FR" w:eastAsia="fr-FR" w:bidi="ar-SA"/>
            </w:rPr>
            <w:t>SERVICE</w:t>
          </w:r>
        </w:p>
        <w:p>
          <w:pPr>
            <w:pStyle w:val="Normal"/>
            <w:widowControl/>
            <w:spacing w:before="0" w:after="0"/>
            <w:jc w:val="center"/>
            <w:rPr>
              <w:rFonts w:ascii="Times New Roman" w:hAnsi="Times New Roman" w:eastAsia="Times New Roman" w:cs="Times New Roman"/>
              <w:kern w:val="0"/>
              <w:lang w:val="fr-FR" w:bidi="ar-SA"/>
            </w:rPr>
          </w:pPr>
          <w:r>
            <w:rPr>
              <w:rFonts w:eastAsia="Times New Roman" w:cs="Times New Roman"/>
              <w:kern w:val="0"/>
              <w:sz w:val="20"/>
              <w:lang w:val="fr-FR" w:eastAsia="fr-FR" w:bidi="ar-SA"/>
            </w:rPr>
            <w:t>DE</w:t>
          </w:r>
        </w:p>
        <w:p>
          <w:pPr>
            <w:pStyle w:val="Form10C"/>
            <w:widowControl/>
            <w:spacing w:before="0" w:after="0"/>
            <w:rPr>
              <w:rFonts w:ascii="Times New Roman" w:hAnsi="Times New Roman" w:cs="Times New Roman"/>
              <w:kern w:val="0"/>
              <w:sz w:val="20"/>
              <w:szCs w:val="20"/>
              <w:lang w:val="fr-FR" w:bidi="ar-SA"/>
            </w:rPr>
          </w:pPr>
          <w:r>
            <w:rPr>
              <w:rFonts w:cs="Times New Roman"/>
              <w:kern w:val="0"/>
              <w:sz w:val="20"/>
              <w:szCs w:val="20"/>
              <w:lang w:val="fr-FR" w:eastAsia="fr-FR" w:bidi="ar-SA"/>
            </w:rPr>
            <w:t>LA PUBLICITE FONCIERE</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2083" w:type="dxa"/>
          <w:tcBorders/>
        </w:tcPr>
        <w:p>
          <w:pPr>
            <w:pStyle w:val="Form10C"/>
            <w:widowControl/>
            <w:spacing w:before="0" w:after="0"/>
            <w:rPr>
              <w:sz w:val="4"/>
              <w:szCs w:val="4"/>
            </w:rPr>
          </w:pPr>
          <w:r>
            <w:rPr>
              <w:rFonts w:cs="Times New Roman"/>
              <w:kern w:val="0"/>
              <w:sz w:val="20"/>
              <w:szCs w:val="20"/>
              <w:lang w:val="fr-FR" w:bidi="ar-SA"/>
            </w:rPr>
          </w:r>
        </w:p>
        <w:p>
          <w:pPr>
            <w:pStyle w:val="Form10C"/>
            <w:widowControl/>
            <w:spacing w:before="0" w:after="0"/>
            <w:rPr>
              <w:rFonts w:ascii="Times New Roman" w:hAnsi="Times New Roman" w:cs="Times New Roman"/>
              <w:kern w:val="0"/>
              <w:sz w:val="20"/>
              <w:szCs w:val="20"/>
              <w:lang w:val="fr-FR" w:bidi="ar-SA"/>
            </w:rPr>
          </w:pPr>
          <w:r>
            <w:rPr>
              <w:rFonts w:cs="Times New Roman"/>
              <w:kern w:val="0"/>
              <w:sz w:val="20"/>
              <w:szCs w:val="20"/>
              <w:lang w:val="fr-FR" w:bidi="ar-SA"/>
            </w:rPr>
            <w:t>DÉPÔT</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3440" w:type="dxa"/>
          <w:tcBorders>
            <w:right w:val="nil"/>
          </w:tcBorders>
        </w:tcPr>
        <w:p>
          <w:pPr>
            <w:pStyle w:val="Normal"/>
            <w:widowControl/>
            <w:spacing w:before="0" w:after="0"/>
            <w:jc w:val="left"/>
            <w:rPr>
              <w:sz w:val="4"/>
              <w:szCs w:val="4"/>
            </w:rPr>
          </w:pPr>
          <w:r>
            <w:rPr>
              <w:rFonts w:eastAsia="Times New Roman" w:cs="Times New Roman"/>
              <w:kern w:val="0"/>
              <w:sz w:val="4"/>
              <w:szCs w:val="4"/>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t>DATE</w:t>
          </w:r>
        </w:p>
        <w:p>
          <w:pPr>
            <w:pStyle w:val="Normal"/>
            <w:widowControl/>
            <w:spacing w:before="0" w:after="0"/>
            <w:jc w:val="left"/>
            <w:rPr>
              <w:sz w:val="20"/>
              <w:szCs w:val="20"/>
            </w:rPr>
          </w:pPr>
          <w:r>
            <w:rPr>
              <w:rFonts w:eastAsia="Times New Roman" w:cs="Times New Roman"/>
              <w:kern w:val="0"/>
              <w:sz w:val="20"/>
              <w:szCs w:val="20"/>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r>
        </w:p>
        <w:p>
          <w:pPr>
            <w:pStyle w:val="Normal"/>
            <w:widowControl/>
            <w:spacing w:before="0" w:after="0"/>
            <w:jc w:val="left"/>
            <w:rPr>
              <w:sz w:val="20"/>
              <w:szCs w:val="20"/>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5523" w:type="dxa"/>
          <w:gridSpan w:val="2"/>
          <w:tcBorders>
            <w:right w:val="nil"/>
          </w:tcBorders>
        </w:tcPr>
        <w:p>
          <w:pPr>
            <w:pStyle w:val="Normal"/>
            <w:widowControl/>
            <w:spacing w:before="0" w:after="0"/>
            <w:jc w:val="left"/>
            <w:rPr>
              <w:sz w:val="10"/>
            </w:rPr>
          </w:pPr>
          <w:r>
            <w:rPr>
              <w:rFonts w:eastAsia="Times New Roman" w:cs="Times New Roman"/>
              <w:kern w:val="0"/>
              <w:sz w:val="10"/>
              <w:lang w:val="fr-FR" w:eastAsia="en-GB" w:bidi="ar-SA"/>
            </w:rPr>
          </w:r>
        </w:p>
        <w:p>
          <w:pPr>
            <w:pStyle w:val="Form10J"/>
            <w:widowControl/>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TAXES:</w:t>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pacing w:before="0" w:after="0"/>
            <w:jc w:val="left"/>
            <w:rPr>
              <w:sz w:val="22"/>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CSI:</w:t>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ab/>
            <w:tab/>
            <w:tab/>
            <w:tab/>
          </w:r>
        </w:p>
        <w:p>
          <w:pPr>
            <w:pStyle w:val="Form10J"/>
            <w:widowControl/>
            <w:spacing w:before="0" w:after="0"/>
            <w:jc w:val="left"/>
            <w:rPr>
              <w:sz w:val="2"/>
            </w:rPr>
          </w:pPr>
          <w:r>
            <w:rPr>
              <w:rFonts w:cs="Times New Roman"/>
              <w:kern w:val="0"/>
              <w:sz w:val="20"/>
              <w:szCs w:val="20"/>
              <w:lang w:val="fr-FR" w:bidi="ar-SA"/>
            </w:rPr>
          </w:r>
        </w:p>
        <w:p>
          <w:pPr>
            <w:pStyle w:val="Form10J"/>
            <w:widowControl/>
            <w:spacing w:before="0" w:after="0"/>
            <w:jc w:val="left"/>
            <w:rPr>
              <w:sz w:val="2"/>
            </w:rPr>
          </w:pPr>
          <w:r>
            <w:rPr>
              <w:rFonts w:cs="Times New Roman"/>
              <w:kern w:val="0"/>
              <w:sz w:val="20"/>
              <w:szCs w:val="20"/>
              <w:lang w:val="fr-FR" w:bidi="ar-SA"/>
            </w:rPr>
          </w:r>
        </w:p>
        <w:p>
          <w:pPr>
            <w:pStyle w:val="Form10J"/>
            <w:widowControl/>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TOTAL</w:t>
          </w:r>
        </w:p>
        <w:p>
          <w:pPr>
            <w:pStyle w:val="Normal"/>
            <w:widowControl/>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bl>
  <w:p>
    <w:pPr>
      <w:pStyle w:val="Header"/>
      <w:tabs>
        <w:tab w:val="clear" w:pos="4536"/>
        <w:tab w:val="clear" w:pos="9072"/>
      </w:tabs>
      <w:rPr/>
    </w:pPr>
    <w:r>
      <w:rPr/>
      <mc:AlternateContent>
        <mc:Choice Requires="wps">
          <w:drawing>
            <wp:anchor behindDoc="1" distT="12700" distB="12065" distL="12700" distR="12065" simplePos="0" locked="0" layoutInCell="0" allowOverlap="1" relativeHeight="2" wp14:anchorId="314566BD">
              <wp:simplePos x="0" y="0"/>
              <wp:positionH relativeFrom="page">
                <wp:posOffset>5577840</wp:posOffset>
              </wp:positionH>
              <wp:positionV relativeFrom="page">
                <wp:posOffset>2743200</wp:posOffset>
              </wp:positionV>
              <wp:extent cx="1372235" cy="635"/>
              <wp:effectExtent l="5080" t="5080" r="5080" b="5080"/>
              <wp:wrapNone/>
              <wp:docPr id="16" name="Line 8"/>
              <a:graphic xmlns:a="http://schemas.openxmlformats.org/drawingml/2006/main">
                <a:graphicData uri="http://schemas.microsoft.com/office/word/2010/wordprocessingShape">
                  <wps:wsp>
                    <wps:cNvSpPr/>
                    <wps:spPr>
                      <a:xfrm>
                        <a:off x="0" y="0"/>
                        <a:ext cx="1372320" cy="72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pict>
        <v:shape id="PowerPlusWaterMarkObject1357468906" o:spid="shape_0" fillcolor="#7f7f7f" stroked="f" o:allowincell="f" style="position:absolute;margin-left:-72.75pt;margin-top:222.6pt;width:559.35pt;height:32pt;mso-wrap-style:none;v-text-anchor:middle;rotation:315;mso-position-horizontal:center;mso-position-horizontal-relative:margin;mso-position-vertical:center;mso-position-vertical-relative:margin" type="_x0000_t136">
          <v:path textpathok="t"/>
          <v:textpath on="t" fitshape="t" string="{{ convention.display_not_validated_status() }}" trim="t" style="font-family:&quot;Times New Roman&quot;;font-size:1pt"/>
          <v:fill o:detectmouseclick="t" type="solid" color2="gray"/>
          <v:stroke color="#3465a4" joinstyle="round" endcap="flat"/>
          <w10:wrap type="none"/>
        </v:shape>
      </w:pict>
      <mc:AlternateContent>
        <mc:Choice Requires="wpg">
          <w:drawing>
            <wp:anchor behindDoc="1" distT="0" distB="0" distL="0" distR="0" simplePos="0" locked="0" layoutInCell="0" allowOverlap="1" relativeHeight="50" wp14:anchorId="0664A23D">
              <wp:simplePos x="0" y="0"/>
              <wp:positionH relativeFrom="page">
                <wp:posOffset>6888480</wp:posOffset>
              </wp:positionH>
              <wp:positionV relativeFrom="page">
                <wp:posOffset>193040</wp:posOffset>
              </wp:positionV>
              <wp:extent cx="271780" cy="243840"/>
              <wp:effectExtent l="0" t="0" r="0" b="0"/>
              <wp:wrapNone/>
              <wp:docPr id="18" name="Group 14"/>
              <a:graphic xmlns:a="http://schemas.openxmlformats.org/drawingml/2006/main">
                <a:graphicData uri="http://schemas.microsoft.com/office/word/2010/wordprocessingGroup">
                  <wpg:wgp>
                    <wpg:cNvGrpSpPr/>
                    <wpg:grpSpPr>
                      <a:xfrm>
                        <a:off x="0" y="0"/>
                        <a:ext cx="271800" cy="243720"/>
                        <a:chOff x="0" y="0"/>
                        <a:chExt cx="271800" cy="243720"/>
                      </a:xfrm>
                    </wpg:grpSpPr>
                    <wps:wsp>
                      <wps:cNvSpPr/>
                      <wps:spPr>
                        <a:xfrm>
                          <a:off x="4320" y="5760"/>
                          <a:ext cx="267480" cy="237960"/>
                        </a:xfrm>
                        <a:prstGeom prst="roundRect">
                          <a:avLst>
                            <a:gd name="adj" fmla="val 16667"/>
                          </a:avLst>
                        </a:prstGeom>
                        <a:noFill/>
                        <a:ln w="0">
                          <a:noFill/>
                        </a:ln>
                      </wps:spPr>
                      <wps:style>
                        <a:lnRef idx="0"/>
                        <a:fillRef idx="0"/>
                        <a:effectRef idx="0"/>
                        <a:fontRef idx="minor"/>
                      </wps:style>
                      <wps:bodyPr/>
                    </wps:wsp>
                    <wps:wsp>
                      <wps:cNvSpPr/>
                      <wps:spPr>
                        <a:xfrm>
                          <a:off x="0" y="0"/>
                          <a:ext cx="267480" cy="23796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wps:txbx>
                      <wps:bodyPr lIns="12600" rIns="12600" tIns="22320" bIns="22320" anchor="ctr">
                        <a:noAutofit/>
                      </wps:bodyPr>
                    </wps:wsp>
                  </wpg:wgp>
                </a:graphicData>
              </a:graphic>
            </wp:anchor>
          </w:drawing>
        </mc:Choice>
        <mc:Fallback>
          <w:pict>
            <v:group id="shape_0" alt="Group 14" style="position:absolute;margin-left:542.4pt;margin-top:15.2pt;width:21.4pt;height:19.2pt" coordorigin="10848,304" coordsize="428,384">
              <v:rect id="shape_0" ID="Text Box 16" path="m0,0l-2147483645,0l-2147483645,-2147483646l0,-2147483646xe" stroked="f" o:allowincell="f" style="position:absolute;left:10848;top:304;width:420;height:374;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mc:AlternateContent>
        <mc:Choice Requires="wps">
          <w:drawing>
            <wp:anchor behindDoc="1" distT="0" distB="0" distL="0" distR="0" simplePos="0" locked="0" layoutInCell="0" allowOverlap="1" relativeHeight="51" wp14:anchorId="20DB70F0">
              <wp:simplePos x="0" y="0"/>
              <wp:positionH relativeFrom="page">
                <wp:posOffset>474345</wp:posOffset>
              </wp:positionH>
              <wp:positionV relativeFrom="page">
                <wp:posOffset>268605</wp:posOffset>
              </wp:positionV>
              <wp:extent cx="996950" cy="631190"/>
              <wp:effectExtent l="0" t="0" r="0" b="0"/>
              <wp:wrapNone/>
              <wp:docPr id="19" name="Text Box 17"/>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fillRef idx="0"/>
                      <a:effectRef idx="0"/>
                      <a:fontRef idx="minor"/>
                    </wps:style>
                    <wps:txb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wps:txbx>
                    <wps:bodyPr lIns="5760" rIns="5760" t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rPr/>
    </w:lvl>
    <w:lvl w:ilvl="2">
      <w:start w:val="1"/>
      <w:numFmt w:val="decimal"/>
      <w:lvlText w:val="%1.%2.%3."/>
      <w:lvlJc w:val="left"/>
      <w:pPr>
        <w:tabs>
          <w:tab w:val="num" w:pos="1088"/>
        </w:tabs>
        <w:ind w:left="0" w:hanging="0"/>
      </w:pPr>
      <w:rPr/>
    </w:lvl>
    <w:lvl w:ilvl="3">
      <w:start w:val="1"/>
      <w:numFmt w:val="decimal"/>
      <w:lvlText w:val="%1.%2.%3.%4."/>
      <w:lvlJc w:val="left"/>
      <w:pPr>
        <w:tabs>
          <w:tab w:val="num" w:pos="944"/>
        </w:tabs>
        <w:ind w:left="0" w:hanging="0"/>
      </w:pPr>
      <w:rPr/>
    </w:lvl>
    <w:lvl w:ilvl="4">
      <w:start w:val="1"/>
      <w:numFmt w:val="decimal"/>
      <w:lvlText w:val="%1.%2.%3.%4.%5. "/>
      <w:lvlJc w:val="left"/>
      <w:pPr>
        <w:tabs>
          <w:tab w:val="num" w:pos="1418"/>
        </w:tabs>
        <w:ind w:left="0" w:hanging="0"/>
      </w:pPr>
      <w:rPr/>
    </w:lvl>
    <w:lvl w:ilvl="5">
      <w:start w:val="1"/>
      <w:numFmt w:val="decimal"/>
      <w:lvlText w:val="%1.%2.%3.%4.%5.%6."/>
      <w:lvlJc w:val="left"/>
      <w:pPr>
        <w:tabs>
          <w:tab w:val="num" w:pos="2600"/>
        </w:tabs>
        <w:ind w:left="0" w:hanging="0"/>
      </w:pPr>
      <w:rPr/>
    </w:lvl>
    <w:lvl w:ilvl="6">
      <w:start w:val="1"/>
      <w:numFmt w:val="decimal"/>
      <w:lvlText w:val="%1.%2.%3.%4.%5.%6.%7."/>
      <w:lvlJc w:val="left"/>
      <w:pPr>
        <w:tabs>
          <w:tab w:val="num" w:pos="3104"/>
        </w:tabs>
        <w:ind w:left="0" w:hanging="0"/>
      </w:pPr>
      <w:rPr/>
    </w:lvl>
    <w:lvl w:ilvl="7">
      <w:start w:val="1"/>
      <w:numFmt w:val="decimal"/>
      <w:lvlText w:val="%1.%2.%3.%4.%5.%6.%7.%8."/>
      <w:lvlJc w:val="left"/>
      <w:pPr>
        <w:tabs>
          <w:tab w:val="num" w:pos="3608"/>
        </w:tabs>
        <w:ind w:left="0" w:hanging="0"/>
      </w:pPr>
      <w:rPr/>
    </w:lvl>
    <w:lvl w:ilvl="8">
      <w:start w:val="1"/>
      <w:numFmt w:val="decimal"/>
      <w:lvlText w:val="%1.%2.%3.%4.%5.%6.%7.%8.%9."/>
      <w:lvlJc w:val="left"/>
      <w:pPr>
        <w:tabs>
          <w:tab w:val="num" w:pos="4184"/>
        </w:tabs>
        <w:ind w:left="0" w:hanging="0"/>
      </w:pPr>
      <w:r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numFmt w:val="bullet"/>
      <w:lvlText w:val="-"/>
      <w:lvlJc w:val="left"/>
      <w:pPr>
        <w:tabs>
          <w:tab w:val="num" w:pos="0"/>
        </w:tabs>
        <w:ind w:left="720" w:hanging="360"/>
      </w:pPr>
      <w:rPr>
        <w:rFonts w:ascii="Times New Roman" w:hAnsi="Times New Roman" w:cs="Times New Roman"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isplayBackgroundShape/>
  <w:mirrorMargins/>
  <w:embedSystemFonts/>
  <w:defaultTabStop w:val="708"/>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9d7"/>
    <w:pPr>
      <w:widowControl/>
      <w:bidi w:val="0"/>
      <w:spacing w:before="0" w:after="0"/>
      <w:jc w:val="left"/>
    </w:pPr>
    <w:rPr>
      <w:rFonts w:ascii="Times New Roman" w:hAnsi="Times New Roman" w:eastAsia="Times New Roman" w:cs="Times New Roman"/>
      <w:color w:val="auto"/>
      <w:kern w:val="0"/>
      <w:sz w:val="24"/>
      <w:szCs w:val="24"/>
      <w:lang w:val="fr-FR" w:eastAsia="en-GB" w:bidi="ar-SA"/>
    </w:rPr>
  </w:style>
  <w:style w:type="paragraph" w:styleId="Heading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true"/>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val="true"/>
      <w:keepLines/>
      <w:numPr>
        <w:ilvl w:val="1"/>
        <w:numId w:val="1"/>
      </w:numPr>
      <w:suppressAutoHyphens w:val="true"/>
      <w:overflowPunct w:val="true"/>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val="true"/>
      <w:numPr>
        <w:ilvl w:val="3"/>
        <w:numId w:val="1"/>
      </w:numPr>
      <w:suppressAutoHyphens w:val="true"/>
      <w:overflowPunct w:val="true"/>
      <w:jc w:val="center"/>
      <w:textAlignment w:val="baseline"/>
      <w:outlineLvl w:val="3"/>
    </w:pPr>
    <w:rPr>
      <w:i/>
      <w:szCs w:val="20"/>
      <w:lang w:eastAsia="zh-CN"/>
    </w:rPr>
  </w:style>
  <w:style w:type="paragraph" w:styleId="Heading5">
    <w:name w:val="Heading 5"/>
    <w:basedOn w:val="Normal"/>
    <w:next w:val="Normal"/>
    <w:qFormat/>
    <w:pPr>
      <w:keepNext w:val="true"/>
      <w:numPr>
        <w:ilvl w:val="4"/>
        <w:numId w:val="1"/>
      </w:numPr>
      <w:suppressAutoHyphens w:val="true"/>
      <w:overflowPunct w:val="true"/>
      <w:jc w:val="center"/>
      <w:textAlignment w:val="baseline"/>
      <w:outlineLvl w:val="4"/>
    </w:pPr>
    <w:rPr>
      <w:b/>
      <w:szCs w:val="20"/>
      <w:lang w:eastAsia="zh-CN"/>
    </w:rPr>
  </w:style>
  <w:style w:type="paragraph" w:styleId="Heading6">
    <w:name w:val="Heading 6"/>
    <w:basedOn w:val="Normal"/>
    <w:next w:val="Normal"/>
    <w:qFormat/>
    <w:pPr>
      <w:keepNext w:val="true"/>
      <w:numPr>
        <w:ilvl w:val="5"/>
        <w:numId w:val="1"/>
      </w:numPr>
      <w:suppressAutoHyphens w:val="true"/>
      <w:overflowPunct w:val="true"/>
      <w:jc w:val="center"/>
      <w:textAlignment w:val="baseline"/>
      <w:outlineLvl w:val="5"/>
    </w:pPr>
    <w:rPr>
      <w:b/>
      <w:sz w:val="20"/>
      <w:szCs w:val="20"/>
      <w:lang w:eastAsia="zh-CN"/>
    </w:rPr>
  </w:style>
  <w:style w:type="paragraph" w:styleId="Heading7">
    <w:name w:val="Heading 7"/>
    <w:basedOn w:val="Normal"/>
    <w:next w:val="Normal"/>
    <w:qFormat/>
    <w:pPr>
      <w:keepNext w:val="true"/>
      <w:numPr>
        <w:ilvl w:val="6"/>
        <w:numId w:val="1"/>
      </w:numPr>
      <w:suppressAutoHyphens w:val="true"/>
      <w:overflowPunct w:val="true"/>
      <w:ind w:left="1418" w:right="280" w:hanging="0"/>
      <w:jc w:val="center"/>
      <w:textAlignment w:val="baseline"/>
      <w:outlineLvl w:val="6"/>
    </w:pPr>
    <w:rPr>
      <w:b/>
      <w:iCs/>
      <w:szCs w:val="20"/>
      <w:lang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character" w:styleId="InternetLink">
    <w:name w:val="Hyperlink"/>
    <w:basedOn w:val="DefaultParagraphFont"/>
    <w:uiPriority w:val="99"/>
    <w:semiHidden/>
    <w:unhideWhenUsed/>
    <w:rsid w:val="00586463"/>
    <w:rPr>
      <w:color w:val="000080"/>
      <w:u w:val="single"/>
    </w:rPr>
  </w:style>
  <w:style w:type="character" w:styleId="VisitedInternetLink">
    <w:name w:val="FollowedHyperlink"/>
    <w:basedOn w:val="DefaultParagraphFont"/>
    <w:uiPriority w:val="99"/>
    <w:semiHidden/>
    <w:unhideWhenUsed/>
    <w:rsid w:val="00586463"/>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uppressAutoHyphens w:val="true"/>
      <w:overflowPunct w:val="true"/>
      <w:jc w:val="center"/>
      <w:textAlignment w:val="baseline"/>
    </w:pPr>
    <w:rPr>
      <w:b/>
      <w:szCs w:val="20"/>
      <w:lang w:eastAsia="zh-CN"/>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suppressAutoHyphens w:val="true"/>
    </w:pPr>
    <w:rPr>
      <w:rFonts w:ascii="Liberation Sans" w:hAnsi="Liberation Sans" w:cs="Tahoma"/>
      <w:lang w:eastAsia="zh-CN"/>
    </w:rPr>
  </w:style>
  <w:style w:type="paragraph" w:styleId="Titre2" w:customStyle="1">
    <w:name w:val="Titre2"/>
    <w:basedOn w:val="Normal"/>
    <w:next w:val="TextBody"/>
    <w:qFormat/>
    <w:pPr>
      <w:keepNext w:val="true"/>
      <w:suppressAutoHyphens w:val="true"/>
      <w:overflowPunct w:val="true"/>
      <w:spacing w:before="240" w:after="120"/>
      <w:jc w:val="both"/>
      <w:textAlignment w:val="baseline"/>
    </w:pPr>
    <w:rPr>
      <w:rFonts w:ascii="Arial" w:hAnsi="Arial" w:eastAsia="Lucida Sans Unicode" w:cs="Tahoma"/>
      <w:sz w:val="28"/>
      <w:szCs w:val="28"/>
      <w:lang w:eastAsia="zh-CN"/>
    </w:rPr>
  </w:style>
  <w:style w:type="paragraph" w:styleId="Caption1">
    <w:name w:val="caption"/>
    <w:basedOn w:val="Normal"/>
    <w:qFormat/>
    <w:pPr>
      <w:suppressLineNumbers/>
      <w:suppressAutoHyphens w:val="true"/>
      <w:overflowPunct w:val="true"/>
      <w:spacing w:before="120" w:after="120"/>
      <w:jc w:val="both"/>
      <w:textAlignment w:val="baseline"/>
    </w:pPr>
    <w:rPr>
      <w:rFonts w:cs="Tahoma"/>
      <w:i/>
      <w:iCs/>
      <w:sz w:val="20"/>
      <w:szCs w:val="20"/>
      <w:lang w:eastAsia="zh-CN"/>
    </w:rPr>
  </w:style>
  <w:style w:type="paragraph" w:styleId="Rpertoire" w:customStyle="1">
    <w:name w:val="Répertoire"/>
    <w:basedOn w:val="Normal"/>
    <w:qFormat/>
    <w:pPr>
      <w:suppressLineNumbers/>
      <w:suppressAutoHyphens w:val="true"/>
      <w:overflowPunct w:val="true"/>
      <w:jc w:val="both"/>
      <w:textAlignment w:val="baseline"/>
    </w:pPr>
    <w:rPr>
      <w:rFonts w:cs="Tahoma"/>
      <w:szCs w:val="20"/>
      <w:lang w:eastAsia="zh-CN"/>
    </w:rPr>
  </w:style>
  <w:style w:type="paragraph" w:styleId="WWTitre" w:customStyle="1">
    <w:name w:val="WW-Titre"/>
    <w:basedOn w:val="Normal"/>
    <w:next w:val="TextBody"/>
    <w:qFormat/>
    <w:pPr>
      <w:keepNext w:val="true"/>
      <w:suppressAutoHyphens w:val="true"/>
      <w:overflowPunct w:val="true"/>
      <w:spacing w:before="240" w:after="120"/>
      <w:jc w:val="both"/>
      <w:textAlignment w:val="baseline"/>
    </w:pPr>
    <w:rPr>
      <w:rFonts w:ascii="Arial" w:hAnsi="Arial" w:eastAsia="MS Mincho" w:cs="Tahoma"/>
      <w:sz w:val="28"/>
      <w:szCs w:val="28"/>
      <w:lang w:eastAsia="zh-CN"/>
    </w:rPr>
  </w:style>
  <w:style w:type="paragraph" w:styleId="Subtitle">
    <w:name w:val="Subtitle"/>
    <w:basedOn w:val="Titre2"/>
    <w:next w:val="TextBody"/>
    <w:qFormat/>
    <w:pPr>
      <w:jc w:val="center"/>
    </w:pPr>
    <w:rPr>
      <w:i/>
      <w:iCs/>
    </w:rPr>
  </w:style>
  <w:style w:type="paragraph" w:styleId="Toto" w:customStyle="1">
    <w:name w:val="toto"/>
    <w:basedOn w:val="Normal"/>
    <w:qFormat/>
    <w:pPr>
      <w:suppressAutoHyphens w:val="true"/>
      <w:overflowPunct w:val="true"/>
      <w:jc w:val="both"/>
      <w:textAlignment w:val="baseline"/>
    </w:pPr>
    <w:rPr>
      <w:color w:val="0000FF"/>
      <w:sz w:val="52"/>
      <w:szCs w:val="20"/>
      <w:lang w:eastAsia="zh-CN"/>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suppressAutoHyphens w:val="true"/>
      <w:overflowPunct w:val="true"/>
      <w:jc w:val="both"/>
      <w:textAlignment w:val="baseline"/>
    </w:pPr>
    <w:rPr>
      <w:szCs w:val="20"/>
      <w:lang w:eastAsia="zh-CN"/>
    </w:rPr>
  </w:style>
  <w:style w:type="paragraph" w:styleId="Footer">
    <w:name w:val="Footer"/>
    <w:basedOn w:val="Normal"/>
    <w:pPr>
      <w:tabs>
        <w:tab w:val="clear" w:pos="708"/>
        <w:tab w:val="center" w:pos="4536" w:leader="none"/>
        <w:tab w:val="right" w:pos="9072" w:leader="none"/>
      </w:tabs>
      <w:suppressAutoHyphens w:val="true"/>
      <w:overflowPunct w:val="true"/>
      <w:jc w:val="both"/>
      <w:textAlignment w:val="baseline"/>
    </w:pPr>
    <w:rPr>
      <w:szCs w:val="20"/>
      <w:lang w:eastAsia="zh-CN"/>
    </w:rPr>
  </w:style>
  <w:style w:type="paragraph" w:styleId="Form12" w:customStyle="1">
    <w:name w:val="Form12"/>
    <w:qFormat/>
    <w:pPr>
      <w:widowControl/>
      <w:suppressAutoHyphens w:val="true"/>
      <w:bidi w:val="0"/>
      <w:spacing w:before="0" w:after="0"/>
      <w:jc w:val="both"/>
    </w:pPr>
    <w:rPr>
      <w:rFonts w:eastAsia="Arial" w:ascii="Times New Roman" w:hAnsi="Times New Roman" w:cs="Times New Roman"/>
      <w:b/>
      <w:color w:val="auto"/>
      <w:kern w:val="0"/>
      <w:sz w:val="24"/>
      <w:szCs w:val="20"/>
      <w:lang w:eastAsia="zh-CN" w:val="fr-FR" w:bidi="ar-SA"/>
    </w:rPr>
  </w:style>
  <w:style w:type="paragraph" w:styleId="Form16" w:customStyle="1">
    <w:name w:val="Form16"/>
    <w:qFormat/>
    <w:pPr>
      <w:widowControl/>
      <w:suppressAutoHyphens w:val="true"/>
      <w:bidi w:val="0"/>
      <w:spacing w:before="0" w:after="0"/>
      <w:jc w:val="center"/>
    </w:pPr>
    <w:rPr>
      <w:rFonts w:eastAsia="Arial" w:ascii="Times New Roman" w:hAnsi="Times New Roman" w:cs="Times New Roman"/>
      <w:b/>
      <w:color w:val="auto"/>
      <w:kern w:val="0"/>
      <w:sz w:val="32"/>
      <w:szCs w:val="20"/>
      <w:lang w:eastAsia="zh-CN" w:val="fr-FR" w:bidi="ar-SA"/>
    </w:rPr>
  </w:style>
  <w:style w:type="paragraph" w:styleId="Form9" w:customStyle="1">
    <w:name w:val="Form9"/>
    <w:qFormat/>
    <w:pPr>
      <w:widowControl/>
      <w:suppressAutoHyphens w:val="true"/>
      <w:bidi w:val="0"/>
      <w:spacing w:before="0" w:after="0"/>
      <w:jc w:val="center"/>
    </w:pPr>
    <w:rPr>
      <w:rFonts w:eastAsia="Arial" w:ascii="Times New Roman" w:hAnsi="Times New Roman" w:cs="Times New Roman"/>
      <w:color w:val="auto"/>
      <w:kern w:val="0"/>
      <w:sz w:val="18"/>
      <w:szCs w:val="20"/>
      <w:lang w:eastAsia="zh-CN" w:val="fr-FR" w:bidi="ar-SA"/>
    </w:rPr>
  </w:style>
  <w:style w:type="paragraph" w:styleId="Form10C" w:customStyle="1">
    <w:name w:val="Form10C"/>
    <w:qFormat/>
    <w:pPr>
      <w:widowControl/>
      <w:suppressAutoHyphens w:val="true"/>
      <w:bidi w:val="0"/>
      <w:spacing w:before="0" w:after="0"/>
      <w:jc w:val="center"/>
    </w:pPr>
    <w:rPr>
      <w:rFonts w:eastAsia="Arial" w:ascii="Times New Roman" w:hAnsi="Times New Roman" w:cs="Times New Roman"/>
      <w:color w:val="auto"/>
      <w:kern w:val="0"/>
      <w:sz w:val="20"/>
      <w:szCs w:val="20"/>
      <w:lang w:eastAsia="zh-CN" w:val="fr-FR" w:bidi="ar-SA"/>
    </w:rPr>
  </w:style>
  <w:style w:type="paragraph" w:styleId="Form10J" w:customStyle="1">
    <w:name w:val="Form10J"/>
    <w:qFormat/>
    <w:pPr>
      <w:widowControl/>
      <w:suppressAutoHyphens w:val="true"/>
      <w:bidi w:val="0"/>
      <w:spacing w:before="0" w:after="0"/>
      <w:jc w:val="left"/>
    </w:pPr>
    <w:rPr>
      <w:rFonts w:eastAsia="Arial" w:ascii="Times New Roman" w:hAnsi="Times New Roman" w:cs="Times New Roman"/>
      <w:color w:val="auto"/>
      <w:kern w:val="0"/>
      <w:sz w:val="20"/>
      <w:szCs w:val="20"/>
      <w:lang w:eastAsia="zh-CN" w:val="fr-FR"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eastAsia="zh-CN" w:val="fr-FR"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eastAsia="zh-CN" w:val="fr-FR" w:bidi="ar-SA"/>
    </w:rPr>
  </w:style>
  <w:style w:type="paragraph" w:styleId="Cerfa" w:customStyle="1">
    <w:name w:val="Cerfa"/>
    <w:qFormat/>
    <w:pPr>
      <w:widowControl/>
      <w:suppressAutoHyphens w:val="true"/>
      <w:bidi w:val="0"/>
      <w:spacing w:before="0" w:after="0"/>
      <w:jc w:val="center"/>
    </w:pPr>
    <w:rPr>
      <w:rFonts w:eastAsia="Arial" w:ascii="Times New Roman" w:hAnsi="Times New Roman" w:cs="Times New Roman"/>
      <w:color w:val="auto"/>
      <w:kern w:val="0"/>
      <w:sz w:val="36"/>
      <w:szCs w:val="20"/>
      <w:lang w:eastAsia="zh-CN" w:val="fr-FR" w:bidi="ar-SA"/>
    </w:rPr>
  </w:style>
  <w:style w:type="paragraph" w:styleId="Footnote">
    <w:name w:val="Footnote Text"/>
    <w:basedOn w:val="Normal"/>
    <w:pPr>
      <w:suppressAutoHyphens w:val="true"/>
      <w:overflowPunct w:val="true"/>
      <w:textAlignment w:val="baseline"/>
    </w:pPr>
    <w:rPr>
      <w:sz w:val="20"/>
      <w:szCs w:val="20"/>
      <w:lang w:eastAsia="zh-CN"/>
    </w:rPr>
  </w:style>
  <w:style w:type="paragraph" w:styleId="WWCorpsdetexte2" w:customStyle="1">
    <w:name w:val="WW-Corps de texte 2"/>
    <w:basedOn w:val="Normal"/>
    <w:qFormat/>
    <w:pPr>
      <w:suppressAutoHyphens w:val="true"/>
      <w:overflowPunct w:val="true"/>
      <w:jc w:val="center"/>
      <w:textAlignment w:val="baseline"/>
    </w:pPr>
    <w:rPr>
      <w:i/>
      <w:szCs w:val="20"/>
      <w:lang w:eastAsia="zh-CN"/>
    </w:rPr>
  </w:style>
  <w:style w:type="paragraph" w:styleId="Retraitcorpsdetexte21" w:customStyle="1">
    <w:name w:val="Retrait corps de texte 21"/>
    <w:basedOn w:val="Normal"/>
    <w:qFormat/>
    <w:pPr>
      <w:suppressAutoHyphens w:val="true"/>
      <w:overflowPunct w:val="true"/>
      <w:spacing w:lineRule="auto" w:line="480" w:before="0" w:after="120"/>
      <w:ind w:left="283" w:hanging="0"/>
      <w:jc w:val="both"/>
      <w:textAlignment w:val="baseline"/>
    </w:pPr>
    <w:rPr>
      <w:szCs w:val="20"/>
      <w:lang w:eastAsia="zh-CN"/>
    </w:rPr>
  </w:style>
  <w:style w:type="paragraph" w:styleId="Retraitcorpsdetexte31" w:customStyle="1">
    <w:name w:val="Retrait corps de texte 31"/>
    <w:basedOn w:val="Normal"/>
    <w:qFormat/>
    <w:pPr>
      <w:suppressAutoHyphens w:val="true"/>
      <w:overflowPunct w:val="true"/>
      <w:spacing w:before="0" w:after="120"/>
      <w:ind w:left="283" w:hanging="0"/>
      <w:jc w:val="both"/>
      <w:textAlignment w:val="baseline"/>
    </w:pPr>
    <w:rPr>
      <w:sz w:val="16"/>
      <w:szCs w:val="16"/>
      <w:lang w:eastAsia="zh-CN"/>
    </w:rPr>
  </w:style>
  <w:style w:type="paragraph" w:styleId="Niv1" w:customStyle="1">
    <w:name w:val="Niv1"/>
    <w:basedOn w:val="Normal"/>
    <w:next w:val="Normal"/>
    <w:qFormat/>
    <w:pPr>
      <w:keepNext w:val="true"/>
      <w:numPr>
        <w:ilvl w:val="0"/>
        <w:numId w:val="2"/>
      </w:numPr>
      <w:ind w:left="1560" w:hanging="0"/>
      <w:jc w:val="both"/>
    </w:pPr>
    <w:rPr>
      <w:b/>
      <w:caps/>
      <w:sz w:val="22"/>
      <w:szCs w:val="26"/>
      <w:u w:val="single"/>
      <w:lang w:eastAsia="zh-CN"/>
    </w:rPr>
  </w:style>
  <w:style w:type="paragraph" w:styleId="Niv2" w:customStyle="1">
    <w:name w:val="Niv2"/>
    <w:basedOn w:val="Normal"/>
    <w:next w:val="Normal"/>
    <w:qFormat/>
    <w:pPr>
      <w:spacing w:before="480" w:after="240"/>
      <w:ind w:left="1560" w:hanging="0"/>
    </w:pPr>
    <w:rPr>
      <w:rFonts w:cs="Arial"/>
      <w:b/>
      <w:u w:val="single"/>
      <w:lang w:eastAsia="zh-CN"/>
    </w:rPr>
  </w:style>
  <w:style w:type="paragraph" w:styleId="Niv3" w:customStyle="1">
    <w:name w:val="Niv3"/>
    <w:basedOn w:val="Normal"/>
    <w:next w:val="Normal"/>
    <w:qFormat/>
    <w:pPr>
      <w:tabs>
        <w:tab w:val="clear" w:pos="708"/>
        <w:tab w:val="left" w:pos="17" w:leader="none"/>
      </w:tabs>
      <w:spacing w:before="360" w:after="240"/>
      <w:ind w:left="1088" w:hanging="504"/>
    </w:pPr>
    <w:rPr>
      <w:rFonts w:ascii="Arial" w:hAnsi="Arial" w:cs="Arial"/>
      <w:sz w:val="20"/>
      <w:lang w:eastAsia="zh-CN"/>
    </w:rPr>
  </w:style>
  <w:style w:type="paragraph" w:styleId="Niv4" w:customStyle="1">
    <w:name w:val="Niv4"/>
    <w:basedOn w:val="Normal"/>
    <w:next w:val="Normal"/>
    <w:qFormat/>
    <w:pPr>
      <w:tabs>
        <w:tab w:val="clear" w:pos="708"/>
        <w:tab w:val="left" w:pos="17" w:leader="none"/>
      </w:tabs>
      <w:spacing w:before="120" w:after="0"/>
      <w:ind w:left="944" w:hanging="0"/>
    </w:pPr>
    <w:rPr>
      <w:rFonts w:ascii="Arial" w:hAnsi="Arial" w:cs="Arial"/>
      <w:sz w:val="20"/>
      <w:lang w:eastAsia="zh-CN"/>
    </w:rPr>
  </w:style>
  <w:style w:type="paragraph" w:styleId="Niv5" w:customStyle="1">
    <w:name w:val="Niv5"/>
    <w:basedOn w:val="Normal"/>
    <w:next w:val="Normal"/>
    <w:qFormat/>
    <w:pPr>
      <w:tabs>
        <w:tab w:val="clear" w:pos="708"/>
        <w:tab w:val="left" w:pos="17" w:leader="none"/>
      </w:tabs>
      <w:spacing w:before="120" w:after="0"/>
      <w:ind w:left="1418" w:hanging="0"/>
    </w:pPr>
    <w:rPr>
      <w:rFonts w:ascii="Arial" w:hAnsi="Arial" w:cs="Arial"/>
      <w:sz w:val="20"/>
      <w:lang w:eastAsia="zh-CN"/>
    </w:rPr>
  </w:style>
  <w:style w:type="paragraph" w:styleId="BodyText21" w:customStyle="1">
    <w:name w:val="Body Text 21"/>
    <w:basedOn w:val="Normal"/>
    <w:qFormat/>
    <w:pPr>
      <w:suppressAutoHyphens w:val="true"/>
      <w:overflowPunct w:val="true"/>
      <w:jc w:val="both"/>
      <w:textAlignment w:val="baseline"/>
    </w:pPr>
    <w:rPr>
      <w:szCs w:val="20"/>
      <w:lang w:eastAsia="zh-CN"/>
    </w:rPr>
  </w:style>
  <w:style w:type="paragraph" w:styleId="Contenudetableau" w:customStyle="1">
    <w:name w:val="Contenu de tableau"/>
    <w:basedOn w:val="TextBody"/>
    <w:qFormat/>
    <w:pPr>
      <w:suppressLineNumbers/>
    </w:pPr>
    <w:rPr/>
  </w:style>
  <w:style w:type="paragraph" w:styleId="Normalcentr1" w:customStyle="1">
    <w:name w:val="Normal centré1"/>
    <w:basedOn w:val="Normal"/>
    <w:qFormat/>
    <w:pPr>
      <w:suppressAutoHyphens w:val="true"/>
      <w:overflowPunct w:val="true"/>
      <w:ind w:left="1560" w:right="-409" w:hanging="0"/>
      <w:jc w:val="both"/>
      <w:textAlignment w:val="baseline"/>
    </w:pPr>
    <w:rPr>
      <w:b/>
      <w:bCs/>
      <w:color w:val="FF0000"/>
      <w:sz w:val="22"/>
      <w:szCs w:val="22"/>
      <w:lang w:eastAsia="zh-CN"/>
    </w:rPr>
  </w:style>
  <w:style w:type="paragraph" w:styleId="Niv6" w:customStyle="1">
    <w:name w:val="Niv6"/>
    <w:basedOn w:val="Normal"/>
    <w:next w:val="Normal"/>
    <w:qFormat/>
    <w:pPr/>
    <w:rPr>
      <w:rFonts w:ascii="Arial" w:hAnsi="Arial" w:cs="Arial"/>
      <w:sz w:val="20"/>
      <w:lang w:eastAsia="zh-CN"/>
    </w:rPr>
  </w:style>
  <w:style w:type="paragraph" w:styleId="Style11" w:customStyle="1">
    <w:name w:val="Style1"/>
    <w:basedOn w:val="Normal"/>
    <w:qFormat/>
    <w:pPr>
      <w:shd w:val="clear" w:color="auto" w:fill="E5E5E5"/>
      <w:suppressAutoHyphens w:val="true"/>
      <w:overflowPunct w:val="true"/>
      <w:jc w:val="center"/>
      <w:textAlignment w:val="baseline"/>
    </w:pPr>
    <w:rPr>
      <w:b/>
      <w:spacing w:val="20"/>
      <w:szCs w:val="20"/>
      <w:lang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true"/>
      <w:jc w:val="center"/>
      <w:textAlignment w:val="baseline"/>
    </w:pPr>
    <w:rPr>
      <w:szCs w:val="20"/>
      <w:lang w:eastAsia="zh-CN"/>
    </w:rPr>
  </w:style>
  <w:style w:type="paragraph" w:styleId="Titredetableau" w:customStyle="1">
    <w:name w:val="Titre de tableau"/>
    <w:basedOn w:val="Contenudetableau"/>
    <w:qFormat/>
    <w:pPr/>
    <w:rPr>
      <w:bCs/>
      <w:i/>
      <w:iCs/>
    </w:rPr>
  </w:style>
  <w:style w:type="paragraph" w:styleId="TITRE4" w:customStyle="1">
    <w:name w:val="TITRE4"/>
    <w:basedOn w:val="Normal"/>
    <w:qFormat/>
    <w:pPr>
      <w:suppressAutoHyphens w:val="true"/>
      <w:overflowPunct w:val="true"/>
      <w:jc w:val="both"/>
      <w:textAlignment w:val="baseline"/>
    </w:pPr>
    <w:rPr>
      <w:i/>
      <w:szCs w:val="20"/>
      <w:u w:val="single"/>
      <w:lang w:eastAsia="zh-CN"/>
    </w:rPr>
  </w:style>
  <w:style w:type="paragraph" w:styleId="TITRE5" w:customStyle="1">
    <w:name w:val="TITRE5"/>
    <w:basedOn w:val="Normal"/>
    <w:qFormat/>
    <w:pPr>
      <w:suppressAutoHyphens w:val="true"/>
      <w:overflowPunct w:val="true"/>
      <w:jc w:val="both"/>
      <w:textAlignment w:val="baseline"/>
    </w:pPr>
    <w:rPr>
      <w:szCs w:val="20"/>
      <w:u w:val="single"/>
      <w:lang w:eastAsia="zh-CN"/>
    </w:rPr>
  </w:style>
  <w:style w:type="paragraph" w:styleId="TxBrp6" w:customStyle="1">
    <w:name w:val="TxBr_p6"/>
    <w:basedOn w:val="Normal"/>
    <w:qFormat/>
    <w:pPr>
      <w:widowControl w:val="false"/>
      <w:tabs>
        <w:tab w:val="clear" w:pos="708"/>
        <w:tab w:val="left" w:pos="2239" w:leader="none"/>
      </w:tabs>
      <w:spacing w:lineRule="atLeast" w:line="240"/>
      <w:ind w:left="1430" w:hanging="2239"/>
    </w:pPr>
    <w:rPr>
      <w:lang w:val="en-US" w:eastAsia="zh-CN"/>
    </w:rPr>
  </w:style>
  <w:style w:type="paragraph" w:styleId="WWCorpsdetexte3" w:customStyle="1">
    <w:name w:val="WW-Corps de texte 3"/>
    <w:basedOn w:val="Normal"/>
    <w:qFormat/>
    <w:pPr>
      <w:keepNext w:val="true"/>
      <w:suppressAutoHyphens w:val="true"/>
      <w:overflowPunct w:val="true"/>
      <w:jc w:val="center"/>
      <w:textAlignment w:val="baseline"/>
    </w:pPr>
    <w:rPr>
      <w:b/>
      <w:sz w:val="20"/>
      <w:szCs w:val="20"/>
      <w:lang w:eastAsia="zh-CN"/>
    </w:rPr>
  </w:style>
  <w:style w:type="paragraph" w:styleId="Contenuducadre" w:customStyle="1">
    <w:name w:val="Contenu du cadre"/>
    <w:basedOn w:val="TextBody"/>
    <w:qFormat/>
    <w:pPr/>
    <w:rPr/>
  </w:style>
  <w:style w:type="paragraph" w:styleId="Titre1" w:customStyle="1">
    <w:name w:val="Titre1"/>
    <w:basedOn w:val="Normal"/>
    <w:next w:val="TextBody"/>
    <w:qFormat/>
    <w:pPr>
      <w:keepNext w:val="true"/>
      <w:suppressAutoHyphens w:val="true"/>
      <w:spacing w:before="240" w:after="120"/>
    </w:pPr>
    <w:rPr>
      <w:rFonts w:ascii="Liberation Sans" w:hAnsi="Liberation Sans" w:eastAsia="Lucida Sans Unicode" w:cs="Tahoma"/>
      <w:sz w:val="28"/>
      <w:szCs w:val="28"/>
      <w:lang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eastAsia="zh-CN"/>
    </w:rPr>
  </w:style>
  <w:style w:type="paragraph" w:styleId="NormalWeb">
    <w:name w:val="Normal (Web)"/>
    <w:basedOn w:val="Normal"/>
    <w:uiPriority w:val="99"/>
    <w:qFormat/>
    <w:pPr>
      <w:suppressAutoHyphens w:val="true"/>
      <w:spacing w:before="280" w:after="280"/>
    </w:pPr>
    <w:rPr>
      <w:rFonts w:ascii="Arial Unicode MS" w:hAnsi="Arial Unicode MS" w:eastAsia="Arial Unicode MS" w:cs="Arial Unicode MS"/>
      <w:lang w:eastAsia="zh-CN"/>
    </w:rPr>
  </w:style>
  <w:style w:type="paragraph" w:styleId="Corpsdetexte21" w:customStyle="1">
    <w:name w:val="Corps de texte 21"/>
    <w:basedOn w:val="Normal"/>
    <w:qFormat/>
    <w:pPr>
      <w:suppressAutoHyphens w:val="true"/>
    </w:pPr>
    <w:rPr>
      <w:sz w:val="20"/>
      <w:szCs w:val="20"/>
      <w:lang w:eastAsia="zh-CN"/>
    </w:rPr>
  </w:style>
  <w:style w:type="paragraph" w:styleId="Interligne" w:customStyle="1">
    <w:name w:val="interligne"/>
    <w:basedOn w:val="Normal"/>
    <w:qFormat/>
    <w:pPr>
      <w:suppressAutoHyphens w:val="true"/>
      <w:spacing w:before="0" w:after="120"/>
      <w:ind w:firstLine="284"/>
      <w:jc w:val="both"/>
    </w:pPr>
    <w:rPr>
      <w:sz w:val="22"/>
      <w:szCs w:val="20"/>
      <w:lang w:eastAsia="zh-CN"/>
    </w:rPr>
  </w:style>
  <w:style w:type="paragraph" w:styleId="Contenudecadre" w:customStyle="1">
    <w:name w:val="Contenu de cadre"/>
    <w:basedOn w:val="Normal"/>
    <w:qFormat/>
    <w:pPr>
      <w:suppressAutoHyphens w:val="true"/>
      <w:overflowPunct w:val="true"/>
      <w:jc w:val="both"/>
      <w:textAlignment w:val="baseline"/>
    </w:pPr>
    <w:rPr>
      <w:szCs w:val="20"/>
      <w:lang w:eastAsia="zh-CN"/>
    </w:rPr>
  </w:style>
  <w:style w:type="paragraph" w:styleId="ListParagraph">
    <w:name w:val="List Paragraph"/>
    <w:basedOn w:val="Normal"/>
    <w:uiPriority w:val="34"/>
    <w:qFormat/>
    <w:rsid w:val="00815bb2"/>
    <w:pPr>
      <w:spacing w:before="0" w:after="0"/>
      <w:ind w:left="720" w:hanging="0"/>
      <w:contextualSpacing/>
    </w:pPr>
    <w:rPr/>
  </w:style>
  <w:style w:type="paragraph" w:styleId="Msonormal" w:customStyle="1">
    <w:name w:val="msonormal"/>
    <w:basedOn w:val="Normal"/>
    <w:qFormat/>
    <w:rsid w:val="00586463"/>
    <w:pPr>
      <w:spacing w:beforeAutospacing="1" w:after="0"/>
      <w:jc w:val="center"/>
    </w:pPr>
    <w:rPr/>
  </w:style>
  <w:style w:type="paragraph" w:styleId="Western" w:customStyle="1">
    <w:name w:val="western"/>
    <w:basedOn w:val="Normal"/>
    <w:qFormat/>
    <w:rsid w:val="00586463"/>
    <w:pPr>
      <w:spacing w:beforeAutospacing="1" w:after="0"/>
      <w:jc w:val="center"/>
    </w:pPr>
    <w:rPr>
      <w:b/>
      <w:bCs/>
    </w:rPr>
  </w:style>
  <w:style w:type="paragraph" w:styleId="Cjk" w:customStyle="1">
    <w:name w:val="cjk"/>
    <w:basedOn w:val="Normal"/>
    <w:qFormat/>
    <w:rsid w:val="00586463"/>
    <w:pPr>
      <w:spacing w:beforeAutospacing="1" w:after="0"/>
      <w:jc w:val="center"/>
    </w:pPr>
    <w:rPr>
      <w:b/>
      <w:bCs/>
    </w:rPr>
  </w:style>
  <w:style w:type="paragraph" w:styleId="Ctl" w:customStyle="1">
    <w:name w:val="ctl"/>
    <w:basedOn w:val="Normal"/>
    <w:qFormat/>
    <w:rsid w:val="00586463"/>
    <w:pPr>
      <w:spacing w:beforeAutospacing="1" w:after="0"/>
      <w:jc w:val="center"/>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Application>LibreOffice/7.3.7.2$Linux_X86_64 LibreOffice_project/30$Build-2</Application>
  <AppVersion>15.0000</AppVersion>
  <Pages>23</Pages>
  <Words>6874</Words>
  <Characters>39521</Characters>
  <CharactersWithSpaces>46139</CharactersWithSpaces>
  <Paragraphs>372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2022-04-08T14:14:00Z</dcterms:created>
  <dc:creator>Etude Cheuvreux</dc:creator>
  <dc:description/>
  <dc:language>en-US</dc:language>
  <cp:lastModifiedBy/>
  <cp:lastPrinted>2021-11-30T08:37:00Z</cp:lastPrinted>
  <dcterms:modified xsi:type="dcterms:W3CDTF">2024-04-24T11:15:51Z</dcterms:modified>
  <cp:revision>155</cp:revision>
  <dc:subject/>
  <dc:title>   </dc:title>
</cp:coreProperties>
</file>

<file path=docProps/custom.xml><?xml version="1.0" encoding="utf-8"?>
<Properties xmlns="http://schemas.openxmlformats.org/officeDocument/2006/custom-properties" xmlns:vt="http://schemas.openxmlformats.org/officeDocument/2006/docPropsVTypes"/>
</file>