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header2.xml" ContentType="application/vnd.openxmlformats-officedocument.wordprocessingml.header+xml"/>
  <Override PartName="/word/media/image1.png" ContentType="image/png"/>
  <Override PartName="/word/media/image2.wmf" ContentType="image/x-wmf"/>
  <Override PartName="/word/media/image3.wmf" ContentType="image/x-wmf"/>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TimesNewRomanPS-BoldMT" w:hAnsi="TimesNewRomanPS-BoldMT" w:cs="TimesNewRomanPS-BoldMT"/>
          <w:b/>
          <w:b/>
          <w:lang w:val="fr-FR"/>
        </w:rPr>
      </w:pPr>
      <w:r>
        <w:rPr>
          <w:rFonts w:cs="TimesNewRomanPS-BoldMT" w:ascii="TimesNewRomanPS-BoldMT" w:hAnsi="TimesNewRomanPS-BoldMT"/>
          <w:b/>
          <w:lang w:val="fr-FR"/>
        </w:rPr>
        <w:t xml:space="preserve">Convention n° </w:t>
      </w:r>
      <w:r>
        <w:rPr>
          <w:rFonts w:cs="TimesNewRomanPSMT" w:ascii="TimesNewRomanPSMT" w:hAnsi="TimesNewRomanPSMT"/>
          <w:b/>
        </w:rPr>
        <w:t xml:space="preserve">{% if </w:t>
      </w:r>
      <w:r>
        <w:rPr>
          <w:rFonts w:cs="TimesNewRomanPS-BoldMT" w:ascii="TimesNewRomanPS-BoldMT" w:hAnsi="TimesNewRomanPS-BoldMT"/>
          <w:b/>
          <w:lang w:val="fr-FR"/>
        </w:rPr>
        <w:t>convention.numero</w:t>
      </w:r>
      <w:r>
        <w:rPr>
          <w:rFonts w:cs="TimesNewRomanPSMT" w:ascii="TimesNewRomanPSMT" w:hAnsi="TimesNewRomanPSMT"/>
          <w:b/>
        </w:rPr>
        <w:t xml:space="preserve"> %}</w:t>
      </w:r>
      <w:r>
        <w:rPr>
          <w:rFonts w:cs="TimesNewRomanPS-BoldMT" w:ascii="TimesNewRomanPS-BoldMT" w:hAnsi="TimesNewRomanPS-BoldMT"/>
          <w:b/>
          <w:lang w:val="fr-FR"/>
        </w:rPr>
        <w:t>{{convention.numero}}{% else %}</w:t>
      </w:r>
      <w:r>
        <w:rPr>
          <w:rFonts w:cs="TimesNewRomanPS-BoldMT" w:ascii="TimesNewRomanPS-BoldMT" w:hAnsi="TimesNewRomanPS-BoldMT"/>
          <w:bCs/>
          <w:i/>
          <w:iCs/>
          <w:sz w:val="16"/>
          <w:szCs w:val="16"/>
          <w:lang w:val="fr-FR"/>
        </w:rPr>
        <w:t>Le numéro de la convention sera défini et ajouté ici une fois la convention validée</w:t>
      </w:r>
      <w:r>
        <w:rPr>
          <w:rFonts w:cs="TimesNewRomanPS-BoldMT" w:ascii="TimesNewRomanPS-BoldMT" w:hAnsi="TimesNewRomanPS-BoldMT"/>
          <w:b/>
          <w:lang w:val="fr-FR"/>
        </w:rPr>
        <w:t>{% endif %}</w:t>
      </w:r>
    </w:p>
    <w:p>
      <w:pPr>
        <w:pStyle w:val="Normal"/>
        <w:jc w:val="center"/>
        <w:rPr>
          <w:rFonts w:ascii="TimesNewRomanPS-BoldMT" w:hAnsi="TimesNewRomanPS-BoldMT" w:cs="TimesNewRomanPS-BoldMT"/>
          <w:b/>
          <w:b/>
          <w:lang w:val="fr-FR"/>
        </w:rPr>
      </w:pPr>
      <w:r>
        <w:rPr>
          <w:rFonts w:cs="TimesNewRomanPS-BoldMT" w:ascii="TimesNewRomanPS-BoldMT" w:hAnsi="TimesNewRomanPS-BoldMT"/>
          <w:b/>
          <w:lang w:val="fr-FR"/>
        </w:rPr>
      </w:r>
    </w:p>
    <w:p>
      <w:pPr>
        <w:pStyle w:val="Normal"/>
        <w:jc w:val="center"/>
        <w:rPr>
          <w:sz w:val="16"/>
          <w:szCs w:val="16"/>
        </w:rPr>
      </w:pPr>
      <w:r>
        <w:rPr>
          <w:rFonts w:ascii="TimesNewRomanPS" w:hAnsi="TimesNewRomanPS"/>
          <w:b/>
          <w:bCs/>
        </w:rPr>
        <w:t>A</w:t>
      </w:r>
      <w:r>
        <w:rPr>
          <w:rFonts w:ascii="TimesNewRomanPS" w:hAnsi="TimesNewRomanPS"/>
          <w:b/>
          <w:bCs/>
          <w:sz w:val="16"/>
          <w:szCs w:val="16"/>
        </w:rPr>
        <w:t>NNEXE À L</w:t>
      </w:r>
      <w:r>
        <w:rPr>
          <w:rFonts w:ascii="TimesNewRomanPS" w:hAnsi="TimesNewRomanPS"/>
          <w:b/>
          <w:bCs/>
        </w:rPr>
        <w:t>'</w:t>
      </w:r>
      <w:r>
        <w:rPr>
          <w:rFonts w:ascii="TimesNewRomanPS" w:hAnsi="TimesNewRomanPS"/>
          <w:b/>
          <w:bCs/>
          <w:sz w:val="16"/>
          <w:szCs w:val="16"/>
        </w:rPr>
        <w:t xml:space="preserve">ARTICLE </w:t>
      </w:r>
      <w:r>
        <w:rPr>
          <w:rFonts w:ascii="TimesNewRomanPS" w:hAnsi="TimesNewRomanPS"/>
          <w:b/>
          <w:bCs/>
        </w:rPr>
        <w:t xml:space="preserve">D. 353-59 </w:t>
      </w:r>
      <w:r>
        <w:rPr>
          <w:rFonts w:ascii="TimesNewRomanPS" w:hAnsi="TimesNewRomanPS"/>
          <w:b/>
          <w:bCs/>
          <w:sz w:val="16"/>
          <w:szCs w:val="16"/>
        </w:rPr>
        <w:t>DU CODE DE LA CONSTRUCTION ET DE L</w:t>
      </w:r>
      <w:r>
        <w:rPr>
          <w:rFonts w:ascii="TimesNewRomanPS" w:hAnsi="TimesNewRomanPS"/>
          <w:b/>
          <w:bCs/>
        </w:rPr>
        <w:t>’</w:t>
      </w:r>
      <w:r>
        <w:rPr>
          <w:rFonts w:ascii="TimesNewRomanPS" w:hAnsi="TimesNewRomanPS"/>
          <w:b/>
          <w:bCs/>
          <w:sz w:val="16"/>
          <w:szCs w:val="16"/>
        </w:rPr>
        <w:t>HABITATION</w:t>
      </w:r>
      <w:r>
        <w:rPr/>
        <w:br/>
      </w:r>
    </w:p>
    <w:p>
      <w:pPr>
        <w:pStyle w:val="NormalWeb"/>
        <w:spacing w:before="0" w:after="0"/>
        <w:jc w:val="center"/>
        <w:rPr>
          <w:rFonts w:ascii="TimesNewRomanPS-BoldMT" w:hAnsi="TimesNewRomanPS-BoldMT" w:cs="TimesNewRomanPS-BoldMT"/>
          <w:b/>
          <w:b/>
        </w:rPr>
      </w:pPr>
      <w:r>
        <w:rPr>
          <w:rFonts w:cs="TimesNewRomanPS-BoldMT" w:ascii="TimesNewRomanPS-BoldMT" w:hAnsi="TimesNewRomanPS-BoldMT"/>
          <w:b/>
        </w:rPr>
        <w:t>Convention type conclue en application des articles L. 353-1 et L. 831-1</w:t>
        <w:br/>
        <w:t xml:space="preserve">(2° ou 3°) du code de la construction et de l'habitation entre l'Etat </w:t>
      </w:r>
      <w:r>
        <w:rPr>
          <w:rFonts w:eastAsia="Times New Roman" w:cs="Times New Roman" w:ascii="TimesNewRomanPS" w:hAnsi="TimesNewRomanPS"/>
          <w:b/>
          <w:bCs/>
          <w:lang w:val="en-FR" w:eastAsia="en-GB"/>
        </w:rPr>
        <w:t>et la société d'économie mixte de construction et de gestion de logements sociaux</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Convention type conclue entre l'E</w:t>
      </w:r>
      <w:r>
        <w:rPr>
          <w:rFonts w:cs="TimesNewRomanPSMT" w:ascii="TimesNewRomanPSMT" w:hAnsi="TimesNewRomanPSMT"/>
          <w:lang w:val="fr-FR"/>
        </w:rPr>
        <w:t>TAT</w:t>
      </w:r>
      <w:r>
        <w:rPr>
          <w:rFonts w:cs="TimesNewRomanPSMT" w:ascii="TimesNewRomanPSMT" w:hAnsi="TimesNewRomanPSMT"/>
        </w:rPr>
        <w:t xml:space="preserve"> et </w:t>
      </w:r>
      <w:bookmarkStart w:id="0" w:name="NomBailleur1"/>
      <w:bookmarkEnd w:id="0"/>
      <w:r>
        <w:rPr>
          <w:rFonts w:cs="TimesNewRomanPSMT" w:ascii="TimesNewRomanPSMT" w:hAnsi="TimesNewRomanPSMT"/>
        </w:rPr>
        <w:t>{{ bailleur.nom</w:t>
      </w:r>
      <w:r>
        <w:rPr>
          <w:rFonts w:cs="TimesNewRomanPSMT" w:ascii="TimesNewRomanPSMT" w:hAnsi="TimesNewRomanPSMT"/>
          <w:lang w:val="fr-FR"/>
        </w:rPr>
        <w:t>|upper</w:t>
      </w:r>
      <w:r>
        <w:rPr>
          <w:rFonts w:cs="TimesNewRomanPSMT" w:ascii="TimesNewRomanPSMT" w:hAnsi="TimesNewRomanPSMT"/>
        </w:rPr>
        <w:t xml:space="preserve"> }} (1) (</w:t>
      </w:r>
      <w:r>
        <w:rPr>
          <w:rFonts w:cs="TimesNewRomanPSMT" w:ascii="TimesNewRomanPSMT" w:hAnsi="TimesNewRomanPSMT"/>
          <w:lang w:val="fr-FR"/>
        </w:rPr>
        <w:t>2</w:t>
      </w:r>
      <w:r>
        <w:rPr>
          <w:rFonts w:cs="TimesNewRomanPSMT" w:ascii="TimesNewRomanPSMT" w:hAnsi="TimesNewRomanPSMT"/>
        </w:rPr>
        <w:t xml:space="preserve">) en application des articles L. 353-1 et L. 831-1 (2° ou 3°) du code de la construction et de l'habitation pour l'opération </w:t>
      </w:r>
      <w:bookmarkStart w:id="1" w:name="NomProgramme1"/>
      <w:bookmarkEnd w:id="1"/>
      <w:r>
        <w:rPr>
          <w:rFonts w:cs="TimesNewRomanPSMT" w:ascii="TimesNewRomanPSMT" w:hAnsi="TimesNewRomanPSMT"/>
        </w:rPr>
        <w:t xml:space="preserve">{{ programme.nom }}, de </w:t>
      </w:r>
      <w:bookmarkStart w:id="2" w:name="NbLogement1"/>
      <w:bookmarkEnd w:id="2"/>
      <w:r>
        <w:rPr>
          <w:rFonts w:cs="TimesNewRomanPSMT" w:ascii="TimesNewRomanPSMT" w:hAnsi="TimesNewRomanPSMT"/>
        </w:rPr>
        <w:t>{{ lot.nb_logements }} logement</w:t>
      </w:r>
      <w:bookmarkStart w:id="3" w:name="Type"/>
      <w:bookmarkEnd w:id="3"/>
      <w:r>
        <w:rPr>
          <w:rFonts w:cs="TimesNewRomanPSMT" w:ascii="TimesNewRomanPSMT" w:hAnsi="TimesNewRomanPSMT"/>
          <w:lang w:val="fr-FR"/>
        </w:rPr>
        <w:t xml:space="preserve">{{lot.nb_logements|pl}} </w:t>
      </w:r>
      <w:r>
        <w:rPr>
          <w:rFonts w:cs="TimesNewRomanPSMT" w:ascii="TimesNewRomanPSMT" w:hAnsi="TimesNewRomanPSMT"/>
        </w:rPr>
        <w:t xml:space="preserve">{{ lot.financement }}, </w:t>
      </w:r>
      <w:bookmarkStart w:id="4" w:name="Adresse1"/>
      <w:bookmarkEnd w:id="4"/>
      <w:r>
        <w:rPr>
          <w:rFonts w:cs="TimesNewRomanPSMT" w:ascii="TimesNewRomanPSMT" w:hAnsi="TimesNewRomanPSMT"/>
        </w:rPr>
        <w:t>{{ programme.adresse</w:t>
      </w:r>
      <w:r>
        <w:rPr>
          <w:rFonts w:cs="TimesNewRomanPSMT" w:ascii="TimesNewRomanPSMT" w:hAnsi="TimesNewRomanPSMT"/>
          <w:lang w:val="fr-FR"/>
        </w:rPr>
        <w:t>|inline_text_multiline</w:t>
      </w:r>
      <w:r>
        <w:rPr>
          <w:rFonts w:cs="TimesNewRomanPSMT" w:ascii="TimesNewRomanPSMT" w:hAnsi="TimesNewRomanPSMT"/>
        </w:rPr>
        <w:t xml:space="preserve"> }} à </w:t>
      </w:r>
      <w:bookmarkStart w:id="5" w:name="CodePostal1"/>
      <w:bookmarkEnd w:id="5"/>
      <w:r>
        <w:rPr>
          <w:rFonts w:cs="TimesNewRomanPSMT" w:ascii="TimesNewRomanPSMT" w:hAnsi="TimesNewRomanPSMT"/>
        </w:rPr>
        <w:t xml:space="preserve">{{ programme.code_postal }},  </w:t>
      </w:r>
      <w:bookmarkStart w:id="6" w:name="Ville1"/>
      <w:bookmarkEnd w:id="6"/>
      <w:r>
        <w:rPr>
          <w:rFonts w:cs="TimesNewRomanPSMT" w:ascii="TimesNewRomanPSMT" w:hAnsi="TimesNewRomanPSMT"/>
        </w:rPr>
        <w:t>{{ programme.ville }} (</w:t>
      </w:r>
      <w:r>
        <w:rPr>
          <w:rFonts w:cs="TimesNewRomanPSMT" w:ascii="TimesNewRomanPSMT" w:hAnsi="TimesNewRomanPSMT"/>
          <w:lang w:val="fr-FR"/>
        </w:rPr>
        <w:t>3</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d'une part,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et </w:t>
      </w:r>
      <w:bookmarkStart w:id="7" w:name="NomBailleur2"/>
      <w:bookmarkEnd w:id="7"/>
      <w:r>
        <w:rPr>
          <w:rFonts w:cs="TimesNewRomanPSMT" w:ascii="TimesNewRomanPSMT" w:hAnsi="TimesNewRomanPSMT"/>
        </w:rPr>
        <w:t>{{ bailleur.nom</w:t>
      </w:r>
      <w:r>
        <w:rPr>
          <w:rFonts w:cs="TimesNewRomanPSMT" w:ascii="TimesNewRomanPSMT" w:hAnsi="TimesNewRomanPSMT"/>
          <w:lang w:val="fr-FR"/>
        </w:rPr>
        <w:t>|upper</w:t>
      </w:r>
      <w:r>
        <w:rPr>
          <w:rFonts w:cs="TimesNewRomanPSMT" w:ascii="TimesNewRomanPSMT" w:hAnsi="TimesNewRomanPSMT"/>
        </w:rPr>
        <w:t xml:space="preserve"> }} (</w:t>
      </w:r>
      <w:r>
        <w:rPr>
          <w:rFonts w:cs="TimesNewRomanPSMT" w:ascii="TimesNewRomanPSMT" w:hAnsi="TimesNewRomanPSMT"/>
          <w:lang w:val="fr-FR"/>
        </w:rPr>
        <w:t>2</w:t>
      </w:r>
      <w:r>
        <w:rPr>
          <w:rFonts w:cs="TimesNewRomanPSMT" w:ascii="TimesNewRomanPSMT" w:hAnsi="TimesNewRomanPSMT"/>
        </w:rPr>
        <w:t xml:space="preserve">), représenté (e) par </w:t>
      </w:r>
      <w:bookmarkStart w:id="8" w:name="NomDG1"/>
      <w:bookmarkEnd w:id="8"/>
      <w:r>
        <w:rPr>
          <w:rFonts w:cs="TimesNewRomanPSMT" w:ascii="TimesNewRomanPSMT" w:hAnsi="TimesNewRomanPSMT"/>
        </w:rPr>
        <w:t>{{ bailleur.</w:t>
      </w:r>
      <w:r>
        <w:rPr>
          <w:rFonts w:cs="TimesNewRomanPSMT" w:ascii="TimesNewRomanPSMT" w:hAnsi="TimesNewRomanPSMT"/>
          <w:lang w:val="fr-FR"/>
        </w:rPr>
        <w:t>signataire</w:t>
      </w:r>
      <w:r>
        <w:rPr>
          <w:rFonts w:cs="TimesNewRomanPSMT" w:ascii="TimesNewRomanPSMT" w:hAnsi="TimesNewRomanPSMT"/>
        </w:rPr>
        <w:t xml:space="preserve">_nom }}, </w:t>
      </w:r>
      <w:bookmarkStart w:id="9" w:name="Fonction"/>
      <w:bookmarkEnd w:id="9"/>
      <w:r>
        <w:rPr>
          <w:rFonts w:cs="TimesNewRomanPSMT" w:ascii="TimesNewRomanPSMT" w:hAnsi="TimesNewRomanPSMT"/>
        </w:rPr>
        <w:t>{{ bailleur.</w:t>
      </w:r>
      <w:r>
        <w:rPr>
          <w:rFonts w:cs="TimesNewRomanPSMT" w:ascii="TimesNewRomanPSMT" w:hAnsi="TimesNewRomanPSMT"/>
          <w:lang w:val="fr-FR"/>
        </w:rPr>
        <w:t>signataire</w:t>
      </w:r>
      <w:r>
        <w:rPr>
          <w:rFonts w:cs="TimesNewRomanPSMT" w:ascii="TimesNewRomanPSMT" w:hAnsi="TimesNewRomanPSMT"/>
        </w:rPr>
        <w:t>_fonction }} (</w:t>
      </w:r>
      <w:r>
        <w:rPr>
          <w:rFonts w:cs="TimesNewRomanPSMT" w:ascii="TimesNewRomanPSMT" w:hAnsi="TimesNewRomanPSMT"/>
          <w:lang w:val="fr-FR"/>
        </w:rPr>
        <w:t>4</w:t>
      </w:r>
      <w:r>
        <w:rPr>
          <w:rFonts w:cs="TimesNewRomanPSMT" w:ascii="TimesNewRomanPSMT" w:hAnsi="TimesNewRomanPSMT"/>
        </w:rPr>
        <w:t xml:space="preserve">) agissant en vertu de la délibération du Conseil d’Administration en date du </w:t>
      </w:r>
      <w:bookmarkStart w:id="10" w:name="DateDelib1"/>
      <w:bookmarkEnd w:id="10"/>
      <w:r>
        <w:rPr>
          <w:rFonts w:cs="TimesNewRomanPSMT" w:ascii="TimesNewRomanPSMT" w:hAnsi="TimesNewRomanPSMT"/>
        </w:rPr>
        <w:t>{{ bailleur.</w:t>
      </w:r>
      <w:r>
        <w:rPr>
          <w:rFonts w:cs="TimesNewRomanPSMT" w:ascii="TimesNewRomanPSMT" w:hAnsi="TimesNewRomanPSMT"/>
          <w:lang w:val="fr-FR"/>
        </w:rPr>
        <w:t>signataire</w:t>
      </w:r>
      <w:r>
        <w:rPr>
          <w:rFonts w:cs="TimesNewRomanPSMT" w:ascii="TimesNewRomanPSMT" w:hAnsi="TimesNewRomanPSMT"/>
        </w:rPr>
        <w:t xml:space="preserve">_date_deliberation|d }}, inscrit sous le numéro </w:t>
      </w:r>
      <w:bookmarkStart w:id="11" w:name="Siret1"/>
      <w:bookmarkEnd w:id="11"/>
      <w:r>
        <w:rPr>
          <w:rFonts w:cs="TimesNewRomanPSMT" w:ascii="TimesNewRomanPSMT" w:hAnsi="TimesNewRomanPSMT"/>
        </w:rPr>
        <w:t xml:space="preserve">{{ bailleur.siret }}{% if bailleur.capital_social %}, au capital de </w:t>
      </w:r>
      <w:bookmarkStart w:id="12" w:name="Capital1"/>
      <w:bookmarkEnd w:id="12"/>
      <w:r>
        <w:rPr>
          <w:rFonts w:cs="TimesNewRomanPSMT" w:ascii="TimesNewRomanPSMT" w:hAnsi="TimesNewRomanPSMT"/>
        </w:rPr>
        <w:t>{{ bailleur.capital_social</w:t>
      </w:r>
      <w:r>
        <w:rPr>
          <w:rFonts w:cs="TimesNewRomanPSMT" w:ascii="TimesNewRomanPSMT" w:hAnsi="TimesNewRomanPSMT"/>
          <w:lang w:val="fr-FR"/>
        </w:rPr>
        <w:t>|f</w:t>
      </w:r>
      <w:r>
        <w:rPr>
          <w:rFonts w:cs="TimesNewRomanPSMT" w:ascii="TimesNewRomanPSMT" w:hAnsi="TimesNewRomanPSMT"/>
        </w:rPr>
        <w:t xml:space="preserve"> }} </w:t>
      </w:r>
      <w:r>
        <w:rPr>
          <w:rFonts w:cs="TimesNewRomanPSMT" w:ascii="TimesNewRomanPSMT" w:hAnsi="TimesNewRomanPSMT"/>
          <w:lang w:val="fr-FR"/>
        </w:rPr>
        <w:t xml:space="preserve">€ </w:t>
      </w:r>
      <w:r>
        <w:rPr>
          <w:rFonts w:cs="TimesNewRomanPSMT" w:ascii="TimesNewRomanPSMT" w:hAnsi="TimesNewRomanPSMT"/>
        </w:rPr>
        <w:t xml:space="preserve">{% endif %} dont le siège est </w:t>
      </w:r>
      <w:bookmarkStart w:id="13" w:name="Siege1"/>
      <w:bookmarkEnd w:id="13"/>
      <w:r>
        <w:rPr>
          <w:rFonts w:cs="TimesNewRomanPSMT" w:ascii="TimesNewRomanPSMT" w:hAnsi="TimesNewRomanPSMT"/>
        </w:rPr>
        <w:t xml:space="preserve">{{ bailleur.adresse </w:t>
      </w:r>
      <w:r>
        <w:rPr>
          <w:rFonts w:cs="TimesNewRomanPSMT" w:ascii="TimesNewRomanPSMT" w:hAnsi="TimesNewRomanPSMT"/>
          <w:lang w:val="fr-FR"/>
        </w:rPr>
        <w:t>}}</w:t>
      </w:r>
      <w:r>
        <w:rPr>
          <w:rFonts w:cs="TimesNewRomanPSMT" w:ascii="TimesNewRomanPSMT" w:hAnsi="TimesNewRomanPSMT"/>
        </w:rPr>
        <w:t xml:space="preserve">, </w:t>
      </w:r>
      <w:r>
        <w:rPr>
          <w:rFonts w:cs="TimesNewRomanPSMT" w:ascii="TimesNewRomanPSMT" w:hAnsi="TimesNewRomanPSMT"/>
          <w:lang w:val="fr-FR"/>
        </w:rPr>
        <w:t xml:space="preserve">{{ </w:t>
      </w:r>
      <w:r>
        <w:rPr>
          <w:rFonts w:cs="TimesNewRomanPSMT" w:ascii="TimesNewRomanPSMT" w:hAnsi="TimesNewRomanPSMT"/>
        </w:rPr>
        <w:t>bailleur.code_postal</w:t>
      </w:r>
      <w:r>
        <w:rPr>
          <w:rFonts w:cs="TimesNewRomanPSMT" w:ascii="TimesNewRomanPSMT" w:hAnsi="TimesNewRomanPSMT"/>
          <w:lang w:val="fr-FR"/>
        </w:rPr>
        <w:t xml:space="preserve"> }} {{ </w:t>
      </w:r>
      <w:r>
        <w:rPr>
          <w:rFonts w:cs="TimesNewRomanPSMT" w:ascii="TimesNewRomanPSMT" w:hAnsi="TimesNewRomanPSMT"/>
        </w:rPr>
        <w:t>bailleur.ville }} dénommé (e) ci-après, le bailleur,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d'autre part,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sont convenus de ce qui suit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BoldMT" w:ascii="TimesNewRomanPS-BoldMT" w:hAnsi="TimesNewRomanPS-BoldMT"/>
          <w:b/>
        </w:rPr>
        <w:t>I.-Dispositions générales.</w:t>
      </w:r>
    </w:p>
    <w:p>
      <w:pPr>
        <w:pStyle w:val="Normal"/>
        <w:jc w:val="both"/>
        <w:rPr>
          <w:rFonts w:ascii="TimesNewRomanPS-BoldMT" w:hAnsi="TimesNewRomanPS-BoldMT" w:cs="TimesNewRomanPS-BoldMT"/>
          <w:b/>
          <w:b/>
        </w:rPr>
      </w:pPr>
      <w:r>
        <w:rPr>
          <w:rFonts w:cs="TimesNewRomanPS-BoldMT" w:ascii="TimesNewRomanPS-BoldMT" w:hAnsi="TimesNewRomanPS-BoldMT"/>
          <w:b/>
        </w:rPr>
      </w:r>
    </w:p>
    <w:p>
      <w:pPr>
        <w:pStyle w:val="Normal"/>
        <w:jc w:val="both"/>
        <w:rPr/>
      </w:pPr>
      <w:r>
        <w:rPr>
          <w:rFonts w:cs="TimesNewRomanPSMT" w:ascii="TimesNewRomanPSMT" w:hAnsi="TimesNewRomanPSMT"/>
        </w:rPr>
        <w:t>Article 1er.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i/>
          <w:iCs/>
        </w:rPr>
        <w:t>Objet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Web"/>
        <w:jc w:val="both"/>
        <w:rPr>
          <w:rFonts w:ascii="Times New Roman" w:hAnsi="Times New Roman" w:eastAsia="Times New Roman" w:cs="Times New Roman"/>
          <w:lang w:val="en-FR" w:eastAsia="en-GB"/>
        </w:rPr>
      </w:pPr>
      <w:r>
        <w:rPr>
          <w:rFonts w:cs="TimesNewRomanPSMT" w:ascii="TimesNewRomanPSMT" w:hAnsi="TimesNewRomanPSMT"/>
        </w:rPr>
        <w:t>La présente convention a pour objet de fixer les droits et les obligations des parties prévus par les articles L. 353-1 à L. 353-21</w:t>
      </w:r>
      <w:r>
        <w:rPr>
          <w:rFonts w:eastAsia="Times New Roman" w:cs="Times New Roman" w:ascii="TimesNewRomanPSMT" w:hAnsi="TimesNewRomanPSMT"/>
          <w:lang w:val="en-FR" w:eastAsia="en-GB"/>
        </w:rPr>
        <w:t>, L. 443-15-2 et L. 481-2</w:t>
      </w:r>
      <w:r>
        <w:rPr>
          <w:rFonts w:cs="TimesNewRomanPSMT" w:ascii="TimesNewRomanPSMT" w:hAnsi="TimesNewRomanPSMT"/>
        </w:rPr>
        <w:t xml:space="preserve"> du code de la construction et de l'habitation pour l'opération de </w:t>
      </w:r>
      <w:bookmarkStart w:id="14" w:name="NomProgramme2"/>
      <w:bookmarkEnd w:id="14"/>
      <w:r>
        <w:rPr>
          <w:rFonts w:cs="TimesNewRomanPSMT" w:ascii="TimesNewRomanPSMT" w:hAnsi="TimesNewRomanPSMT"/>
        </w:rPr>
        <w:t xml:space="preserve">{{ programme.nom }} de </w:t>
      </w:r>
      <w:bookmarkStart w:id="15" w:name="NbLogement2"/>
      <w:bookmarkEnd w:id="15"/>
      <w:r>
        <w:rPr>
          <w:rFonts w:cs="TimesNewRomanPSMT" w:ascii="TimesNewRomanPSMT" w:hAnsi="TimesNewRomanPSMT"/>
        </w:rPr>
        <w:t xml:space="preserve">{{ lot.nb_logements }} logement{{lot.nb_logements|pl }} </w:t>
      </w:r>
      <w:bookmarkStart w:id="16" w:name="Fi2"/>
      <w:bookmarkEnd w:id="16"/>
      <w:r>
        <w:rPr>
          <w:rFonts w:cs="TimesNewRomanPSMT" w:ascii="TimesNewRomanPSMT" w:hAnsi="TimesNewRomanPSMT"/>
        </w:rPr>
        <w:t xml:space="preserve">{{ lot.financement }} à </w:t>
      </w:r>
      <w:bookmarkStart w:id="17" w:name="Adresse2"/>
      <w:bookmarkEnd w:id="17"/>
      <w:r>
        <w:rPr>
          <w:rFonts w:cs="TimesNewRomanPSMT" w:ascii="TimesNewRomanPSMT" w:hAnsi="TimesNewRomanPSMT"/>
        </w:rPr>
        <w:t xml:space="preserve">{{ programme.adresse|inline_text_multiline }} à </w:t>
      </w:r>
      <w:bookmarkStart w:id="18" w:name="CodePostal2"/>
      <w:bookmarkEnd w:id="18"/>
      <w:r>
        <w:rPr>
          <w:rFonts w:cs="TimesNewRomanPSMT" w:ascii="TimesNewRomanPSMT" w:hAnsi="TimesNewRomanPSMT"/>
        </w:rPr>
        <w:t xml:space="preserve">{{ programme.code_postal }}, </w:t>
      </w:r>
      <w:bookmarkStart w:id="19" w:name="Ville2"/>
      <w:bookmarkEnd w:id="19"/>
      <w:r>
        <w:rPr>
          <w:rFonts w:cs="TimesNewRomanPSMT" w:ascii="TimesNewRomanPSMT" w:hAnsi="TimesNewRomanPSMT"/>
        </w:rPr>
        <w:t>{{ programme.ville }} décrite plus précisément dans le document joint à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présente convention ouvre, pendant sa durée, le droit à l'aide personnalisée au logement (APL) dans les conditions définies par le livre VIII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Article 2.</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i/>
          <w:iCs/>
        </w:rPr>
        <w:t>Prise d'effet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présente convention ainsi que ses avenants éventuels prennent effet à la date de leur signature.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Article 3.</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i/>
          <w:iCs/>
        </w:rPr>
        <w:t>Date d'expiration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Elle expire le </w:t>
      </w:r>
      <w:bookmarkStart w:id="20" w:name="DateExpir1"/>
      <w:bookmarkEnd w:id="20"/>
      <w:r>
        <w:rPr>
          <w:rFonts w:cs="TimesNewRomanPSMT" w:ascii="TimesNewRomanPSMT" w:hAnsi="TimesNewRomanPSMT"/>
        </w:rPr>
        <w:t>{{ convention.date_fin_conventionnement|d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 défaut de résiliation expresse notifiée au moins six mois avant cette date, la convention est renouvelée par tacite reconduction par périodes triennales.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4.</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Changement de propriétaire.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présente convention est jointe à l'acte de mutation. Le changement de propriétaire donne lieu à la signature d’un avenant, publié dans les conditions de l’article 25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5.</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Régime des rapports locatifs applicables aux logements conventionnés.</w:t>
      </w:r>
    </w:p>
    <w:p>
      <w:pPr>
        <w:pStyle w:val="Normal"/>
        <w:jc w:val="both"/>
        <w:rPr>
          <w:rFonts w:ascii="TimesNewRomanPSMT" w:hAnsi="TimesNewRomanPSMT" w:cs="TimesNewRomanPSMT"/>
          <w:i/>
          <w:i/>
          <w:iCs/>
        </w:rPr>
      </w:pPr>
      <w:r>
        <w:rPr>
          <w:rFonts w:cs="TimesNewRomanPSMT" w:ascii="TimesNewRomanPSMT" w:hAnsi="TimesNewRomanPSMT"/>
          <w:i/>
          <w:iCs/>
        </w:rPr>
      </w:r>
    </w:p>
    <w:p>
      <w:pPr>
        <w:pStyle w:val="Normal"/>
        <w:jc w:val="both"/>
        <w:rPr/>
      </w:pPr>
      <w:r>
        <w:rPr>
          <w:rFonts w:cs="TimesNewRomanPSMT" w:ascii="TimesNewRomanPSMT" w:hAnsi="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6.</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Aide personnalisée au logement (APL).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bénéfice de l'APL est ouvert ou modifié respectivement à compter de la date d'effet de la convention ou de ses avenants conformément aux articles R. 823-10 à R. 823-14, R. 831-2 et R. 831-3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ascii="TimesNewRomanPS-BoldMT" w:hAnsi="TimesNewRomanPS-BoldMT"/>
          <w:b/>
        </w:rPr>
        <w:t xml:space="preserve">II.-Engagements du bailleur à l'égard de l'Etat relatifs </w:t>
      </w:r>
    </w:p>
    <w:p>
      <w:pPr>
        <w:pStyle w:val="Normal"/>
        <w:jc w:val="center"/>
        <w:rPr/>
      </w:pPr>
      <w:r>
        <w:rPr>
          <w:rFonts w:cs="TimesNewRomanPS-BoldMT" w:ascii="TimesNewRomanPS-BoldMT" w:hAnsi="TimesNewRomanPS-BoldMT"/>
          <w:b/>
        </w:rPr>
        <w:t>aux conditions de location des logements.</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 xml:space="preserve">Article </w:t>
      </w:r>
      <w:r>
        <w:rPr>
          <w:rFonts w:cs="TimesNewRomanPSMT" w:ascii="TimesNewRomanPSMT" w:hAnsi="TimesNewRomanPSMT"/>
          <w:lang w:val="fr-FR"/>
        </w:rPr>
        <w:t>7</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Maintien des logements à usage locatif et conditions d'occupation des logements.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logements faisant l'objet de la présente convention sont maintenus à usage locatif jusqu'à la date fixée pour son expiration, sous réserve des dispositions de l'article L. 443-1</w:t>
      </w:r>
      <w:r>
        <w:rPr>
          <w:rFonts w:cs="TimesNewRomanPSMT" w:ascii="TimesNewRomanPSMT" w:hAnsi="TimesNewRomanPSMT"/>
          <w:lang w:val="fr-FR"/>
        </w:rPr>
        <w:t>5-2</w:t>
      </w:r>
      <w:r>
        <w:rPr>
          <w:rFonts w:cs="TimesNewRomanPSMT" w:ascii="TimesNewRomanPSMT" w:hAnsi="TimesNewRomanPSMT"/>
        </w:rPr>
        <w:t xml:space="preserve">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1°-Conditions de location.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Pr>
          <w:rFonts w:ascii="TimesNewRomanPSMT" w:hAnsi="TimesNewRomanPSMT"/>
        </w:rPr>
        <w:t xml:space="preserve">L. 353-20 et L. 353-21 </w:t>
      </w:r>
      <w:r>
        <w:rPr>
          <w:rFonts w:cs="TimesNewRomanPSMT" w:ascii="TimesNewRomanPSMT" w:hAnsi="TimesNewRomanPSMT"/>
        </w:rPr>
        <w:t>du code de la construction et de l'habitation</w:t>
      </w:r>
      <w:r>
        <w:rPr>
          <w:rFonts w:ascii="TimesNewRomanPSMT" w:hAnsi="TimesNewRomanPSMT"/>
        </w:rPr>
        <w:t>ainsi qu'au profit de personnes ayant passé avec le locataire un contrat conforme à l'article L. 442-1 du code de l'action sociale et des familles.</w:t>
        <w:br/>
      </w:r>
    </w:p>
    <w:p>
      <w:pPr>
        <w:pStyle w:val="Normal"/>
        <w:jc w:val="both"/>
        <w:rPr/>
      </w:pPr>
      <w:r>
        <w:rPr>
          <w:rFonts w:cs="TimesNewRomanPSMT" w:ascii="TimesNewRomanPSMT" w:hAnsi="TimesNewRomanPSMT"/>
        </w:rPr>
        <w:t>2°-Ressources.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3°-Mixité sociale.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Pr>
          <w:rFonts w:cs="TimesNewRomanPSMT" w:ascii="TimesNewRomanPSMT" w:hAnsi="TimesNewRomanPSMT"/>
          <w:b/>
        </w:rPr>
        <w:t xml:space="preserve"> </w:t>
      </w:r>
      <w:bookmarkStart w:id="21" w:name="Mix3091"/>
      <w:bookmarkEnd w:id="21"/>
      <w:r>
        <w:rPr>
          <w:rFonts w:cs="TimesNewRomanPSMT" w:ascii="TimesNewRomanPSMT" w:hAnsi="TimesNewRomanPSMT"/>
          <w:b/>
        </w:rPr>
        <w:t xml:space="preserve">{{ mixPLUSsup10_30pc }} </w:t>
      </w:r>
      <w:r>
        <w:rPr>
          <w:rFonts w:cs="TimesNewRomanPSMT" w:ascii="TimesNewRomanPSMT" w:hAnsi="TimesNewRomanPSMT"/>
        </w:rPr>
        <w:t>(</w:t>
      </w:r>
      <w:r>
        <w:rPr>
          <w:rFonts w:cs="TimesNewRomanPSMT" w:ascii="TimesNewRomanPSMT" w:hAnsi="TimesNewRomanPSMT"/>
          <w:lang w:val="fr-FR"/>
        </w:rPr>
        <w:t>5</w:t>
      </w:r>
      <w:r>
        <w:rPr>
          <w:rFonts w:cs="TimesNewRomanPSMT" w:ascii="TimesNewRomanPSMT" w:hAnsi="TimesNewRomanPSMT"/>
        </w:rPr>
        <w:t>) logement</w:t>
      </w:r>
      <w:r>
        <w:rPr>
          <w:rFonts w:cs="TimesNewRomanPSMT" w:ascii="TimesNewRomanPSMT" w:hAnsi="TimesNewRomanPSMT"/>
          <w:lang w:val="fr-FR"/>
        </w:rPr>
        <w:t>{{</w:t>
      </w:r>
      <w:r>
        <w:rPr>
          <w:rFonts w:cs="TimesNewRomanPSMT" w:ascii="TimesNewRomanPSMT" w:hAnsi="TimesNewRomanPSMT"/>
          <w:bCs/>
        </w:rPr>
        <w:t>mixPLUSsup10_30pc</w:t>
      </w:r>
      <w:r>
        <w:rPr>
          <w:rFonts w:cs="TimesNewRomanPSMT" w:ascii="TimesNewRomanPSMT" w:hAnsi="TimesNewRomanPSMT"/>
          <w:lang w:val="fr-FR"/>
        </w:rPr>
        <w:t>|pl}}</w:t>
      </w:r>
      <w:r>
        <w:rPr>
          <w:rFonts w:cs="TimesNewRomanPSMT" w:ascii="TimesNewRomanPSMT" w:hAnsi="TimesNewRomanPSMT"/>
        </w:rPr>
        <w:t>, doivent être attribués à des ménages dont les ressources n'excèdent pas le plafond fixé au I de l'article D. 331-12 précité pour l'attribution des logements</w:t>
      </w:r>
      <w:r>
        <w:rPr/>
        <w:t xml:space="preserve"> </w:t>
      </w:r>
      <w:r>
        <w:rPr>
          <w:rFonts w:cs="TimesNewRomanPSMT" w:ascii="TimesNewRomanPSMT" w:hAnsi="TimesNewRomanPSMT"/>
        </w:rPr>
        <w:t xml:space="preserve">sociaux. Toutefois, lorsque l'opération ainsi financée comporte moins de 10 logements, au moins 30 % des logements, soit </w:t>
      </w:r>
      <w:bookmarkStart w:id="22" w:name="Mix3092"/>
      <w:bookmarkEnd w:id="22"/>
      <w:r>
        <w:rPr>
          <w:rFonts w:cs="TimesNewRomanPSMT" w:ascii="TimesNewRomanPSMT" w:hAnsi="TimesNewRomanPSMT"/>
          <w:b/>
          <w:bCs/>
        </w:rPr>
        <w:t xml:space="preserve">{{ </w:t>
      </w:r>
      <w:r>
        <w:rPr>
          <w:rFonts w:cs="TimesNewRomanPSMT" w:ascii="TimesNewRomanPSMT" w:hAnsi="TimesNewRomanPSMT"/>
          <w:b/>
        </w:rPr>
        <w:t xml:space="preserve">mixPLUSinf10_30pc </w:t>
      </w:r>
      <w:r>
        <w:rPr>
          <w:rFonts w:cs="TimesNewRomanPSMT" w:ascii="TimesNewRomanPSMT" w:hAnsi="TimesNewRomanPSMT"/>
          <w:b/>
          <w:bCs/>
        </w:rPr>
        <w:t>}}</w:t>
      </w:r>
      <w:r>
        <w:rPr>
          <w:rFonts w:cs="TimesNewRomanPSMT" w:ascii="TimesNewRomanPSMT" w:hAnsi="TimesNewRomanPSMT"/>
        </w:rPr>
        <w:t xml:space="preserve"> logement</w:t>
      </w:r>
      <w:r>
        <w:rPr>
          <w:rFonts w:cs="TimesNewRomanPSMT" w:ascii="TimesNewRomanPSMT" w:hAnsi="TimesNewRomanPSMT"/>
          <w:lang w:val="fr-FR"/>
        </w:rPr>
        <w:t>{{</w:t>
      </w:r>
      <w:r>
        <w:rPr>
          <w:rFonts w:cs="TimesNewRomanPSMT" w:ascii="TimesNewRomanPSMT" w:hAnsi="TimesNewRomanPSMT"/>
          <w:bCs/>
        </w:rPr>
        <w:t>mixPLUS</w:t>
      </w:r>
      <w:r>
        <w:rPr>
          <w:rFonts w:cs="TimesNewRomanPSMT" w:ascii="TimesNewRomanPSMT" w:hAnsi="TimesNewRomanPSMT"/>
          <w:bCs/>
          <w:lang w:val="fr-FR"/>
        </w:rPr>
        <w:t>inf</w:t>
      </w:r>
      <w:r>
        <w:rPr>
          <w:rFonts w:cs="TimesNewRomanPSMT" w:ascii="TimesNewRomanPSMT" w:hAnsi="TimesNewRomanPSMT"/>
          <w:bCs/>
        </w:rPr>
        <w:t>10_30pc</w:t>
      </w:r>
      <w:r>
        <w:rPr>
          <w:rFonts w:cs="TimesNewRomanPSMT" w:ascii="TimesNewRomanPSMT" w:hAnsi="TimesNewRomanPSMT"/>
          <w:lang w:val="fr-FR"/>
        </w:rPr>
        <w:t>|pl }}</w:t>
      </w:r>
      <w:r>
        <w:rPr>
          <w:rFonts w:cs="TimesNewRomanPSMT" w:ascii="TimesNewRomanPSMT" w:hAnsi="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A l'entrée en service de l'immeuble, en sus des 30 % de logements ci-dessus mentionnés, </w:t>
      </w:r>
      <w:r>
        <w:rPr>
          <w:rFonts w:cs="TimesNewRomanPSMT" w:ascii="TimesNewRomanPSMT" w:hAnsi="TimesNewRomanPSMT"/>
          <w:lang w:val="fr-FR"/>
        </w:rPr>
        <w:t>le bailleur</w:t>
      </w:r>
      <w:r>
        <w:rPr>
          <w:rFonts w:cs="TimesNewRomanPSMT" w:ascii="TimesNewRomanPSMT" w:hAnsi="TimesNewRomanPSMT"/>
        </w:rPr>
        <w:t xml:space="preserve"> s'engage, compte tenu de la demande locale, que visent notamment à satisfaire le plan d'action départemental pour le logement et l’hébergement des personnes défavorisées, l'accord collectif départemental signé avec </w:t>
      </w:r>
      <w:r>
        <w:rPr>
          <w:rFonts w:cs="TimesNewRomanPSMT" w:ascii="TimesNewRomanPSMT" w:hAnsi="TimesNewRomanPSMT"/>
          <w:lang w:val="fr-FR"/>
        </w:rPr>
        <w:t>le bailleur</w:t>
      </w:r>
      <w:r>
        <w:rPr>
          <w:rFonts w:cs="TimesNewRomanPSMT" w:ascii="TimesNewRomanPSMT" w:hAnsi="TimesNewRomanPSMT"/>
        </w:rPr>
        <w:t>, les conventions intercommunales d’attribution et les orientations adoptées par les conférences intercommunales du logement, à louer</w:t>
      </w:r>
      <w:r>
        <w:rPr>
          <w:rFonts w:cs="TimesNewRomanPSMT" w:ascii="TimesNewRomanPSMT" w:hAnsi="TimesNewRomanPSMT"/>
          <w:b/>
        </w:rPr>
        <w:t xml:space="preserve"> </w:t>
      </w:r>
      <w:r>
        <w:rPr>
          <w:rFonts w:cs="TimesNewRomanPSMT" w:ascii="TimesNewRomanPSMT" w:hAnsi="TimesNewRomanPSMT"/>
          <w:b/>
          <w:lang w:val="fr-FR"/>
        </w:rPr>
        <w:t>{{ lot.lgts_mixite_sociale_negocies_display() }}</w:t>
      </w:r>
      <w:r>
        <w:rPr>
          <w:rFonts w:cs="TimesNewRomanPSMT" w:ascii="TimesNewRomanPSMT" w:hAnsi="TimesNewRomanPSMT"/>
          <w:b/>
        </w:rPr>
        <w:t xml:space="preserve"> </w:t>
      </w:r>
      <w:r>
        <w:rPr>
          <w:rFonts w:cs="TimesNewRomanPSMT" w:ascii="TimesNewRomanPSMT" w:hAnsi="TimesNewRomanPSMT"/>
        </w:rPr>
        <w:t>(</w:t>
      </w:r>
      <w:r>
        <w:rPr>
          <w:rFonts w:cs="TimesNewRomanPSMT" w:ascii="TimesNewRomanPSMT" w:hAnsi="TimesNewRomanPSMT"/>
          <w:lang w:val="fr-FR"/>
        </w:rPr>
        <w:t>6</w:t>
      </w:r>
      <w:r>
        <w:rPr>
          <w:rFonts w:cs="TimesNewRomanPSMT" w:ascii="TimesNewRomanPSMT" w:hAnsi="TimesNewRomanPSMT"/>
        </w:rPr>
        <w:t xml:space="preserve">) autres logements à des ménages dont les ressources n'excèdent pas le plafond fixé au I de l'article D. 331-12 précité pour l'attribution des logements sociaux. </w:t>
      </w:r>
      <w:r>
        <w:rPr>
          <w:rFonts w:cs="TimesNewRomanPSMT" w:ascii="TimesNewRomanPSMT" w:hAnsi="TimesNewRomanPSMT"/>
          <w:lang w:val="fr-FR"/>
        </w:rPr>
        <w:t>Le bailleur</w:t>
      </w:r>
      <w:r>
        <w:rPr>
          <w:rFonts w:cs="TimesNewRomanPSMT" w:ascii="TimesNewRomanPSMT" w:hAnsi="TimesNewRomanPSMT"/>
        </w:rPr>
        <w:t xml:space="preserve"> s'engage à fournir au préfet un état à la mise en location, permettant de vérifier que cet engagement d'occupation sociale est respecté.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pPr>
        <w:pStyle w:val="Normal"/>
        <w:jc w:val="both"/>
        <w:rPr/>
      </w:pPr>
      <w:r>
        <w:rPr>
          <w:rFonts w:cs="TimesNewRomanPSMT" w:ascii="TimesNewRomanPSMT" w:hAnsi="TimesNewRomanPSMT"/>
        </w:rPr>
        <w:t xml:space="preserve">D. 331-12 précité pour l'attribution des logements sociaux, jusqu'à ce que </w:t>
      </w:r>
      <w:r>
        <w:rPr>
          <w:rFonts w:cs="TimesNewRomanPSMT" w:ascii="TimesNewRomanPSMT" w:hAnsi="TimesNewRomanPSMT"/>
          <w:lang w:val="fr-FR"/>
        </w:rPr>
        <w:t>le bailleur</w:t>
      </w:r>
      <w:r>
        <w:rPr>
          <w:rFonts w:cs="TimesNewRomanPSMT" w:ascii="TimesNewRomanPSMT" w:hAnsi="TimesNewRomanPSMT"/>
        </w:rPr>
        <w:t xml:space="preserve"> établisse que l'engagement est respecté à nouveau.</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logements, soit</w:t>
      </w:r>
      <w:r>
        <w:rPr>
          <w:rFonts w:cs="TimesNewRomanPSMT" w:ascii="TimesNewRomanPSMT" w:hAnsi="TimesNewRomanPSMT"/>
          <w:b/>
        </w:rPr>
        <w:t xml:space="preserve"> </w:t>
      </w:r>
      <w:bookmarkStart w:id="23" w:name="Mix1091"/>
      <w:bookmarkEnd w:id="23"/>
      <w:r>
        <w:rPr>
          <w:rFonts w:cs="TimesNewRomanPSMT" w:ascii="TimesNewRomanPSMT" w:hAnsi="TimesNewRomanPSMT"/>
          <w:b/>
        </w:rPr>
        <w:t xml:space="preserve">{{ mixPLUSinf10_10pc }} </w:t>
      </w:r>
      <w:r>
        <w:rPr>
          <w:rFonts w:cs="TimesNewRomanPSMT" w:ascii="TimesNewRomanPSMT" w:hAnsi="TimesNewRomanPSMT"/>
        </w:rPr>
        <w:t>logement</w:t>
      </w:r>
      <w:r>
        <w:rPr>
          <w:rFonts w:cs="TimesNewRomanPSMT" w:ascii="TimesNewRomanPSMT" w:hAnsi="TimesNewRomanPSMT"/>
          <w:lang w:val="fr-FR"/>
        </w:rPr>
        <w:t>{{</w:t>
      </w:r>
      <w:r>
        <w:rPr>
          <w:rFonts w:cs="TimesNewRomanPSMT" w:ascii="TimesNewRomanPSMT" w:hAnsi="TimesNewRomanPSMT"/>
          <w:bCs/>
        </w:rPr>
        <w:t>mixPLUS</w:t>
      </w:r>
      <w:r>
        <w:rPr>
          <w:rFonts w:cs="TimesNewRomanPSMT" w:ascii="TimesNewRomanPSMT" w:hAnsi="TimesNewRomanPSMT"/>
          <w:bCs/>
          <w:lang w:val="fr-FR"/>
        </w:rPr>
        <w:t>inf</w:t>
      </w:r>
      <w:r>
        <w:rPr>
          <w:rFonts w:cs="TimesNewRomanPSMT" w:ascii="TimesNewRomanPSMT" w:hAnsi="TimesNewRomanPSMT"/>
          <w:bCs/>
        </w:rPr>
        <w:t>10_</w:t>
      </w:r>
      <w:r>
        <w:rPr>
          <w:rFonts w:cs="TimesNewRomanPSMT" w:ascii="TimesNewRomanPSMT" w:hAnsi="TimesNewRomanPSMT"/>
          <w:bCs/>
          <w:lang w:val="fr-FR"/>
        </w:rPr>
        <w:t>1</w:t>
      </w:r>
      <w:r>
        <w:rPr>
          <w:rFonts w:cs="TimesNewRomanPSMT" w:ascii="TimesNewRomanPSMT" w:hAnsi="TimesNewRomanPSMT"/>
          <w:bCs/>
        </w:rPr>
        <w:t>0pc</w:t>
      </w:r>
      <w:r>
        <w:rPr>
          <w:rFonts w:cs="TimesNewRomanPSMT" w:ascii="TimesNewRomanPSMT" w:hAnsi="TimesNewRomanPSMT"/>
          <w:lang w:val="fr-FR"/>
        </w:rPr>
        <w:t>|pl }}</w:t>
      </w:r>
      <w:r>
        <w:rPr>
          <w:rFonts w:cs="TimesNewRomanPSMT" w:ascii="TimesNewRomanPSMT" w:hAnsi="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 xml:space="preserve">Article </w:t>
      </w:r>
      <w:r>
        <w:rPr>
          <w:rFonts w:cs="TimesNewRomanPSMT" w:ascii="TimesNewRomanPSMT" w:hAnsi="TimesNewRomanPSMT"/>
          <w:lang w:val="fr-FR"/>
        </w:rPr>
        <w:t>8</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Montants des loyers maximums et modalités de révision.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montant du loyer maximum mentionné à l'article D. 353-</w:t>
      </w:r>
      <w:r>
        <w:rPr>
          <w:rFonts w:cs="TimesNewRomanPSMT" w:ascii="TimesNewRomanPSMT" w:hAnsi="TimesNewRomanPSMT"/>
          <w:lang w:val="fr-FR"/>
        </w:rPr>
        <w:t>70</w:t>
      </w:r>
      <w:r>
        <w:rPr>
          <w:rFonts w:cs="TimesNewRomanPSMT" w:ascii="TimesNewRomanPSMT" w:hAnsi="TimesNewRomanPSMT"/>
        </w:rPr>
        <w:t xml:space="preserve"> du code de la construction et de l’habitation est fixé à</w:t>
      </w:r>
      <w:r>
        <w:rPr>
          <w:rFonts w:cs="TimesNewRomanPSMT" w:ascii="TimesNewRomanPSMT" w:hAnsi="TimesNewRomanPSMT"/>
          <w:b/>
        </w:rPr>
        <w:t xml:space="preserve"> </w:t>
      </w:r>
      <w:bookmarkStart w:id="24" w:name="Loyer1"/>
      <w:bookmarkEnd w:id="24"/>
      <w:r>
        <w:rPr>
          <w:rFonts w:cs="TimesNewRomanPSMT" w:ascii="TimesNewRomanPSMT" w:hAnsi="TimesNewRomanPSMT"/>
          <w:b/>
        </w:rPr>
        <w:t>{{ loyer_m2</w:t>
      </w:r>
      <w:r>
        <w:rPr>
          <w:rFonts w:cs="TimesNewRomanPSMT" w:ascii="TimesNewRomanPSMT" w:hAnsi="TimesNewRomanPSMT"/>
          <w:b/>
          <w:bCs/>
          <w:lang w:val="fr-FR"/>
        </w:rPr>
        <w:t>|f</w:t>
      </w:r>
      <w:r>
        <w:rPr>
          <w:rFonts w:cs="TimesNewRomanPSMT" w:ascii="TimesNewRomanPSMT" w:hAnsi="TimesNewRomanPSMT"/>
          <w:b/>
        </w:rPr>
        <w:t xml:space="preserve"> }} € le mètre carré par mois.</w:t>
      </w:r>
      <w:r>
        <w:rPr>
          <w:rFonts w:cs="TimesNewRomanPSMT" w:ascii="TimesNewRomanPSMT" w:hAnsi="TimesNewRomanPSMT"/>
        </w:rPr>
        <w:t xml:space="preserve">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Ce montant est majoré de 33 % pour les logements qui ont été attribués dans les conditions du b du 3° de l'article </w:t>
      </w:r>
      <w:r>
        <w:rPr>
          <w:rFonts w:cs="TimesNewRomanPSMT" w:ascii="TimesNewRomanPSMT" w:hAnsi="TimesNewRomanPSMT"/>
          <w:lang w:val="fr-FR"/>
        </w:rPr>
        <w:t>7</w:t>
      </w:r>
      <w:r>
        <w:rPr>
          <w:rFonts w:cs="TimesNewRomanPSMT" w:ascii="TimesNewRomanPSMT" w:hAnsi="TimesNewRomanPSMT"/>
        </w:rPr>
        <w:t xml:space="preserve">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loyers maximums sont révisés chaque année, le 1er janvier, dans les conditions prévues à l’article L. 353-9-2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 xml:space="preserve">Article </w:t>
      </w:r>
      <w:r>
        <w:rPr>
          <w:rFonts w:cs="TimesNewRomanPSMT" w:ascii="TimesNewRomanPSMT" w:hAnsi="TimesNewRomanPSMT"/>
          <w:lang w:val="fr-FR"/>
        </w:rPr>
        <w:t>8</w:t>
      </w:r>
      <w:r>
        <w:rPr>
          <w:rFonts w:cs="TimesNewRomanPSMT" w:ascii="TimesNewRomanPSMT" w:hAnsi="TimesNewRomanPSMT"/>
        </w:rPr>
        <w:t xml:space="preserve"> bis.</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Pr>
          <w:rFonts w:cs="TimesNewRomanPSMT" w:ascii="TimesNewRomanPSMT" w:hAnsi="TimesNewRomanPSMT"/>
          <w:b/>
          <w:bCs/>
          <w:lang w:val="fr-FR"/>
        </w:rPr>
        <w:t>{{ lot.loyer_derogatoire|f }}</w:t>
      </w:r>
      <w:r>
        <w:rPr>
          <w:rFonts w:cs="TimesNewRomanPSMT" w:ascii="TimesNewRomanPSMT" w:hAnsi="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 xml:space="preserve">Article </w:t>
      </w:r>
      <w:r>
        <w:rPr>
          <w:rFonts w:cs="TimesNewRomanPSMT" w:ascii="TimesNewRomanPSMT" w:hAnsi="TimesNewRomanPSMT"/>
          <w:lang w:val="fr-FR"/>
        </w:rPr>
        <w:t>8</w:t>
      </w:r>
      <w:r>
        <w:rPr>
          <w:rFonts w:cs="TimesNewRomanPSMT" w:ascii="TimesNewRomanPSMT" w:hAnsi="TimesNewRomanPSMT"/>
        </w:rPr>
        <w:t xml:space="preserve"> ter.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Conformément à l'arrêté préfectoral prévu au 5° de l'article D. 353-16 du code de la construction et de l'habitation, le loyer maximum peut être majoré dans les conditions de ce même article, sans dépasser ... € par mètre carré et par mois.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Cette majoration de loyer s'applique pendant une durée de ... mois et concerne ... mètres carrés de logements. Le nombre de mètres carrés peut varier de plus ou moins 20 %.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Lorsque la majoration de loyer prévue aux alinéas précédents est appliquée, les stipulations du 3° de l'article 8 de la présente convention ne s'appliquent pas.</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 xml:space="preserve">Article </w:t>
      </w:r>
      <w:r>
        <w:rPr>
          <w:rFonts w:cs="TimesNewRomanPSMT" w:ascii="TimesNewRomanPSMT" w:hAnsi="TimesNewRomanPSMT"/>
          <w:lang w:val="fr-FR"/>
        </w:rPr>
        <w:t>9</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Modalités de fixation et de révision du loyer pratiqué.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loyer pratiqué pour chaque logement conventionné, dont la valeur est fixée au mètre carré, ne peut excéder le loyer maximum défini dans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Dans la limite de ce loyer maximum, le loyer pratiqué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1° est révisé chaque année le 1er janvier en cours de contrat de location, dans les conditions prévues à l’article L. 353-9-3 du code de la construction et de l’habitation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2° peut être réévalué dans les conditions prévues par le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 xml:space="preserve">Article </w:t>
      </w:r>
      <w:r>
        <w:rPr>
          <w:rFonts w:cs="TimesNewRomanPSMT" w:ascii="TimesNewRomanPSMT" w:hAnsi="TimesNewRomanPSMT"/>
          <w:lang w:val="fr-FR"/>
        </w:rPr>
        <w:t>9</w:t>
      </w:r>
      <w:r>
        <w:rPr>
          <w:rFonts w:cs="TimesNewRomanPSMT" w:ascii="TimesNewRomanPSMT" w:hAnsi="TimesNewRomanPSMT"/>
        </w:rPr>
        <w:t xml:space="preserve"> bis.</w:t>
      </w:r>
    </w:p>
    <w:p>
      <w:pPr>
        <w:pStyle w:val="Normal"/>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cs="TimesNewRomanPSMT" w:ascii="TimesNewRomanPSMT" w:hAnsi="TimesNewRomanPSMT"/>
        </w:rPr>
        <w:t>.</w:t>
      </w:r>
    </w:p>
    <w:p>
      <w:pPr>
        <w:pStyle w:val="Normal"/>
        <w:jc w:val="both"/>
        <w:rPr>
          <w:lang w:val="fr-FR"/>
        </w:rPr>
      </w:pPr>
      <w:r>
        <w:rPr>
          <w:lang w:val="fr-FR"/>
        </w:rPr>
      </w:r>
    </w:p>
    <w:p>
      <w:pPr>
        <w:pStyle w:val="Normal"/>
        <w:jc w:val="both"/>
        <w:rPr/>
      </w:pPr>
      <w:r>
        <w:rPr>
          <w:rFonts w:cs="TimesNewRomanPSMT" w:ascii="TimesNewRomanPSMT" w:hAnsi="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Pr>
          <w:lang w:val="fr-FR"/>
        </w:rPr>
        <w:t xml:space="preserve"> </w:t>
      </w:r>
      <w:r>
        <w:rPr>
          <w:rFonts w:cs="TimesNewRomanPSMT" w:ascii="TimesNewRomanPSMT" w:hAnsi="TimesNewRomanPSMT"/>
        </w:rPr>
        <w:t xml:space="preserve">inférieures aux plafonds prévus à l'article D. 331-12 précité pour l'attribution des logements sociaux se verront appliquer, à partir de la réception par </w:t>
      </w:r>
      <w:r>
        <w:rPr>
          <w:rFonts w:cs="TimesNewRomanPSMT" w:ascii="TimesNewRomanPSMT" w:hAnsi="TimesNewRomanPSMT"/>
          <w:lang w:val="fr-FR"/>
        </w:rPr>
        <w:t>le bailleur</w:t>
      </w:r>
      <w:r>
        <w:rPr>
          <w:rFonts w:cs="TimesNewRomanPSMT" w:ascii="TimesNewRomanPSMT" w:hAnsi="TimesNewRomanPSMT"/>
        </w:rPr>
        <w:t xml:space="preserv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w:t>
      </w:r>
      <w:r>
        <w:rPr>
          <w:rFonts w:cs="TimesNewRomanPSMT" w:ascii="TimesNewRomanPSMT" w:hAnsi="TimesNewRomanPSMT"/>
          <w:lang w:val="fr-FR"/>
        </w:rPr>
        <w:t>8</w:t>
      </w:r>
      <w:r>
        <w:rPr>
          <w:rFonts w:cs="TimesNewRomanPSMT" w:ascii="TimesNewRomanPSMT" w:hAnsi="TimesNewRomanPSMT"/>
        </w:rPr>
        <w:t xml:space="preserve"> bis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locataire ou occupant de bonne foi peut également présenter ces justificatifs à tout moment et bénéficier de la même mesure dès le mois qui suit la présentation de ces justificatifs.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w:t>
      </w:r>
      <w:r>
        <w:rPr>
          <w:rFonts w:cs="TimesNewRomanPSMT" w:ascii="TimesNewRomanPSMT" w:hAnsi="TimesNewRomanPSMT"/>
          <w:lang w:val="fr-FR"/>
        </w:rPr>
        <w:t>8</w:t>
      </w:r>
      <w:r>
        <w:rPr>
          <w:rFonts w:cs="TimesNewRomanPSMT" w:ascii="TimesNewRomanPSMT" w:hAnsi="TimesNewRomanPSMT"/>
        </w:rPr>
        <w:t xml:space="preserve"> bis de la présente convention. Il peut être révisé chaque année le 1er janvier dans les conditions prévues à l’article L. 353-9-3 précité.</w:t>
      </w:r>
    </w:p>
    <w:p>
      <w:pPr>
        <w:pStyle w:val="Normal"/>
        <w:jc w:val="both"/>
        <w:rPr/>
      </w:pPr>
      <w:r>
        <w:rPr/>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ascii="TimesNewRomanPS-BoldMT" w:hAnsi="TimesNewRomanPS-BoldMT"/>
          <w:b/>
        </w:rPr>
        <w:t>III.-Engagements du bailleur à l'égard des locataires.</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MT" w:ascii="TimesNewRomanPSMT" w:hAnsi="TimesNewRomanPSMT"/>
        </w:rPr>
        <w:t>Article 1</w:t>
      </w:r>
      <w:r>
        <w:rPr>
          <w:rFonts w:cs="TimesNewRomanPSMT" w:ascii="TimesNewRomanPSMT" w:hAnsi="TimesNewRomanPSMT"/>
          <w:lang w:val="fr-FR"/>
        </w:rPr>
        <w:t>0</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Établissement d'un bail conforme à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w:t>
      </w:r>
      <w:r>
        <w:rPr>
          <w:rFonts w:cs="TimesNewRomanPSMT" w:ascii="TimesNewRomanPSMT" w:hAnsi="TimesNewRomanPSMT"/>
          <w:lang w:val="fr-FR"/>
        </w:rPr>
        <w:t>1</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Travaux.</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xml:space="preserve">Lorsque l'exécution des travaux nécessite l'évacuation temporaire des lieux, </w:t>
      </w:r>
      <w:r>
        <w:rPr>
          <w:rFonts w:cs="TimesNewRomanPSMT" w:ascii="TimesNewRomanPSMT" w:hAnsi="TimesNewRomanPSMT"/>
          <w:lang w:val="fr-FR"/>
        </w:rPr>
        <w:t xml:space="preserve">le </w:t>
      </w:r>
      <w:r>
        <w:rPr>
          <w:rFonts w:cs="TimesNewRomanPSMT" w:ascii="TimesNewRomanPSMT" w:hAnsi="TimesNewRomanPSMT"/>
        </w:rPr>
        <w:t>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pPr>
        <w:pStyle w:val="Normal"/>
        <w:jc w:val="both"/>
        <w:rPr/>
      </w:pPr>
      <w:r>
        <w:rPr/>
      </w:r>
    </w:p>
    <w:p>
      <w:pPr>
        <w:pStyle w:val="Normal"/>
        <w:jc w:val="both"/>
        <w:rPr/>
      </w:pPr>
      <w:r>
        <w:rPr>
          <w:rFonts w:cs="TimesNewRomanPSMT" w:ascii="TimesNewRomanPSMT" w:hAnsi="TimesNewRomanPSMT"/>
        </w:rPr>
        <w:t>- dans le même arrondissement ou les arrondissements limitrophes ou les communes limitrophes de l'arrondissement où se trouve le local, objet de la reprise, si celui-ci est situé dans une commune divisée en arrondissements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dans le même canton ou dans les cantons limitrophes de ce canton inclus dans la même commune ou dans les communes limitrophes de ce canton, si la commune est divisée en cantons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dans les autres cas, sur le territoire de la même commune ou d'une commune limitrophe, sans pouvoir être éloigné de plus de cinq kilomètres.</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w:t>
      </w:r>
      <w:r>
        <w:rPr>
          <w:rFonts w:cs="TimesNewRomanPSMT" w:ascii="TimesNewRomanPSMT" w:hAnsi="TimesNewRomanPSMT"/>
          <w:lang w:val="fr-FR"/>
        </w:rPr>
        <w:t>2</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Information des locataires en cas de changement de propriétaire.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pPr>
        <w:pStyle w:val="Normal"/>
        <w:jc w:val="both"/>
        <w:rPr/>
      </w:pPr>
      <w:r>
        <w:rPr>
          <w:rFonts w:cs="TimesNewRomanPSMT" w:ascii="TimesNewRomanPSMT" w:hAnsi="TimesNewRomanPSMT"/>
        </w:rPr>
        <w:t>4 janvier 1955 modifié, par acte extrajudiciaire, lettre recommandée avec demande d'avis de réception ou remise contre décharge dans un délai d'un mois à compter de ladite mutation.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w:t>
      </w:r>
      <w:r>
        <w:rPr>
          <w:rFonts w:cs="TimesNewRomanPSMT" w:ascii="TimesNewRomanPSMT" w:hAnsi="TimesNewRomanPSMT"/>
          <w:lang w:val="fr-FR"/>
        </w:rPr>
        <w:t>3</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Information des locataires en cas de modification ou de résiliation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bailleur informe les locataires de toute modification apportée à la convention ayant des incidences sur leurs relations contractuelles.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w:t>
      </w:r>
      <w:r>
        <w:rPr>
          <w:rFonts w:cs="TimesNewRomanPSMT" w:ascii="TimesNewRomanPSMT" w:hAnsi="TimesNewRomanPSMT"/>
          <w:lang w:val="fr-FR"/>
        </w:rPr>
        <w:t>4</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Maintien dans les lieux et congé donné par le locataire.</w:t>
      </w:r>
    </w:p>
    <w:p>
      <w:pPr>
        <w:pStyle w:val="Normal"/>
        <w:jc w:val="both"/>
        <w:rPr>
          <w:rFonts w:ascii="TimesNewRomanPSMT" w:hAnsi="TimesNewRomanPSMT" w:cs="TimesNewRomanPSMT"/>
        </w:rPr>
      </w:pPr>
      <w:r>
        <w:rPr>
          <w:rFonts w:cs="TimesNewRomanPSMT" w:ascii="TimesNewRomanPSMT" w:hAnsi="TimesNewRomanPSMT"/>
        </w:rPr>
      </w:r>
    </w:p>
    <w:p>
      <w:pPr>
        <w:pStyle w:val="Normal"/>
        <w:spacing w:beforeAutospacing="1" w:afterAutospacing="1"/>
        <w:jc w:val="both"/>
        <w:rPr>
          <w:rFonts w:ascii="TimesNewRomanPSMT" w:hAnsi="TimesNewRomanPSMT"/>
        </w:rPr>
      </w:pPr>
      <w:r>
        <w:rPr>
          <w:rFonts w:ascii="TimesNewRomanPSMT" w:hAnsi="TimesNewRomanPSMT"/>
        </w:rPr>
        <w:t>Le contrat de location est conclu pour une durée de trois ans.</w:t>
        <w:br/>
        <w:br/>
        <w:t>Pendant la durée de la convention, le contrat de location est reconduit tacitement pour des périodes de trois ans, dans la mesure où le locataire se conforme aux obligations de l'article 7 de la loi du 6 juillet 1989 précitée.</w:t>
        <w:br/>
        <w:b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br/>
      </w:r>
    </w:p>
    <w:p>
      <w:pPr>
        <w:pStyle w:val="Normal"/>
        <w:jc w:val="center"/>
        <w:rPr/>
      </w:pPr>
      <w:r>
        <w:rPr>
          <w:rFonts w:cs="TimesNewRomanPSMT" w:ascii="TimesNewRomanPSMT" w:hAnsi="TimesNewRomanPSMT"/>
        </w:rPr>
        <w:t>Article 1</w:t>
      </w:r>
      <w:r>
        <w:rPr>
          <w:rFonts w:cs="TimesNewRomanPSMT" w:ascii="TimesNewRomanPSMT" w:hAnsi="TimesNewRomanPSMT"/>
          <w:lang w:val="fr-FR"/>
        </w:rPr>
        <w:t>5</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Modalités du paiement du loyer.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loyer est payé mensuellement à terme échu.</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cas de retard du locataire dans le paiement du loyer et des charges locatives, le bailleur doit prendre toutes dispositions en vue de recouvrer sa créance.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w:t>
      </w:r>
      <w:r>
        <w:rPr>
          <w:rFonts w:cs="TimesNewRomanPSMT" w:ascii="TimesNewRomanPSMT" w:hAnsi="TimesNewRomanPSMT"/>
          <w:lang w:val="fr-FR"/>
        </w:rPr>
        <w:t>6</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Dépôt de garantie.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dépôt de garantie stipulé le cas échéant par le contrat de location pour garantir l'exécution de ses obligations locatives par le locataire ne peut être supérieur à un mois de loyer en principal.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ascii="TimesNewRomanPS-BoldMT" w:hAnsi="TimesNewRomanPS-BoldMT"/>
          <w:b/>
        </w:rPr>
        <w:t>IV.-Dispositions spécifiques au statut de résidence universitaire.</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MT" w:ascii="TimesNewRomanPSMT" w:hAnsi="TimesNewRomanPSMT"/>
        </w:rPr>
        <w:t>Article 1</w:t>
      </w:r>
      <w:r>
        <w:rPr>
          <w:rFonts w:cs="TimesNewRomanPSMT" w:ascii="TimesNewRomanPSMT" w:hAnsi="TimesNewRomanPSMT"/>
          <w:lang w:val="fr-FR"/>
        </w:rPr>
        <w:t>7</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Régime des rapports locatifs applicables aux logements.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Les stipulations particulières suivantes s’appliquent :</w:t>
      </w:r>
    </w:p>
    <w:p>
      <w:pPr>
        <w:pStyle w:val="Normal"/>
        <w:jc w:val="both"/>
        <w:rPr/>
      </w:pPr>
      <w:r>
        <w:rPr/>
      </w:r>
    </w:p>
    <w:p>
      <w:pPr>
        <w:pStyle w:val="Normal"/>
        <w:jc w:val="both"/>
        <w:rPr/>
      </w:pPr>
      <w:r>
        <w:rPr>
          <w:rFonts w:cs="TimesNewRomanPSMT" w:ascii="TimesNewRomanPSMT" w:hAnsi="TimesNewRomanPSMT"/>
        </w:rPr>
        <w:t>1°- Conditions de location des logements de la résidence universitaire.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logements peuvent également être loués dans les conditions prévues aux quatrième et cinquième alinéas du I de l’article L. 442-8-1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2°- Modalités de fixation et de révision du loyer pratiqué des logements de la résidence universitaire.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loyer pratiqué pour chaque logement est fixé dans la limite du loyer maximum prévu par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Il ne peut donner lieu à révision en cours de bail.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Si le contrat de location est renouvelé dans les conditions prévues au 3° ci-dessous, le loyer peut être réévalué conformément aux dispositions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3°- Durée du contrat et congé donné par le locataire.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4°- Forfait de charges.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Pr>
          <w:lang w:val="fr-FR"/>
        </w:rPr>
        <w:t xml:space="preserve"> </w:t>
      </w:r>
      <w:r>
        <w:rPr>
          <w:rFonts w:cs="TimesNewRomanPSMT" w:ascii="TimesNewRomanPSMT" w:hAnsi="TimesNewRomanPSMT"/>
        </w:rPr>
        <w:t>ne doit pas être</w:t>
      </w:r>
      <w:r>
        <w:rPr>
          <w:rFonts w:cs="TimesNewRomanPSMT" w:ascii="TimesNewRomanPSMT" w:hAnsi="TimesNewRomanPSMT"/>
          <w:lang w:val="fr-FR"/>
        </w:rPr>
        <w:t xml:space="preserve"> </w:t>
      </w:r>
      <w:r>
        <w:rPr>
          <w:rFonts w:cs="TimesNewRomanPSMT" w:ascii="TimesNewRomanPSMT" w:hAnsi="TimesNewRomanPSMT"/>
        </w:rPr>
        <w:t>manifestement disproportionné au regard des charges dont le locataire ou, le cas échéant, le précédent locataire se serait acquitté.</w:t>
      </w:r>
    </w:p>
    <w:p>
      <w:pPr>
        <w:pStyle w:val="Normal"/>
        <w:jc w:val="both"/>
        <w:rPr/>
      </w:pPr>
      <w:r>
        <w:rPr/>
      </w:r>
    </w:p>
    <w:p>
      <w:pPr>
        <w:pStyle w:val="Normal"/>
        <w:jc w:val="both"/>
        <w:rPr/>
      </w:pPr>
      <w:r>
        <w:rPr>
          <w:rFonts w:cs="TimesNewRomanPSMT" w:ascii="TimesNewRomanPSMT" w:hAnsi="TimesNewRomanPSMT"/>
        </w:rPr>
        <w:t>Si le bailleur a opté pour cette modalité de récupération des charges, il indique sur la quittance le montant du forfait.</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w:t>
      </w:r>
      <w:r>
        <w:rPr>
          <w:rFonts w:cs="TimesNewRomanPSMT" w:ascii="TimesNewRomanPSMT" w:hAnsi="TimesNewRomanPSMT"/>
          <w:lang w:val="fr-FR"/>
        </w:rPr>
        <w:t>8</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Renonciation au statut de résidence universitaire.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ascii="TimesNewRomanPS-BoldMT" w:hAnsi="TimesNewRomanPS-BoldMT"/>
          <w:b/>
        </w:rPr>
        <w:t>V.-Engagements du bailleur à l'égard des organismes chargés de la liquidation et du paiement de l'APL.</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MT" w:ascii="TimesNewRomanPSMT" w:hAnsi="TimesNewRomanPSMT"/>
        </w:rPr>
        <w:t xml:space="preserve">Article </w:t>
      </w:r>
      <w:r>
        <w:rPr>
          <w:rFonts w:cs="TimesNewRomanPSMT" w:ascii="TimesNewRomanPSMT" w:hAnsi="TimesNewRomanPSMT"/>
          <w:lang w:val="fr-FR"/>
        </w:rPr>
        <w:t>19</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Obligations générales.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une attestation concernant le montant du loyer applicable à chaque logement concerné par la présente convention, à compter du 1er juillet de l’année en cours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Ces transmissions peuvent s’effectuer grâce à un dispositif de collecte dématérialisé.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3° En outre, il fait part dans un délai maximum d'un mois aux organismes liquidateurs de l'APL des modifications affectant la situation locative du bénéficiaire (notamment colocation, résiliation de bail, décès).</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2</w:t>
      </w:r>
      <w:r>
        <w:rPr>
          <w:rFonts w:cs="TimesNewRomanPSMT" w:ascii="TimesNewRomanPSMT" w:hAnsi="TimesNewRomanPSMT"/>
          <w:lang w:val="fr-FR"/>
        </w:rPr>
        <w:t>0</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Obligations en cas d’impayé.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application des articles L. 824-1</w:t>
      </w:r>
      <w:r>
        <w:rPr>
          <w:rFonts w:cs="TimesNewRomanPSMT" w:ascii="TimesNewRomanPSMT" w:hAnsi="TimesNewRomanPSMT"/>
          <w:lang w:val="fr-FR"/>
        </w:rPr>
        <w:t>, D.823-15</w:t>
      </w:r>
      <w:r>
        <w:rPr>
          <w:rFonts w:cs="TimesNewRomanPSMT" w:ascii="TimesNewRomanPSMT" w:hAnsi="TimesNewRomanPSMT"/>
        </w:rPr>
        <w:t xml:space="preserve">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CCAPEX est réputée avoir été régulièrement saisie lorsque le bailleur a préalablement signalé l’impayé à l’organisme payeur des APL selon les modalités définies à l’article R. 824-4 précité.</w:t>
      </w:r>
    </w:p>
    <w:p>
      <w:pPr>
        <w:pStyle w:val="Normal"/>
        <w:jc w:val="both"/>
        <w:rPr/>
      </w:pPr>
      <w:r>
        <w:rPr/>
      </w:r>
    </w:p>
    <w:p>
      <w:pPr>
        <w:pStyle w:val="Normal"/>
        <w:jc w:val="both"/>
        <w:rPr/>
      </w:pPr>
      <w:r>
        <w:rPr/>
      </w:r>
    </w:p>
    <w:p>
      <w:pPr>
        <w:pStyle w:val="Normal"/>
        <w:jc w:val="center"/>
        <w:rPr/>
      </w:pPr>
      <w:r>
        <w:rPr>
          <w:rFonts w:cs="TimesNewRomanPS-BoldMT" w:ascii="TimesNewRomanPS-BoldMT" w:hAnsi="TimesNewRomanPS-BoldMT"/>
          <w:b/>
        </w:rPr>
        <w:t>VI.-Dispositions relatives à l’application de la convention.</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MT" w:ascii="TimesNewRomanPSMT" w:hAnsi="TimesNewRomanPSMT"/>
        </w:rPr>
        <w:t>Article 2</w:t>
      </w:r>
      <w:r>
        <w:rPr>
          <w:rFonts w:cs="TimesNewRomanPSMT" w:ascii="TimesNewRomanPSMT" w:hAnsi="TimesNewRomanPSMT"/>
          <w:lang w:val="fr-FR"/>
        </w:rPr>
        <w:t>1</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Contrôle.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2</w:t>
      </w:r>
      <w:r>
        <w:rPr>
          <w:rFonts w:cs="TimesNewRomanPSMT" w:ascii="TimesNewRomanPSMT" w:hAnsi="TimesNewRomanPSMT"/>
          <w:lang w:val="fr-FR"/>
        </w:rPr>
        <w:t>2</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Révision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présente convention pourra être révisée à la demande de l'une ou l'autre des parties par voie d'avenant.</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2</w:t>
      </w:r>
      <w:r>
        <w:rPr>
          <w:rFonts w:cs="TimesNewRomanPSMT" w:ascii="TimesNewRomanPSMT" w:hAnsi="TimesNewRomanPSMT"/>
          <w:lang w:val="fr-FR"/>
        </w:rPr>
        <w:t>3</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Inexécution de la convention par le bailleur.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2°- En application de l'article L. 353-2 du code de la construction et de l'habitation, des sanctions administratives peuvent être mises en œuvre.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Lorsqu</w:t>
      </w:r>
      <w:r>
        <w:rPr>
          <w:rFonts w:cs="TimesNewRomanPSMT" w:ascii="TimesNewRomanPSMT" w:hAnsi="TimesNewRomanPSMT"/>
          <w:lang w:val="fr-FR"/>
        </w:rPr>
        <w:t xml:space="preserve">e le bailleur </w:t>
      </w:r>
      <w:r>
        <w:rPr>
          <w:rFonts w:cs="TimesNewRomanPSMT" w:ascii="TimesNewRomanPSMT" w:hAnsi="TimesNewRomanPSMT"/>
        </w:rPr>
        <w:t xml:space="preserve">ne respecte pas, pour un ou plusieurs logements, les engagements prévus par la convention, et après que </w:t>
      </w:r>
      <w:r>
        <w:rPr>
          <w:rFonts w:cs="TimesNewRomanPSMT" w:ascii="TimesNewRomanPSMT" w:hAnsi="TimesNewRomanPSMT"/>
          <w:lang w:val="fr-FR"/>
        </w:rPr>
        <w:t>le bailleur</w:t>
      </w:r>
      <w:r>
        <w:rPr>
          <w:rFonts w:cs="TimesNewRomanPSMT" w:ascii="TimesNewRomanPSMT" w:hAnsi="TimesNewRomanPSMT"/>
        </w:rPr>
        <w:t xml:space="preserv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w:t>
      </w:r>
      <w:r>
        <w:rPr>
          <w:rFonts w:cs="TimesNewRomanPSMT" w:ascii="TimesNewRomanPSMT" w:hAnsi="TimesNewRomanPSMT"/>
          <w:lang w:val="fr-FR"/>
        </w:rPr>
        <w:t>le bailleur</w:t>
      </w:r>
      <w:r>
        <w:rPr>
          <w:rFonts w:cs="TimesNewRomanPSMT" w:ascii="TimesNewRomanPSMT" w:hAnsi="TimesNewRomanPSMT"/>
        </w:rPr>
        <w:t xml:space="preserve"> par lettre recommandée avec demande d'avis de réception. </w:t>
      </w:r>
      <w:r>
        <w:rPr>
          <w:rFonts w:cs="TimesNewRomanPSMT" w:ascii="TimesNewRomanPSMT" w:hAnsi="TimesNewRomanPSMT"/>
          <w:lang w:val="fr-FR"/>
        </w:rPr>
        <w:t>Le bailleur</w:t>
      </w:r>
      <w:r>
        <w:rPr>
          <w:rFonts w:cs="TimesNewRomanPSMT" w:ascii="TimesNewRomanPSMT" w:hAnsi="TimesNewRomanPSMT"/>
        </w:rPr>
        <w:t xml:space="preserve"> doit dans un délai de deux mois soit satisfaire à ses obligations, soit formuler ses observations.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Lorsque le préfet écarte ces observations, sa décision doit être motivée.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Dans ce cas, il est fait application des dispositions prévues à l'article L. 353-6 du code de la construction et de l'habitation.</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2</w:t>
      </w:r>
      <w:r>
        <w:rPr>
          <w:rFonts w:cs="TimesNewRomanPSMT" w:ascii="TimesNewRomanPSMT" w:hAnsi="TimesNewRomanPSMT"/>
          <w:lang w:val="fr-FR"/>
        </w:rPr>
        <w:t>4</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Publication.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w:t>
      </w:r>
      <w:r>
        <w:rPr>
          <w:rFonts w:cs="TimesNewRomanPSMT" w:ascii="TimesNewRomanPSMT" w:hAnsi="TimesNewRomanPSMT"/>
          <w:lang w:val="fr-FR"/>
        </w:rPr>
        <w:t>u bailleur</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pPr>
        <w:pStyle w:val="Normal"/>
        <w:jc w:val="both"/>
        <w:rPr/>
      </w:pPr>
      <w:r>
        <w:rPr>
          <w:rFonts w:cs="TimesNewRomanPSMT" w:ascii="TimesNewRomanPSMT" w:hAnsi="TimesNewRomanPSMT"/>
        </w:rPr>
        <w:t>paiement de l'APL une copie de la présente convention, de ses avenants éventuels ainsi que l'état prouvant qu'elle (ou ils) a (ont) bien fait l'objet d'une publication au fichier immobilier (ou d'une inscription au livre foncier).</w:t>
      </w:r>
    </w:p>
    <w:p>
      <w:pPr>
        <w:pStyle w:val="Normal"/>
        <w:jc w:val="both"/>
        <w:rPr>
          <w:rFonts w:ascii="TimesNewRomanPSMT" w:hAnsi="TimesNewRomanPSMT" w:cs="TimesNewRomanPSMT"/>
        </w:rPr>
      </w:pPr>
      <w:r>
        <w:rPr>
          <w:rFonts w:cs="TimesNewRomanPSMT" w:ascii="TimesNewRomanPSMT" w:hAnsi="TimesNewRomanPSMT"/>
        </w:rPr>
      </w:r>
    </w:p>
    <w:p>
      <w:pPr>
        <w:pStyle w:val="Normal"/>
        <w:rPr>
          <w:rFonts w:ascii="TimesNewRomanPSMT" w:hAnsi="TimesNewRomanPSMT" w:cs="TimesNewRomanPSMT"/>
        </w:rPr>
      </w:pPr>
      <w:r>
        <w:rPr/>
        <mc:AlternateContent>
          <mc:Choice Requires="wps">
            <w:drawing>
              <wp:inline distT="0" distB="1905" distL="0" distR="635" wp14:anchorId="38CE4ED7">
                <wp:extent cx="5233035" cy="2717165"/>
                <wp:effectExtent l="0" t="0" r="635" b="1905"/>
                <wp:docPr id="1" name="Forme1"/>
                <a:graphic xmlns:a="http://schemas.openxmlformats.org/drawingml/2006/main">
                  <a:graphicData uri="http://schemas.microsoft.com/office/word/2010/wordprocessingShape">
                    <wps:wsp>
                      <wps:cNvSpPr/>
                      <wps:spPr>
                        <a:xfrm>
                          <a:off x="0" y="0"/>
                          <a:ext cx="5232240" cy="2716560"/>
                        </a:xfrm>
                        <a:prstGeom prst="rect">
                          <a:avLst/>
                        </a:prstGeom>
                        <a:solidFill>
                          <a:schemeClr val="lt1"/>
                        </a:solidFill>
                        <a:ln w="6350">
                          <a:noFill/>
                        </a:ln>
                      </wps:spPr>
                      <wps:style>
                        <a:lnRef idx="0"/>
                        <a:fillRef idx="0"/>
                        <a:effectRef idx="0"/>
                        <a:fontRef idx="minor"/>
                      </wps:style>
                      <wps:txbx>
                        <w:txbxContent>
                          <w:p>
                            <w:pPr>
                              <w:pStyle w:val="Contenudecadre"/>
                              <w:jc w:val="both"/>
                              <w:rPr>
                                <w:color w:val="000000"/>
                              </w:rPr>
                            </w:pPr>
                            <w:r>
                              <w:rPr>
                                <w:rFonts w:cs="TimesNewRomanPSMT" w:ascii="TimesNewRomanPSMT" w:hAnsi="TimesNewRomanPSMT"/>
                                <w:color w:val="000000"/>
                              </w:rPr>
                              <w:t xml:space="preserve">Fait en </w:t>
                            </w:r>
                            <w:r>
                              <w:rPr>
                                <w:rFonts w:cs="TimesNewRomanPSMT" w:ascii="TimesNewRomanPSMT" w:hAnsi="TimesNewRomanPSMT"/>
                                <w:color w:val="000000"/>
                                <w:lang w:val="fr-FR"/>
                              </w:rPr>
                              <w:t>trois</w:t>
                            </w:r>
                            <w:r>
                              <w:rPr>
                                <w:rFonts w:cs="TimesNewRomanPSMT" w:ascii="TimesNewRomanPSMT" w:hAnsi="TimesNewRomanPSMT"/>
                                <w:color w:val="000000"/>
                              </w:rPr>
                              <w:t xml:space="preserve"> originaux à {{administration.</w:t>
                            </w:r>
                            <w:r>
                              <w:rPr>
                                <w:rFonts w:cs="TimesNewRomanPSMT" w:ascii="TimesNewRomanPSMT" w:hAnsi="TimesNewRomanPSMT"/>
                                <w:color w:val="000000"/>
                                <w:lang w:val="fr-FR"/>
                              </w:rPr>
                              <w:t>get_</w:t>
                            </w:r>
                            <w:r>
                              <w:rPr>
                                <w:rFonts w:cs="TimesNewRomanPSMT" w:ascii="TimesNewRomanPSMT" w:hAnsi="TimesNewRomanPSMT"/>
                                <w:color w:val="000000"/>
                              </w:rPr>
                              <w:t>ville_signature</w:t>
                            </w:r>
                            <w:r>
                              <w:rPr>
                                <w:rFonts w:cs="TimesNewRomanPSMT" w:ascii="TimesNewRomanPSMT" w:hAnsi="TimesNewRomanPSMT"/>
                                <w:color w:val="000000"/>
                                <w:lang w:val="fr-FR"/>
                              </w:rPr>
                              <w:t>_or_empty()</w:t>
                            </w:r>
                            <w:r>
                              <w:rPr>
                                <w:rFonts w:cs="TimesNewRomanPSMT" w:ascii="TimesNewRomanPSMT" w:hAnsi="TimesNewRomanPSMT"/>
                                <w:color w:val="000000"/>
                              </w:rPr>
                              <w:t xml:space="preserve"> }}, le</w:t>
                            </w:r>
                          </w:p>
                          <w:p>
                            <w:pPr>
                              <w:pStyle w:val="Contenudecadre"/>
                              <w:jc w:val="both"/>
                              <w:rPr>
                                <w:rFonts w:ascii="TimesNewRomanPSMT" w:hAnsi="TimesNewRomanPSMT" w:cs="TimesNewRomanPSMT"/>
                              </w:rPr>
                            </w:pPr>
                            <w:r>
                              <w:rPr>
                                <w:rFonts w:cs="TimesNewRomanPSMT" w:ascii="TimesNewRomanPSMT" w:hAnsi="TimesNewRomanPSMT"/>
                                <w:color w:val="000000"/>
                              </w:rPr>
                            </w:r>
                          </w:p>
                          <w:p>
                            <w:pPr>
                              <w:pStyle w:val="Contenudecadre"/>
                              <w:jc w:val="both"/>
                              <w:rPr>
                                <w:color w:val="000000"/>
                              </w:rPr>
                            </w:pPr>
                            <w:r>
                              <w:rPr>
                                <w:rFonts w:cs="TimesNewRomanPSMT" w:ascii="TimesNewRomanPSMT" w:hAnsi="TimesNewRomanPSMT"/>
                                <w:color w:val="000000"/>
                              </w:rPr>
                              <w:t>Le bailleur (6),</w:t>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rFonts w:ascii="TimesNewRomanPSMT" w:hAnsi="TimesNewRomanPSMT" w:cs="TimesNewRomanPSMT"/>
                              </w:rPr>
                            </w:pPr>
                            <w:r>
                              <w:rPr>
                                <w:rFonts w:cs="TimesNewRomanPSMT" w:ascii="TimesNewRomanPSMT" w:hAnsi="TimesNewRomanPSMT"/>
                                <w:color w:val="000000"/>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color w:val="000000"/>
                              </w:rPr>
                            </w:r>
                          </w:p>
                          <w:p>
                            <w:pPr>
                              <w:pStyle w:val="Contenudecadre"/>
                              <w:rPr>
                                <w:rFonts w:ascii="TimesNewRomanPSMT" w:hAnsi="TimesNewRomanPSMT" w:cs="TimesNewRomanPSMT"/>
                              </w:rPr>
                            </w:pPr>
                            <w:r>
                              <w:rPr>
                                <w:rFonts w:cs="TimesNewRomanPSMT" w:ascii="TimesNewRomanPSMT" w:hAnsi="TimesNewRomanPSMT"/>
                                <w:color w:val="000000"/>
                              </w:rPr>
                            </w:r>
                          </w:p>
                          <w:p>
                            <w:pPr>
                              <w:pStyle w:val="Contenudecadre"/>
                              <w:rPr>
                                <w:color w:val="000000"/>
                              </w:rPr>
                            </w:pPr>
                            <w:r>
                              <w:rPr>
                                <w:color w:val="000000"/>
                              </w:rPr>
                            </w:r>
                          </w:p>
                          <w:p>
                            <w:pPr>
                              <w:pStyle w:val="Contenudecadre"/>
                              <w:rPr>
                                <w:color w:val="000000"/>
                              </w:rPr>
                            </w:pPr>
                            <w:r>
                              <w:rPr>
                                <w:color w:val="000000"/>
                              </w:rPr>
                            </w:r>
                          </w:p>
                        </w:txbxContent>
                      </wps:txbx>
                      <wps:bodyPr lIns="0" rIns="0" tIns="0" bIns="0" anchor="t">
                        <a:prstTxWarp prst="textNoShape"/>
                        <a:noAutofit/>
                      </wps:bodyPr>
                    </wps:wsp>
                  </a:graphicData>
                </a:graphic>
              </wp:inline>
            </w:drawing>
          </mc:Choice>
          <mc:Fallback>
            <w:pict>
              <v:rect id="shape_0" ID="Forme1" path="m0,0l-2147483645,0l-2147483645,-2147483646l0,-2147483646xe" fillcolor="white" stroked="f" o:allowincell="f" style="position:absolute;margin-left:0pt;margin-top:-214.1pt;width:411.95pt;height:213.85pt;mso-wrap-style:square;v-text-anchor:top;mso-position-vertical:top" wp14:anchorId="38CE4ED7">
                <v:fill o:detectmouseclick="t" type="solid" color2="black"/>
                <v:stroke color="#3465a4" weight="6480" joinstyle="round" endcap="flat"/>
                <v:textbox>
                  <w:txbxContent>
                    <w:p>
                      <w:pPr>
                        <w:pStyle w:val="Contenudecadre"/>
                        <w:jc w:val="both"/>
                        <w:rPr>
                          <w:color w:val="000000"/>
                        </w:rPr>
                      </w:pPr>
                      <w:r>
                        <w:rPr>
                          <w:rFonts w:cs="TimesNewRomanPSMT" w:ascii="TimesNewRomanPSMT" w:hAnsi="TimesNewRomanPSMT"/>
                          <w:color w:val="000000"/>
                        </w:rPr>
                        <w:t xml:space="preserve">Fait en </w:t>
                      </w:r>
                      <w:r>
                        <w:rPr>
                          <w:rFonts w:cs="TimesNewRomanPSMT" w:ascii="TimesNewRomanPSMT" w:hAnsi="TimesNewRomanPSMT"/>
                          <w:color w:val="000000"/>
                          <w:lang w:val="fr-FR"/>
                        </w:rPr>
                        <w:t>trois</w:t>
                      </w:r>
                      <w:r>
                        <w:rPr>
                          <w:rFonts w:cs="TimesNewRomanPSMT" w:ascii="TimesNewRomanPSMT" w:hAnsi="TimesNewRomanPSMT"/>
                          <w:color w:val="000000"/>
                        </w:rPr>
                        <w:t xml:space="preserve"> originaux à {{administration.</w:t>
                      </w:r>
                      <w:r>
                        <w:rPr>
                          <w:rFonts w:cs="TimesNewRomanPSMT" w:ascii="TimesNewRomanPSMT" w:hAnsi="TimesNewRomanPSMT"/>
                          <w:color w:val="000000"/>
                          <w:lang w:val="fr-FR"/>
                        </w:rPr>
                        <w:t>get_</w:t>
                      </w:r>
                      <w:r>
                        <w:rPr>
                          <w:rFonts w:cs="TimesNewRomanPSMT" w:ascii="TimesNewRomanPSMT" w:hAnsi="TimesNewRomanPSMT"/>
                          <w:color w:val="000000"/>
                        </w:rPr>
                        <w:t>ville_signature</w:t>
                      </w:r>
                      <w:r>
                        <w:rPr>
                          <w:rFonts w:cs="TimesNewRomanPSMT" w:ascii="TimesNewRomanPSMT" w:hAnsi="TimesNewRomanPSMT"/>
                          <w:color w:val="000000"/>
                          <w:lang w:val="fr-FR"/>
                        </w:rPr>
                        <w:t>_or_empty()</w:t>
                      </w:r>
                      <w:r>
                        <w:rPr>
                          <w:rFonts w:cs="TimesNewRomanPSMT" w:ascii="TimesNewRomanPSMT" w:hAnsi="TimesNewRomanPSMT"/>
                          <w:color w:val="000000"/>
                        </w:rPr>
                        <w:t xml:space="preserve"> }}, le</w:t>
                      </w:r>
                    </w:p>
                    <w:p>
                      <w:pPr>
                        <w:pStyle w:val="Contenudecadre"/>
                        <w:jc w:val="both"/>
                        <w:rPr>
                          <w:rFonts w:ascii="TimesNewRomanPSMT" w:hAnsi="TimesNewRomanPSMT" w:cs="TimesNewRomanPSMT"/>
                        </w:rPr>
                      </w:pPr>
                      <w:r>
                        <w:rPr>
                          <w:rFonts w:cs="TimesNewRomanPSMT" w:ascii="TimesNewRomanPSMT" w:hAnsi="TimesNewRomanPSMT"/>
                          <w:color w:val="000000"/>
                        </w:rPr>
                      </w:r>
                    </w:p>
                    <w:p>
                      <w:pPr>
                        <w:pStyle w:val="Contenudecadre"/>
                        <w:jc w:val="both"/>
                        <w:rPr>
                          <w:color w:val="000000"/>
                        </w:rPr>
                      </w:pPr>
                      <w:r>
                        <w:rPr>
                          <w:rFonts w:cs="TimesNewRomanPSMT" w:ascii="TimesNewRomanPSMT" w:hAnsi="TimesNewRomanPSMT"/>
                          <w:color w:val="000000"/>
                        </w:rPr>
                        <w:t>Le bailleur (6),</w:t>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rFonts w:ascii="TimesNewRomanPSMT" w:hAnsi="TimesNewRomanPSMT" w:cs="TimesNewRomanPSMT"/>
                        </w:rPr>
                      </w:pPr>
                      <w:r>
                        <w:rPr>
                          <w:rFonts w:cs="TimesNewRomanPSMT" w:ascii="TimesNewRomanPSMT" w:hAnsi="TimesNewRomanPSMT"/>
                          <w:color w:val="000000"/>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color w:val="000000"/>
                        </w:rPr>
                      </w:r>
                    </w:p>
                    <w:p>
                      <w:pPr>
                        <w:pStyle w:val="Contenudecadre"/>
                        <w:rPr>
                          <w:rFonts w:ascii="TimesNewRomanPSMT" w:hAnsi="TimesNewRomanPSMT" w:cs="TimesNewRomanPSMT"/>
                        </w:rPr>
                      </w:pPr>
                      <w:r>
                        <w:rPr>
                          <w:rFonts w:cs="TimesNewRomanPSMT" w:ascii="TimesNewRomanPSMT" w:hAnsi="TimesNewRomanPSMT"/>
                          <w:color w:val="000000"/>
                        </w:rPr>
                      </w:r>
                    </w:p>
                    <w:p>
                      <w:pPr>
                        <w:pStyle w:val="Contenudecadre"/>
                        <w:rPr>
                          <w:color w:val="000000"/>
                        </w:rPr>
                      </w:pPr>
                      <w:r>
                        <w:rPr>
                          <w:color w:val="000000"/>
                        </w:rPr>
                      </w:r>
                    </w:p>
                    <w:p>
                      <w:pPr>
                        <w:pStyle w:val="Contenudecadre"/>
                        <w:rPr>
                          <w:color w:val="000000"/>
                        </w:rPr>
                      </w:pPr>
                      <w:r>
                        <w:rPr>
                          <w:color w:val="000000"/>
                        </w:rPr>
                      </w:r>
                    </w:p>
                  </w:txbxContent>
                </v:textbox>
                <w10:wrap type="square"/>
              </v:rect>
            </w:pict>
          </mc:Fallback>
        </mc:AlternateContent>
      </w:r>
      <w:r>
        <w:br w:type="page"/>
      </w:r>
    </w:p>
    <w:p>
      <w:pPr>
        <w:pStyle w:val="Normal"/>
        <w:jc w:val="center"/>
        <w:rPr/>
      </w:pPr>
      <w:r>
        <w:rPr>
          <w:rFonts w:cs="TimesNewRomanPS-BoldMT" w:ascii="TimesNewRomanPS-BoldMT" w:hAnsi="TimesNewRomanPS-BoldMT"/>
          <w:b/>
        </w:rPr>
        <w:t>Document prévu par l'article 1er de</w:t>
      </w:r>
      <w:r>
        <w:rPr>
          <w:rFonts w:cs="TimesNewRomanPS-BoldMT" w:ascii="TimesNewRomanPS-BoldMT" w:hAnsi="TimesNewRomanPS-BoldMT"/>
          <w:b/>
          <w:lang w:val="fr-FR"/>
        </w:rPr>
        <w:t xml:space="preserve"> l’</w:t>
      </w:r>
      <w:r>
        <w:rPr>
          <w:rFonts w:cs="TimesNewRomanPS-BoldMT" w:ascii="TimesNewRomanPS-BoldMT" w:hAnsi="TimesNewRomanPS-BoldMT"/>
          <w:b/>
        </w:rPr>
        <w:t>annexes à l'article D. 353-</w:t>
      </w:r>
      <w:r>
        <w:rPr>
          <w:rFonts w:cs="TimesNewRomanPS-BoldMT" w:ascii="TimesNewRomanPS-BoldMT" w:hAnsi="TimesNewRomanPS-BoldMT"/>
          <w:b/>
          <w:lang w:val="fr-FR"/>
        </w:rPr>
        <w:t>59</w:t>
      </w:r>
      <w:r>
        <w:rPr>
          <w:rFonts w:cs="TimesNewRomanPS-BoldMT" w:ascii="TimesNewRomanPS-BoldMT" w:hAnsi="TimesNewRomanPS-BoldMT"/>
          <w:b/>
        </w:rPr>
        <w:t xml:space="preserve"> du code de la construction et de l’habitation lorsque le loyer maximum des logements est exprimé en surface </w:t>
      </w:r>
      <w:r>
        <w:rPr>
          <w:rFonts w:cs="TimesNewRomanPS-BoldMT" w:ascii="TimesNewRomanPS-BoldMT" w:hAnsi="TimesNewRomanPS-BoldMT"/>
          <w:b/>
          <w:lang w:val="fr-FR"/>
        </w:rPr>
        <w:t>utile</w:t>
      </w:r>
      <w:r>
        <w:rPr>
          <w:rFonts w:cs="TimesNewRomanPS-BoldMT" w:ascii="TimesNewRomanPS-BoldMT" w:hAnsi="TimesNewRomanPS-BoldMT"/>
          <w:b/>
        </w:rPr>
        <w:t>.</w:t>
      </w:r>
    </w:p>
    <w:p>
      <w:pPr>
        <w:pStyle w:val="Normal"/>
        <w:jc w:val="both"/>
        <w:rPr>
          <w:rFonts w:ascii="TimesNewRomanPS-BoldMT" w:hAnsi="TimesNewRomanPS-BoldMT" w:cs="TimesNewRomanPS-BoldMT"/>
          <w:b/>
          <w:b/>
        </w:rPr>
      </w:pPr>
      <w:r>
        <w:rPr>
          <w:rFonts w:cs="TimesNewRomanPS-BoldMT" w:ascii="TimesNewRomanPS-BoldMT" w:hAnsi="TimesNewRomanPS-BoldMT"/>
          <w:b/>
        </w:rPr>
      </w:r>
    </w:p>
    <w:p>
      <w:pPr>
        <w:pStyle w:val="Normal"/>
        <w:jc w:val="both"/>
        <w:rPr/>
      </w:pPr>
      <w:r>
        <w:rPr>
          <w:rFonts w:cs="TimesNewRomanPSMT" w:ascii="TimesNewRomanPSMT" w:hAnsi="TimesNewRomanPSMT"/>
        </w:rPr>
        <w:t xml:space="preserve">Description de l'opération </w:t>
      </w:r>
      <w:bookmarkStart w:id="25" w:name="NomProgramme3"/>
      <w:bookmarkEnd w:id="25"/>
      <w:r>
        <w:rPr>
          <w:rFonts w:cs="TimesNewRomanPSMT" w:ascii="TimesNewRomanPSMT" w:hAnsi="TimesNewRomanPSMT"/>
        </w:rPr>
        <w:t xml:space="preserve">{{ programme.nom }}, pour </w:t>
      </w:r>
      <w:bookmarkStart w:id="26" w:name="NbLogement3"/>
      <w:bookmarkEnd w:id="26"/>
      <w:r>
        <w:rPr>
          <w:rFonts w:cs="TimesNewRomanPSMT" w:ascii="TimesNewRomanPSMT" w:hAnsi="TimesNewRomanPSMT"/>
        </w:rPr>
        <w:t xml:space="preserve">{{ lot.nb_logements }} logement{{lot.nb_logements|pl }} </w:t>
      </w:r>
      <w:bookmarkStart w:id="27" w:name="Fi3"/>
      <w:bookmarkEnd w:id="27"/>
      <w:r>
        <w:rPr>
          <w:rFonts w:cs="TimesNewRomanPSMT" w:ascii="TimesNewRomanPSMT" w:hAnsi="TimesNewRomanPSMT"/>
        </w:rPr>
        <w:t xml:space="preserve">{{ lot.financement }}, </w:t>
      </w:r>
      <w:bookmarkStart w:id="28" w:name="Adresse3"/>
      <w:bookmarkEnd w:id="28"/>
      <w:r>
        <w:rPr>
          <w:rFonts w:cs="TimesNewRomanPSMT" w:ascii="TimesNewRomanPSMT" w:hAnsi="TimesNewRomanPSMT"/>
        </w:rPr>
        <w:t xml:space="preserve">{{ programme.adresse|inline_text_multiline }} à </w:t>
      </w:r>
      <w:bookmarkStart w:id="29" w:name="CodePostal3"/>
      <w:bookmarkEnd w:id="29"/>
      <w:r>
        <w:rPr>
          <w:rFonts w:cs="TimesNewRomanPSMT" w:ascii="TimesNewRomanPSMT" w:hAnsi="TimesNewRomanPSMT"/>
        </w:rPr>
        <w:t xml:space="preserve">{{ programme.code_postal }}, </w:t>
      </w:r>
      <w:bookmarkStart w:id="30" w:name="Ville3"/>
      <w:bookmarkEnd w:id="30"/>
      <w:r>
        <w:rPr>
          <w:rFonts w:cs="TimesNewRomanPSMT" w:ascii="TimesNewRomanPSMT" w:hAnsi="TimesNewRomanPSMT"/>
        </w:rPr>
        <w:t>{{ programme.ville }} (3).</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1° Désignation du ou des immeubles (</w:t>
      </w:r>
      <w:r>
        <w:rPr>
          <w:rFonts w:cs="TimesNewRomanPSMT" w:ascii="TimesNewRomanPSMT" w:hAnsi="TimesNewRomanPSMT"/>
          <w:lang w:val="fr-FR"/>
        </w:rPr>
        <w:t>8</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Figurant au cadastre</w:t>
      </w:r>
    </w:p>
    <w:p>
      <w:pPr>
        <w:pStyle w:val="Normal"/>
        <w:jc w:val="both"/>
        <w:rPr>
          <w:rFonts w:ascii="TimesNewRomanPSMT" w:hAnsi="TimesNewRomanPSMT" w:cs="TimesNewRomanPSMT"/>
        </w:rPr>
      </w:pPr>
      <w:bookmarkStart w:id="31" w:name="S3"/>
      <w:bookmarkEnd w:id="31"/>
      <w:r>
        <w:rPr>
          <w:rFonts w:cs="TimesNewRomanPSMT" w:ascii="TimesNewRomanPSMT" w:hAnsi="TimesNewRomanPSMT"/>
        </w:rPr>
        <w:t>{% for image in reference_cadastrale_images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lang w:val="en-US"/>
        </w:rPr>
      </w:pPr>
      <w:r>
        <w:rPr>
          <w:rFonts w:cs="TimesNewRomanPSMT" w:ascii="TimesNewRomanPSMT" w:hAnsi="TimesNewRomanPSMT"/>
          <w:lang w:val="en-US"/>
        </w:rPr>
        <w:t>{% endfor %}</w:t>
      </w:r>
      <w:r>
        <w:rPr>
          <w:rFonts w:cs="TimesNewRomanPSMT" w:ascii="TimesNewRomanPSMT" w:hAnsi="TimesNewRomanPSMT"/>
        </w:rPr>
        <w:t>{% if references_cadastrales|len %}</w:t>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7"/>
        <w:gridCol w:w="2136"/>
        <w:gridCol w:w="2110"/>
        <w:gridCol w:w="2494"/>
      </w:tblGrid>
      <w:tr>
        <w:trPr/>
        <w:tc>
          <w:tcPr>
            <w:tcW w:w="1527" w:type="dxa"/>
            <w:tcBorders/>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Section</w:t>
            </w:r>
          </w:p>
        </w:tc>
        <w:tc>
          <w:tcPr>
            <w:tcW w:w="2136"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Numéro</w:t>
            </w:r>
          </w:p>
        </w:tc>
        <w:tc>
          <w:tcPr>
            <w:tcW w:w="2110"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Lieudit</w:t>
            </w:r>
          </w:p>
        </w:tc>
        <w:tc>
          <w:tcPr>
            <w:tcW w:w="2494"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Surface</w:t>
            </w:r>
          </w:p>
        </w:tc>
      </w:tr>
      <w:tr>
        <w:trPr/>
        <w:tc>
          <w:tcPr>
            <w:tcW w:w="8267" w:type="dxa"/>
            <w:gridSpan w:val="4"/>
            <w:tcBorders/>
          </w:tcPr>
          <w:p>
            <w:pPr>
              <w:pStyle w:val="Normal"/>
              <w:widowControl w:val="false"/>
              <w:suppressAutoHyphens w:val="true"/>
              <w:spacing w:before="0" w:after="0"/>
              <w:jc w:val="both"/>
              <w:rPr>
                <w:sz w:val="16"/>
                <w:szCs w:val="16"/>
                <w:lang w:val="en-US"/>
              </w:rPr>
            </w:pPr>
            <w:r>
              <w:rPr>
                <w:rFonts w:eastAsia="Times New Roman" w:cs="Times New Roman"/>
                <w:b/>
                <w:bCs/>
                <w:kern w:val="0"/>
                <w:sz w:val="16"/>
                <w:szCs w:val="16"/>
                <w:lang w:val="en-US" w:eastAsia="en-GB" w:bidi="ar-SA"/>
              </w:rPr>
              <w:t>{%tr for rc in references_cadastrales %}</w:t>
            </w:r>
          </w:p>
        </w:tc>
      </w:tr>
      <w:tr>
        <w:trPr/>
        <w:tc>
          <w:tcPr>
            <w:tcW w:w="1527"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 rc.section }}</w:t>
            </w:r>
          </w:p>
        </w:tc>
        <w:tc>
          <w:tcPr>
            <w:tcW w:w="2136"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 rc.numero }}</w:t>
            </w:r>
          </w:p>
        </w:tc>
        <w:tc>
          <w:tcPr>
            <w:tcW w:w="2110"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 rc.lieudit }}</w:t>
            </w:r>
          </w:p>
        </w:tc>
        <w:tc>
          <w:tcPr>
            <w:tcW w:w="2494"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 rc.surface }}</w:t>
            </w:r>
          </w:p>
        </w:tc>
      </w:tr>
      <w:tr>
        <w:trPr/>
        <w:tc>
          <w:tcPr>
            <w:tcW w:w="8267" w:type="dxa"/>
            <w:gridSpan w:val="4"/>
            <w:tcBorders/>
          </w:tcPr>
          <w:p>
            <w:pPr>
              <w:pStyle w:val="Normal"/>
              <w:widowControl w:val="false"/>
              <w:suppressAutoHyphens w:val="true"/>
              <w:spacing w:before="0" w:after="0"/>
              <w:jc w:val="both"/>
              <w:rPr>
                <w:sz w:val="16"/>
                <w:szCs w:val="16"/>
                <w:lang w:val="en-US"/>
              </w:rPr>
            </w:pPr>
            <w:r>
              <w:rPr>
                <w:rFonts w:eastAsia="Times New Roman" w:cs="Times New Roman"/>
                <w:b/>
                <w:bCs/>
                <w:kern w:val="0"/>
                <w:sz w:val="16"/>
                <w:szCs w:val="16"/>
                <w:lang w:val="en-US" w:eastAsia="en-GB" w:bidi="ar-SA"/>
              </w:rPr>
              <w:t>{%tr endfor %}</w:t>
            </w:r>
          </w:p>
        </w:tc>
      </w:tr>
    </w:tbl>
    <w:p>
      <w:pPr>
        <w:pStyle w:val="Normal"/>
        <w:jc w:val="both"/>
        <w:rPr>
          <w:rFonts w:ascii="TimesNewRomanPSMT" w:hAnsi="TimesNewRomanPSMT" w:cs="TimesNewRomanPSMT"/>
        </w:rPr>
      </w:pPr>
      <w:r>
        <w:rPr>
          <w:rFonts w:cs="TimesNewRomanPSMT" w:ascii="TimesNewRomanPSMT" w:hAnsi="TimesNewRomanPSMT"/>
        </w:rPr>
        <w:t>{% endif %}</w:t>
      </w:r>
    </w:p>
    <w:p>
      <w:pPr>
        <w:pStyle w:val="Normal"/>
        <w:jc w:val="both"/>
        <w:rPr>
          <w:rFonts w:ascii="TimesNewRomanPSMT" w:hAnsi="TimesNewRomanPSMT" w:cs="TimesNewRomanPSMT"/>
        </w:rPr>
      </w:pPr>
      <w:bookmarkStart w:id="32" w:name="S31"/>
      <w:bookmarkEnd w:id="32"/>
      <w:r>
        <w:rPr>
          <w:rFonts w:cs="TimesNewRomanPSMT" w:ascii="TimesNewRomanPSMT" w:hAnsi="TimesNewRomanPSMT"/>
        </w:rPr>
        <w:t>{% for image in effet_relatif_images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lang w:val="en-US"/>
        </w:rPr>
        <w:t>{% endfor %}</w:t>
      </w:r>
      <w:r>
        <w:rPr>
          <w:rFonts w:cs="TimesNewRomanPSMT" w:ascii="TimesNewRomanPSMT" w:hAnsi="TimesNewRomanPSMT"/>
        </w:rPr>
        <w:t xml:space="preserve">{% if </w:t>
      </w:r>
      <w:r>
        <w:rPr>
          <w:rFonts w:cs="TimesNewRomanPSMT" w:ascii="TimesNewRomanPSMT" w:hAnsi="TimesNewRomanPSMT"/>
          <w:lang w:val="en-US"/>
        </w:rPr>
        <w:t>lot</w:t>
      </w:r>
      <w:r>
        <w:rPr>
          <w:rFonts w:cs="TimesNewRomanPSMT" w:ascii="TimesNewRomanPSMT" w:hAnsi="TimesNewRomanPSMT"/>
        </w:rPr>
        <w:t>.edd_volumetrique_text()|len %}</w:t>
      </w:r>
    </w:p>
    <w:p>
      <w:pPr>
        <w:pStyle w:val="Normal"/>
        <w:jc w:val="both"/>
        <w:rPr>
          <w:rFonts w:ascii="TimesNewRomanPSMT" w:hAnsi="TimesNewRomanPSMT" w:cs="TimesNewRomanPSMT"/>
        </w:rPr>
      </w:pPr>
      <w:r>
        <w:rPr>
          <w:rFonts w:cs="TimesNewRomanPSMT" w:ascii="TimesNewRomanPSMT" w:hAnsi="TimesNewRomanPSMT"/>
        </w:rPr>
        <w:t>{{ lot.edd_volumetrique_text() }}</w:t>
      </w:r>
      <w:bookmarkStart w:id="33" w:name="S4"/>
      <w:bookmarkEnd w:id="33"/>
    </w:p>
    <w:p>
      <w:pPr>
        <w:pStyle w:val="Normal"/>
        <w:jc w:val="both"/>
        <w:rPr>
          <w:rFonts w:ascii="TimesNewRomanPSMT" w:hAnsi="TimesNewRomanPSMT" w:cs="TimesNewRomanPSMT"/>
        </w:rPr>
      </w:pPr>
      <w:r>
        <w:rPr>
          <w:rFonts w:cs="TimesNewRomanPSMT" w:ascii="TimesNewRomanPSMT" w:hAnsi="TimesNewRomanPSMT"/>
        </w:rPr>
        <w:t>{% endif %}{% for image in edd_volumetrique_images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t>{% endfor %}{% if programme.mention_publication_edd_volumetrique %}</w:t>
      </w:r>
    </w:p>
    <w:p>
      <w:pPr>
        <w:pStyle w:val="Normal"/>
        <w:jc w:val="both"/>
        <w:rPr>
          <w:rFonts w:ascii="TimesNewRomanPSMT" w:hAnsi="TimesNewRomanPSMT" w:cs="TimesNewRomanPSMT"/>
        </w:rPr>
      </w:pPr>
      <w:r>
        <w:rPr>
          <w:rFonts w:cs="TimesNewRomanPSMT" w:ascii="TimesNewRomanPSMT" w:hAnsi="TimesNewRomanPSMT"/>
        </w:rPr>
        <w:t>{{ programme.mention_publication_edd_volumetrique }}</w:t>
      </w:r>
    </w:p>
    <w:p>
      <w:pPr>
        <w:pStyle w:val="Normal"/>
        <w:jc w:val="both"/>
        <w:rPr>
          <w:rFonts w:ascii="TimesNewRomanPSMT" w:hAnsi="TimesNewRomanPSMT" w:cs="TimesNewRomanPSMT"/>
        </w:rPr>
      </w:pPr>
      <w:r>
        <w:rPr>
          <w:rFonts w:cs="TimesNewRomanPSMT" w:ascii="TimesNewRomanPSMT" w:hAnsi="TimesNewRomanPSMT"/>
        </w:rPr>
        <w:t>{% endif %}{% if lot.edd_classique_text()|len %}</w:t>
      </w:r>
    </w:p>
    <w:p>
      <w:pPr>
        <w:pStyle w:val="Normal"/>
        <w:jc w:val="both"/>
        <w:rPr>
          <w:rFonts w:ascii="TimesNewRomanPSMT" w:hAnsi="TimesNewRomanPSMT" w:cs="TimesNewRomanPSMT"/>
        </w:rPr>
      </w:pPr>
      <w:r>
        <w:rPr>
          <w:rFonts w:cs="TimesNewRomanPSMT" w:ascii="TimesNewRomanPSMT" w:hAnsi="TimesNewRomanPSMT"/>
        </w:rPr>
        <w:t>{{ lot.edd_classique_text() }}</w:t>
      </w:r>
    </w:p>
    <w:p>
      <w:pPr>
        <w:pStyle w:val="Normal"/>
        <w:jc w:val="both"/>
        <w:rPr>
          <w:rFonts w:ascii="TimesNewRomanPSMT" w:hAnsi="TimesNewRomanPSMT" w:cs="TimesNewRomanPSMT"/>
        </w:rPr>
      </w:pPr>
      <w:r>
        <w:rPr>
          <w:rFonts w:cs="TimesNewRomanPSMT" w:ascii="TimesNewRomanPSMT" w:hAnsi="TimesNewRomanPSMT"/>
        </w:rPr>
        <w:t>{% endif %}{% for image in edd_classique_images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t>{% endfor %}{% if programme.mention_publication_edd_classique %}</w:t>
      </w:r>
    </w:p>
    <w:p>
      <w:pPr>
        <w:pStyle w:val="Normal"/>
        <w:jc w:val="both"/>
        <w:rPr>
          <w:rFonts w:ascii="TimesNewRomanPSMT" w:hAnsi="TimesNewRomanPSMT" w:cs="TimesNewRomanPSMT"/>
        </w:rPr>
      </w:pPr>
      <w:r>
        <w:rPr>
          <w:rFonts w:cs="TimesNewRomanPSMT" w:ascii="TimesNewRomanPSMT" w:hAnsi="TimesNewRomanPSMT"/>
        </w:rPr>
        <w:t>{{ programme.mention_publication_edd_classique }}</w:t>
      </w:r>
    </w:p>
    <w:p>
      <w:pPr>
        <w:pStyle w:val="Normal"/>
        <w:jc w:val="both"/>
        <w:rPr>
          <w:rFonts w:ascii="TimesNewRomanPSMT" w:hAnsi="TimesNewRomanPSMT" w:cs="TimesNewRomanPSMT"/>
        </w:rPr>
      </w:pPr>
      <w:r>
        <w:rPr>
          <w:rFonts w:cs="TimesNewRomanPSMT" w:ascii="TimesNewRomanPSMT" w:hAnsi="TimesNewRomanPSMT"/>
        </w:rPr>
        <w:t>{% endif %}{% if logement_edds|len %}</w:t>
      </w:r>
    </w:p>
    <w:p>
      <w:pPr>
        <w:pStyle w:val="Normal"/>
        <w:jc w:val="both"/>
        <w:rPr>
          <w:b/>
          <w:b/>
          <w:sz w:val="22"/>
          <w:szCs w:val="22"/>
          <w:lang w:eastAsia="fr-FR"/>
        </w:rPr>
      </w:pPr>
      <w:r>
        <w:rPr>
          <w:b/>
          <w:sz w:val="22"/>
          <w:szCs w:val="22"/>
          <w:lang w:eastAsia="fr-FR"/>
        </w:rPr>
        <w:t>Pour les besoins de la publication foncière, il y a lieu d’établir un état descriptif de</w:t>
      </w:r>
    </w:p>
    <w:p>
      <w:pPr>
        <w:pStyle w:val="Normal"/>
        <w:jc w:val="both"/>
        <w:rPr>
          <w:rFonts w:ascii="TimesNewRomanPSMT" w:hAnsi="TimesNewRomanPSMT" w:cs="TimesNewRomanPSMT"/>
          <w:b/>
          <w:b/>
        </w:rPr>
      </w:pPr>
      <w:r>
        <w:rPr>
          <w:b/>
          <w:sz w:val="22"/>
          <w:szCs w:val="22"/>
          <w:lang w:eastAsia="fr-FR"/>
        </w:rPr>
        <w:t>division simplifié afin de désigner les parties objet du conventionnement :</w:t>
      </w:r>
    </w:p>
    <w:p>
      <w:pPr>
        <w:pStyle w:val="Normal"/>
        <w:jc w:val="both"/>
        <w:rPr>
          <w:rFonts w:ascii="TimesNewRomanPSMT" w:hAnsi="TimesNewRomanPSMT" w:cs="TimesNewRomanPSMT"/>
        </w:rPr>
      </w:pPr>
      <w:r>
        <w:rPr>
          <w:rFonts w:cs="TimesNewRomanPSMT" w:ascii="TimesNewRomanPSMT" w:hAnsi="TimesNewRomanPSMT"/>
        </w:rPr>
      </w:r>
      <w:bookmarkStart w:id="34" w:name="S6"/>
      <w:bookmarkStart w:id="35" w:name="S6"/>
      <w:bookmarkEnd w:id="35"/>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7"/>
        <w:gridCol w:w="2136"/>
        <w:gridCol w:w="2110"/>
        <w:gridCol w:w="2494"/>
      </w:tblGrid>
      <w:tr>
        <w:trPr/>
        <w:tc>
          <w:tcPr>
            <w:tcW w:w="1527" w:type="dxa"/>
            <w:tcBorders/>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Numéro du lot</w:t>
            </w:r>
          </w:p>
        </w:tc>
        <w:tc>
          <w:tcPr>
            <w:tcW w:w="2136"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Financement</w:t>
            </w:r>
          </w:p>
        </w:tc>
        <w:tc>
          <w:tcPr>
            <w:tcW w:w="2110"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Désignation</w:t>
            </w:r>
          </w:p>
        </w:tc>
        <w:tc>
          <w:tcPr>
            <w:tcW w:w="2494"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Type</w:t>
            </w:r>
          </w:p>
        </w:tc>
      </w:tr>
      <w:tr>
        <w:trPr/>
        <w:tc>
          <w:tcPr>
            <w:tcW w:w="8267" w:type="dxa"/>
            <w:gridSpan w:val="4"/>
            <w:tcBorders/>
          </w:tcPr>
          <w:p>
            <w:pPr>
              <w:pStyle w:val="Normal"/>
              <w:widowControl w:val="false"/>
              <w:suppressAutoHyphens w:val="true"/>
              <w:spacing w:before="0" w:after="0"/>
              <w:jc w:val="both"/>
              <w:rPr>
                <w:sz w:val="16"/>
                <w:szCs w:val="16"/>
                <w:lang w:val="en-US"/>
              </w:rPr>
            </w:pPr>
            <w:r>
              <w:rPr>
                <w:rFonts w:eastAsia="Times New Roman" w:cs="Times New Roman"/>
                <w:b/>
                <w:bCs/>
                <w:kern w:val="0"/>
                <w:sz w:val="16"/>
                <w:szCs w:val="16"/>
                <w:lang w:val="en-US" w:eastAsia="en-GB" w:bidi="ar-SA"/>
              </w:rPr>
              <w:t>{%tr for i in logement_edds %}</w:t>
            </w:r>
          </w:p>
        </w:tc>
      </w:tr>
      <w:tr>
        <w:trPr/>
        <w:tc>
          <w:tcPr>
            <w:tcW w:w="1527"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{{i.lot_num}}</w:t>
            </w:r>
          </w:p>
        </w:tc>
        <w:tc>
          <w:tcPr>
            <w:tcW w:w="2136"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 i.financement }}</w:t>
            </w:r>
          </w:p>
        </w:tc>
        <w:tc>
          <w:tcPr>
            <w:tcW w:w="2110"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 i.designation }}</w:t>
            </w:r>
          </w:p>
        </w:tc>
        <w:tc>
          <w:tcPr>
            <w:tcW w:w="2494"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 i.typologie}}</w:t>
            </w:r>
          </w:p>
        </w:tc>
      </w:tr>
      <w:tr>
        <w:trPr/>
        <w:tc>
          <w:tcPr>
            <w:tcW w:w="8267" w:type="dxa"/>
            <w:gridSpan w:val="4"/>
            <w:tcBorders/>
          </w:tcPr>
          <w:p>
            <w:pPr>
              <w:pStyle w:val="Normal"/>
              <w:widowControl w:val="false"/>
              <w:suppressAutoHyphens w:val="true"/>
              <w:spacing w:before="0" w:after="0"/>
              <w:jc w:val="both"/>
              <w:rPr>
                <w:sz w:val="16"/>
                <w:szCs w:val="16"/>
                <w:lang w:val="en-US"/>
              </w:rPr>
            </w:pPr>
            <w:r>
              <w:rPr>
                <w:rFonts w:eastAsia="Times New Roman" w:cs="Times New Roman"/>
                <w:b/>
                <w:bCs/>
                <w:kern w:val="0"/>
                <w:sz w:val="16"/>
                <w:szCs w:val="16"/>
                <w:lang w:val="en-US" w:eastAsia="en-GB" w:bidi="ar-SA"/>
              </w:rPr>
              <w:t>{%tr endfor %}</w:t>
            </w:r>
          </w:p>
        </w:tc>
      </w:tr>
    </w:tbl>
    <w:p>
      <w:pPr>
        <w:pStyle w:val="Normal"/>
        <w:jc w:val="both"/>
        <w:rPr>
          <w:rFonts w:ascii="TimesNewRomanPSMT" w:hAnsi="TimesNewRomanPSMT" w:cs="TimesNewRomanPSMT"/>
          <w:lang w:val="en-US"/>
        </w:rPr>
      </w:pPr>
      <w:r>
        <w:rPr>
          <w:rFonts w:cs="TimesNewRomanPSMT" w:ascii="TimesNewRomanPSMT" w:hAnsi="TimesNewRomanPSMT"/>
          <w:lang w:val="en-US"/>
        </w:rPr>
      </w:r>
      <w:bookmarkStart w:id="36" w:name="S7"/>
      <w:bookmarkStart w:id="37" w:name="S7"/>
      <w:bookmarkEnd w:id="37"/>
    </w:p>
    <w:p>
      <w:pPr>
        <w:pStyle w:val="Normal"/>
        <w:jc w:val="both"/>
        <w:rPr>
          <w:rFonts w:ascii="TimesNewRomanPSMT" w:hAnsi="TimesNewRomanPSMT" w:cs="TimesNewRomanPSMT"/>
          <w:b/>
          <w:b/>
        </w:rPr>
      </w:pPr>
      <w:r>
        <w:rPr>
          <w:rFonts w:cs="TimesNewRomanPSMT" w:ascii="TimesNewRomanPSMT" w:hAnsi="TimesNewRomanPSMT"/>
          <w:b/>
        </w:rPr>
        <w:t>La convention porte sur le lot n° {{ lot_num }}</w:t>
      </w:r>
    </w:p>
    <w:p>
      <w:pPr>
        <w:pStyle w:val="Normal"/>
        <w:jc w:val="both"/>
        <w:rPr>
          <w:rFonts w:ascii="TimesNewRomanPSMT" w:hAnsi="TimesNewRomanPSMT" w:cs="TimesNewRomanPSMT"/>
        </w:rPr>
      </w:pPr>
      <w:r>
        <w:rPr>
          <w:rFonts w:cs="TimesNewRomanPSMT" w:ascii="TimesNewRomanPSMT" w:hAnsi="TimesNewRomanPSMT"/>
        </w:rPr>
        <w:t>{% endif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2° Nature de l'opération et financement.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t xml:space="preserve">Programme de </w:t>
      </w:r>
      <w:bookmarkStart w:id="38" w:name="Type2"/>
      <w:bookmarkStart w:id="39" w:name="AutreType"/>
      <w:bookmarkStart w:id="40" w:name="NbLogement4"/>
      <w:bookmarkEnd w:id="38"/>
      <w:bookmarkEnd w:id="39"/>
      <w:bookmarkEnd w:id="40"/>
      <w:r>
        <w:rPr/>
        <w:t>{{ lot.nb_logements }} logement</w:t>
      </w:r>
      <w:r>
        <w:rPr>
          <w:rFonts w:cs="TimesNewRomanPSMT" w:ascii="TimesNewRomanPSMT" w:hAnsi="TimesNewRomanPSMT"/>
        </w:rPr>
        <w:t>{{lot.nb_logements|pl</w:t>
      </w:r>
      <w:r>
        <w:rPr/>
        <w:t xml:space="preserve"> }}{{ lot.get_type_habitat_advanced_display(lot.nb_logements) }}</w:t>
      </w:r>
      <w:bookmarkStart w:id="41" w:name="Fi4"/>
      <w:bookmarkEnd w:id="41"/>
      <w:r>
        <w:rPr/>
        <w:t>{{ programme.get_type_operation_advanced_display()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3° Composition de l'opération.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éléments ci-après sont décrits par immeuble ou ensemble immobilier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A.-Locaux auxquels s'applique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1. Nombre des logements locatifs par type de logements :</w:t>
      </w:r>
    </w:p>
    <w:p>
      <w:pPr>
        <w:pStyle w:val="Normal"/>
        <w:jc w:val="both"/>
        <w:rPr>
          <w:rFonts w:ascii="TimesNewRomanPSMT" w:hAnsi="TimesNewRomanPSMT" w:cs="TimesNewRomanPSMT"/>
        </w:rPr>
      </w:pPr>
      <w:r>
        <w:rPr>
          <w:rFonts w:cs="TimesNewRomanPSMT" w:ascii="TimesNewRomanPSMT" w:hAnsi="TimesNewRomanPSMT"/>
        </w:rPr>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134"/>
        <w:gridCol w:w="4133"/>
      </w:tblGrid>
      <w:tr>
        <w:trPr/>
        <w:tc>
          <w:tcPr>
            <w:tcW w:w="4134" w:type="dxa"/>
            <w:tcBorders/>
          </w:tcPr>
          <w:p>
            <w:pPr>
              <w:pStyle w:val="Normal"/>
              <w:widowControl w:val="false"/>
              <w:suppressAutoHyphens w:val="true"/>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Type de logements</w:t>
            </w:r>
          </w:p>
        </w:tc>
        <w:tc>
          <w:tcPr>
            <w:tcW w:w="4133" w:type="dxa"/>
            <w:tcBorders/>
          </w:tcPr>
          <w:p>
            <w:pPr>
              <w:pStyle w:val="Normal"/>
              <w:widowControl w:val="false"/>
              <w:suppressAutoHyphens w:val="true"/>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Nombre de logements</w:t>
            </w:r>
          </w:p>
        </w:tc>
      </w:tr>
      <w:tr>
        <w:trPr/>
        <w:tc>
          <w:tcPr>
            <w:tcW w:w="8267" w:type="dxa"/>
            <w:gridSpan w:val="2"/>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{%tr for k,v in nb_logements_par_type.items() %}</w:t>
            </w:r>
          </w:p>
        </w:tc>
      </w:tr>
      <w:tr>
        <w:trPr/>
        <w:tc>
          <w:tcPr>
            <w:tcW w:w="4134"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{{k}}</w:t>
            </w:r>
          </w:p>
        </w:tc>
        <w:tc>
          <w:tcPr>
            <w:tcW w:w="4133"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{{v}}</w:t>
            </w:r>
          </w:p>
        </w:tc>
      </w:tr>
      <w:tr>
        <w:trPr/>
        <w:tc>
          <w:tcPr>
            <w:tcW w:w="8267" w:type="dxa"/>
            <w:gridSpan w:val="2"/>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FR" w:eastAsia="en-GB" w:bidi="ar-SA"/>
              </w:rPr>
              <w:t>{%tr endfor %}</w:t>
            </w:r>
          </w:p>
        </w:tc>
      </w:tr>
    </w:tbl>
    <w:p>
      <w:pPr>
        <w:pStyle w:val="Normal"/>
        <w:jc w:val="both"/>
        <w:rPr>
          <w:rFonts w:ascii="TimesNewRomanPSMT" w:hAnsi="TimesNewRomanPSMT" w:cs="TimesNewRomanPSMT"/>
          <w:lang w:val="en-US"/>
        </w:rPr>
      </w:pPr>
      <w:r>
        <w:rPr>
          <w:rFonts w:cs="TimesNewRomanPSMT" w:ascii="TimesNewRomanPSMT" w:hAnsi="TimesNewRomanPSMT"/>
          <w:lang w:val="en-US"/>
        </w:rPr>
      </w:r>
    </w:p>
    <w:p>
      <w:pPr>
        <w:pStyle w:val="Normal"/>
        <w:jc w:val="both"/>
        <w:rPr/>
      </w:pPr>
      <w:r>
        <w:rPr>
          <w:rFonts w:cs="TimesNewRomanPSMT" w:ascii="TimesNewRomanPSMT" w:hAnsi="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Pr>
          <w:rFonts w:cs="TimesNewRomanPSMT" w:ascii="TimesNewRomanPSMT" w:hAnsi="TimesNewRomanPSMT"/>
          <w:lang w:val="fr-FR"/>
        </w:rPr>
        <w:t>7</w:t>
      </w:r>
      <w:r>
        <w:rPr>
          <w:rFonts w:cs="TimesNewRomanPSMT" w:ascii="TimesNewRomanPSMT" w:hAnsi="TimesNewRomanPSMT"/>
        </w:rPr>
        <w:t xml:space="preserve"> de la présente convention)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 nombre de logements prévus au premier alinéa du a du 3° de l'article </w:t>
      </w:r>
      <w:r>
        <w:rPr>
          <w:rFonts w:cs="TimesNewRomanPSMT" w:ascii="TimesNewRomanPSMT" w:hAnsi="TimesNewRomanPSMT"/>
          <w:lang w:val="fr-FR"/>
        </w:rPr>
        <w:t>7</w:t>
      </w:r>
      <w:r>
        <w:rPr>
          <w:rFonts w:cs="TimesNewRomanPSMT" w:ascii="TimesNewRomanPSMT" w:hAnsi="TimesNewRomanPSMT"/>
        </w:rPr>
        <w:t xml:space="preserve"> de la présente convention : </w:t>
      </w:r>
      <w:bookmarkStart w:id="42" w:name="Mix30111"/>
      <w:bookmarkEnd w:id="42"/>
      <w:r>
        <w:rPr>
          <w:rFonts w:cs="TimesNewRomanPSMT" w:ascii="TimesNewRomanPSMT" w:hAnsi="TimesNewRomanPSMT"/>
          <w:b/>
        </w:rPr>
        <w:t>{{ mixPLUS_30pc }}</w:t>
      </w:r>
      <w:r>
        <w:rPr>
          <w:rFonts w:cs="TimesNewRomanPSMT" w:ascii="TimesNewRomanPSMT" w:hAnsi="TimesNewRomanPSMT"/>
        </w:rPr>
        <w:t xml:space="preserve"> logement{{</w:t>
      </w:r>
      <w:r>
        <w:rPr>
          <w:rFonts w:cs="TimesNewRomanPSMT" w:ascii="TimesNewRomanPSMT" w:hAnsi="TimesNewRomanPSMT"/>
          <w:bCs/>
        </w:rPr>
        <w:t>mixPLUS</w:t>
      </w:r>
      <w:r>
        <w:rPr>
          <w:rFonts w:cs="TimesNewRomanPSMT" w:ascii="TimesNewRomanPSMT" w:hAnsi="TimesNewRomanPSMT"/>
          <w:bCs/>
          <w:lang w:val="fr-FR"/>
        </w:rPr>
        <w:t>_</w:t>
      </w:r>
      <w:r>
        <w:rPr>
          <w:rFonts w:cs="TimesNewRomanPSMT" w:ascii="TimesNewRomanPSMT" w:hAnsi="TimesNewRomanPSMT"/>
          <w:bCs/>
        </w:rPr>
        <w:t>30pc</w:t>
      </w:r>
      <w:r>
        <w:rPr>
          <w:rFonts w:cs="TimesNewRomanPSMT" w:ascii="TimesNewRomanPSMT" w:hAnsi="TimesNewRomanPSMT"/>
          <w:lang w:val="fr-FR"/>
        </w:rPr>
        <w:t>|pl</w:t>
      </w:r>
      <w:r>
        <w:rPr/>
        <w:t xml:space="preserve"> }}</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 nombre de logements prévus au deuxième alinéa du a du 3° de l'article </w:t>
      </w:r>
      <w:r>
        <w:rPr>
          <w:rFonts w:cs="TimesNewRomanPSMT" w:ascii="TimesNewRomanPSMT" w:hAnsi="TimesNewRomanPSMT"/>
          <w:lang w:val="fr-FR"/>
        </w:rPr>
        <w:t>7</w:t>
      </w:r>
      <w:r>
        <w:rPr>
          <w:rFonts w:cs="TimesNewRomanPSMT" w:ascii="TimesNewRomanPSMT" w:hAnsi="TimesNewRomanPSMT"/>
        </w:rPr>
        <w:t xml:space="preserve"> de la présente convention : </w:t>
      </w:r>
      <w:bookmarkStart w:id="43" w:name="Mix30112"/>
      <w:bookmarkEnd w:id="43"/>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Pr>
          <w:rFonts w:cs="TimesNewRomanPSMT" w:ascii="TimesNewRomanPSMT" w:hAnsi="TimesNewRomanPSMT"/>
          <w:lang w:val="fr-FR"/>
        </w:rPr>
        <w:t>7</w:t>
      </w:r>
      <w:r>
        <w:rPr>
          <w:rFonts w:cs="TimesNewRomanPSMT" w:ascii="TimesNewRomanPSMT" w:hAnsi="TimesNewRomanPSMT"/>
        </w:rPr>
        <w:t xml:space="preserve"> de la présente convention) : </w:t>
      </w:r>
      <w:bookmarkStart w:id="44" w:name="Mix1092"/>
      <w:bookmarkEnd w:id="44"/>
      <w:r>
        <w:rPr>
          <w:rFonts w:cs="TimesNewRomanPSMT" w:ascii="TimesNewRomanPSMT" w:hAnsi="TimesNewRomanPSMT"/>
          <w:b/>
          <w:bCs/>
        </w:rPr>
        <w:t>{{ mixPLUS_10pc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2. Surface habitable totale (art. R. 111-2 du code de la construction et de l’habitation) : </w:t>
      </w:r>
      <w:bookmarkStart w:id="45" w:name="SH"/>
      <w:bookmarkEnd w:id="45"/>
      <w:r>
        <w:rPr>
          <w:rFonts w:cs="TimesNewRomanPSMT" w:ascii="TimesNewRomanPSMT" w:hAnsi="TimesNewRomanPSMT"/>
        </w:rPr>
        <w:t>{{ sh_totale|f }} m²</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lang w:val="fr-FR"/>
        </w:rPr>
      </w:pPr>
      <w:r>
        <w:rPr>
          <w:rFonts w:cs="TimesNewRomanPSMT" w:ascii="TimesNewRomanPSMT" w:hAnsi="TimesNewRomanPSMT"/>
        </w:rPr>
        <w:t xml:space="preserve">3. Surface totale des annexes entrant dans le calcul de la surface utile (art. D. 353-16 (2°) du code de la construction et de l’habitation) : </w:t>
      </w:r>
      <w:bookmarkStart w:id="46" w:name="SA"/>
      <w:bookmarkEnd w:id="46"/>
      <w:r>
        <w:rPr>
          <w:rFonts w:cs="TimesNewRomanPSMT" w:ascii="TimesNewRomanPSMT" w:hAnsi="TimesNewRomanPSMT"/>
        </w:rPr>
        <w:t>{{ sar_totale</w:t>
      </w:r>
      <w:r>
        <w:rPr>
          <w:rFonts w:cs="TimesNewRomanPSMT" w:ascii="TimesNewRomanPSMT" w:hAnsi="TimesNewRomanPSMT"/>
          <w:lang w:val="fr-FR"/>
        </w:rPr>
        <w:t>|f</w:t>
      </w:r>
      <w:r>
        <w:rPr>
          <w:rFonts w:cs="TimesNewRomanPSMT" w:ascii="TimesNewRomanPSMT" w:hAnsi="TimesNewRomanPSMT"/>
        </w:rPr>
        <w:t xml:space="preserve"> }}</w:t>
      </w:r>
      <w:r>
        <w:rPr>
          <w:rFonts w:cs="TimesNewRomanPSMT" w:ascii="TimesNewRomanPSMT" w:hAnsi="TimesNewRomanPSMT"/>
          <w:lang w:val="fr-FR"/>
        </w:rPr>
        <w:t xml:space="preserve"> </w:t>
      </w:r>
      <w:r>
        <w:rPr>
          <w:rFonts w:cs="TimesNewRomanPSMT" w:ascii="TimesNewRomanPSMT" w:hAnsi="TimesNewRomanPSMT"/>
        </w:rPr>
        <w:t>m²</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3 bis. Liste de ces annexes, conforme à l'arrêté modifié du 9 mai 1995 du ministre du logement pris en application de l'article D. 353-16 précité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lot.annexe_caves %}</w:t>
      </w:r>
    </w:p>
    <w:p>
      <w:pPr>
        <w:pStyle w:val="Normal"/>
        <w:ind w:firstLine="708"/>
        <w:jc w:val="both"/>
        <w:rPr>
          <w:rFonts w:ascii="TimesNewRomanPSMT" w:hAnsi="TimesNewRomanPSMT" w:cs="TimesNewRomanPSMT"/>
          <w:sz w:val="16"/>
          <w:szCs w:val="16"/>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47" w:name="__Fieldmark__3929_2802320518"/>
      <w:bookmarkStart w:id="48" w:name="__Fieldmark__3929_2802320518"/>
      <w:bookmarkEnd w:id="48"/>
      <w:r>
        <w:rPr>
          <w:rFonts w:ascii="TimesNewRomanPSMT" w:hAnsi="TimesNewRomanPSMT"/>
          <w:sz w:val="16"/>
          <w:szCs w:val="16"/>
        </w:rPr>
      </w:r>
      <w:r>
        <w:rPr>
          <w:sz w:val="16"/>
          <w:szCs w:val="16"/>
          <w:rFonts w:ascii="TimesNewRomanPSMT" w:hAnsi="TimesNewRomanPSMT"/>
        </w:rPr>
        <w:fldChar w:fldCharType="end"/>
      </w:r>
      <w:bookmarkStart w:id="49" w:name="__Fieldmark__912_816879668"/>
      <w:bookmarkEnd w:id="49"/>
      <w:r>
        <w:rPr>
          <w:rFonts w:cs="TimesNewRomanPSMT" w:ascii="TimesNewRomanPSMT" w:hAnsi="TimesNewRomanPSMT"/>
        </w:rPr>
        <w:t xml:space="preserve"> Caves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if lot.annexe_soussols %}</w:t>
      </w:r>
    </w:p>
    <w:p>
      <w:pPr>
        <w:pStyle w:val="Normal"/>
        <w:ind w:firstLine="708"/>
        <w:jc w:val="both"/>
        <w:rPr>
          <w:rFonts w:ascii="TimesNewRomanPSMT" w:hAnsi="TimesNewRomanPSMT" w:cs="TimesNewRomanPSMT"/>
          <w:sz w:val="16"/>
          <w:szCs w:val="16"/>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50" w:name="__Fieldmark__3942_2802320518"/>
      <w:bookmarkStart w:id="51" w:name="__Fieldmark__3942_2802320518"/>
      <w:bookmarkEnd w:id="51"/>
      <w:r>
        <w:rPr>
          <w:rFonts w:ascii="TimesNewRomanPSMT" w:hAnsi="TimesNewRomanPSMT"/>
          <w:sz w:val="16"/>
          <w:szCs w:val="16"/>
        </w:rPr>
      </w:r>
      <w:r>
        <w:rPr>
          <w:sz w:val="16"/>
          <w:szCs w:val="16"/>
          <w:rFonts w:ascii="TimesNewRomanPSMT" w:hAnsi="TimesNewRomanPSMT"/>
        </w:rPr>
        <w:fldChar w:fldCharType="end"/>
      </w:r>
      <w:bookmarkStart w:id="52" w:name="__Fieldmark__925_816879668"/>
      <w:bookmarkEnd w:id="52"/>
      <w:r>
        <w:rPr>
          <w:rFonts w:cs="TimesNewRomanPSMT" w:ascii="TimesNewRomanPSMT" w:hAnsi="TimesNewRomanPSMT"/>
        </w:rPr>
        <w:t xml:space="preserve"> Sous-sols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en-US"/>
        </w:rPr>
        <w:t>remises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en-US"/>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53" w:name="__Fieldmark__3959_2802320518"/>
      <w:bookmarkStart w:id="54" w:name="__Fieldmark__3959_2802320518"/>
      <w:bookmarkEnd w:id="54"/>
      <w:r>
        <w:rPr>
          <w:rFonts w:ascii="TimesNewRomanPSMT" w:hAnsi="TimesNewRomanPSMT"/>
          <w:sz w:val="16"/>
          <w:szCs w:val="16"/>
        </w:rPr>
      </w:r>
      <w:r>
        <w:rPr>
          <w:sz w:val="16"/>
          <w:szCs w:val="16"/>
          <w:rFonts w:ascii="TimesNewRomanPSMT" w:hAnsi="TimesNewRomanPSMT"/>
        </w:rPr>
        <w:fldChar w:fldCharType="end"/>
      </w:r>
      <w:bookmarkStart w:id="55" w:name="__Fieldmark__939_816879668"/>
      <w:bookmarkEnd w:id="55"/>
      <w:r>
        <w:rPr>
          <w:rFonts w:cs="TimesNewRomanPSMT" w:ascii="TimesNewRomanPSMT" w:hAnsi="TimesNewRomanPSMT"/>
          <w:sz w:val="16"/>
          <w:szCs w:val="16"/>
        </w:rPr>
        <w:t xml:space="preserve"> </w:t>
      </w:r>
      <w:r>
        <w:rPr>
          <w:rFonts w:cs="TimesNewRomanPSMT" w:ascii="TimesNewRomanPSMT" w:hAnsi="TimesNewRomanPSMT"/>
          <w:lang w:val="en-US"/>
        </w:rPr>
        <w:t>Remise</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lot.annexe_ateliers %}</w:t>
      </w:r>
    </w:p>
    <w:p>
      <w:pPr>
        <w:pStyle w:val="Normal"/>
        <w:ind w:firstLine="708"/>
        <w:jc w:val="both"/>
        <w:rPr>
          <w:rFonts w:ascii="TimesNewRomanPSMT" w:hAnsi="TimesNewRomanPSMT" w:cs="TimesNewRomanPSMT"/>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56" w:name="__Fieldmark__3972_2802320518"/>
      <w:bookmarkStart w:id="57" w:name="__Fieldmark__3972_2802320518"/>
      <w:bookmarkEnd w:id="57"/>
      <w:r>
        <w:rPr>
          <w:rFonts w:ascii="TimesNewRomanPSMT" w:hAnsi="TimesNewRomanPSMT"/>
          <w:sz w:val="16"/>
          <w:szCs w:val="16"/>
        </w:rPr>
      </w:r>
      <w:r>
        <w:rPr>
          <w:sz w:val="16"/>
          <w:szCs w:val="16"/>
          <w:rFonts w:ascii="TimesNewRomanPSMT" w:hAnsi="TimesNewRomanPSMT"/>
        </w:rPr>
        <w:fldChar w:fldCharType="end"/>
      </w:r>
      <w:bookmarkStart w:id="58" w:name="__Fieldmark__952_816879668"/>
      <w:bookmarkEnd w:id="58"/>
      <w:r>
        <w:rPr>
          <w:rFonts w:cs="TimesNewRomanPSMT" w:ascii="TimesNewRomanPSMT" w:hAnsi="TimesNewRomanPSMT"/>
          <w:sz w:val="16"/>
          <w:szCs w:val="16"/>
        </w:rPr>
        <w:t xml:space="preserve"> </w:t>
      </w:r>
      <w:r>
        <w:rPr>
          <w:rFonts w:cs="TimesNewRomanPSMT" w:ascii="TimesNewRomanPSMT" w:hAnsi="TimesNewRomanPSMT"/>
        </w:rPr>
        <w:t>Ateliers</w:t>
      </w:r>
    </w:p>
    <w:p>
      <w:pPr>
        <w:pStyle w:val="Normal"/>
        <w:ind w:firstLine="708"/>
        <w:jc w:val="both"/>
        <w:rPr>
          <w:rFonts w:ascii="TimesNewRomanPSMT" w:hAnsi="TimesNewRomanPSMT" w:cs="TimesNewRomanPSMT"/>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lot.annexe_sechoirs %}</w:t>
      </w:r>
    </w:p>
    <w:p>
      <w:pPr>
        <w:pStyle w:val="Normal"/>
        <w:ind w:firstLine="708"/>
        <w:jc w:val="both"/>
        <w:rPr>
          <w:rFonts w:ascii="TimesNewRomanPSMT" w:hAnsi="TimesNewRomanPSMT" w:cs="TimesNewRomanPSMT"/>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59" w:name="__Fieldmark__3983_2802320518"/>
      <w:bookmarkStart w:id="60" w:name="__Fieldmark__3983_2802320518"/>
      <w:bookmarkEnd w:id="60"/>
      <w:r>
        <w:rPr>
          <w:rFonts w:ascii="TimesNewRomanPSMT" w:hAnsi="TimesNewRomanPSMT"/>
          <w:sz w:val="16"/>
          <w:szCs w:val="16"/>
        </w:rPr>
      </w:r>
      <w:r>
        <w:rPr>
          <w:sz w:val="16"/>
          <w:szCs w:val="16"/>
          <w:rFonts w:ascii="TimesNewRomanPSMT" w:hAnsi="TimesNewRomanPSMT"/>
        </w:rPr>
        <w:fldChar w:fldCharType="end"/>
      </w:r>
      <w:bookmarkStart w:id="61" w:name="__Fieldmark__965_816879668"/>
      <w:bookmarkEnd w:id="61"/>
      <w:r>
        <w:rPr>
          <w:rFonts w:cs="TimesNewRomanPSMT" w:ascii="TimesNewRomanPSMT" w:hAnsi="TimesNewRomanPSMT"/>
          <w:sz w:val="16"/>
          <w:szCs w:val="16"/>
        </w:rPr>
        <w:t xml:space="preserve"> </w:t>
      </w:r>
      <w:r>
        <w:rPr>
          <w:rFonts w:cs="TimesNewRomanPSMT" w:ascii="TimesNewRomanPSMT" w:hAnsi="TimesNewRomanPSMT"/>
        </w:rPr>
        <w:t>Séchoirs</w:t>
      </w:r>
    </w:p>
    <w:p>
      <w:pPr>
        <w:pStyle w:val="Normal"/>
        <w:ind w:firstLine="708"/>
        <w:jc w:val="both"/>
        <w:rPr>
          <w:rFonts w:ascii="TimesNewRomanPSMT" w:hAnsi="TimesNewRomanPSMT" w:cs="TimesNewRomanPSMT"/>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fr-FR"/>
        </w:rPr>
        <w:t>celliers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62" w:name="__Fieldmark__3998_2802320518"/>
      <w:bookmarkStart w:id="63" w:name="__Fieldmark__3998_2802320518"/>
      <w:bookmarkEnd w:id="63"/>
      <w:r>
        <w:rPr>
          <w:rFonts w:ascii="TimesNewRomanPSMT" w:hAnsi="TimesNewRomanPSMT"/>
          <w:sz w:val="16"/>
          <w:szCs w:val="16"/>
        </w:rPr>
      </w:r>
      <w:r>
        <w:rPr>
          <w:sz w:val="16"/>
          <w:szCs w:val="16"/>
          <w:rFonts w:ascii="TimesNewRomanPSMT" w:hAnsi="TimesNewRomanPSMT"/>
        </w:rPr>
        <w:fldChar w:fldCharType="end"/>
      </w:r>
      <w:bookmarkStart w:id="64" w:name="__Fieldmark__978_816879668"/>
      <w:bookmarkEnd w:id="64"/>
      <w:r>
        <w:rPr>
          <w:rFonts w:cs="TimesNewRomanPSMT" w:ascii="TimesNewRomanPSMT" w:hAnsi="TimesNewRomanPSMT"/>
          <w:sz w:val="16"/>
          <w:szCs w:val="16"/>
        </w:rPr>
        <w:t xml:space="preserve"> </w:t>
      </w:r>
      <w:r>
        <w:rPr>
          <w:rFonts w:cs="TimesNewRomanPSMT" w:ascii="TimesNewRomanPSMT" w:hAnsi="TimesNewRomanPSMT"/>
          <w:lang w:val="fr-FR"/>
        </w:rPr>
        <w:t>Celliers extérieurs au logement</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en-US"/>
        </w:rPr>
        <w:t>resserres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65" w:name="__Fieldmark__4015_2802320518"/>
      <w:bookmarkStart w:id="66" w:name="__Fieldmark__4015_2802320518"/>
      <w:bookmarkEnd w:id="66"/>
      <w:r>
        <w:rPr>
          <w:rFonts w:ascii="TimesNewRomanPSMT" w:hAnsi="TimesNewRomanPSMT"/>
          <w:sz w:val="16"/>
          <w:szCs w:val="16"/>
        </w:rPr>
      </w:r>
      <w:r>
        <w:rPr>
          <w:sz w:val="16"/>
          <w:szCs w:val="16"/>
          <w:rFonts w:ascii="TimesNewRomanPSMT" w:hAnsi="TimesNewRomanPSMT"/>
        </w:rPr>
        <w:fldChar w:fldCharType="end"/>
      </w:r>
      <w:bookmarkStart w:id="67" w:name="__Fieldmark__992_816879668"/>
      <w:bookmarkEnd w:id="67"/>
      <w:r>
        <w:rPr>
          <w:rFonts w:cs="TimesNewRomanPSMT" w:ascii="TimesNewRomanPSMT" w:hAnsi="TimesNewRomanPSMT"/>
          <w:sz w:val="16"/>
          <w:szCs w:val="16"/>
        </w:rPr>
        <w:t xml:space="preserve"> </w:t>
      </w:r>
      <w:r>
        <w:rPr>
          <w:rFonts w:cs="TimesNewRomanPSMT" w:ascii="TimesNewRomanPSMT" w:hAnsi="TimesNewRomanPSMT"/>
          <w:lang w:val="fr-FR"/>
        </w:rPr>
        <w:t>Resserres</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if lot.annexe</w:t>
      </w:r>
      <w:r>
        <w:rPr>
          <w:rFonts w:cs="TimesNewRomanPSMT" w:ascii="TimesNewRomanPSMT" w:hAnsi="TimesNewRomanPSMT"/>
          <w:sz w:val="16"/>
          <w:szCs w:val="16"/>
          <w:lang w:val="fr-FR"/>
        </w:rPr>
        <w:t>_combles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68" w:name="__Fieldmark__4032_2802320518"/>
      <w:bookmarkStart w:id="69" w:name="__Fieldmark__4032_2802320518"/>
      <w:bookmarkEnd w:id="69"/>
      <w:r>
        <w:rPr>
          <w:rFonts w:ascii="TimesNewRomanPSMT" w:hAnsi="TimesNewRomanPSMT"/>
          <w:sz w:val="16"/>
          <w:szCs w:val="16"/>
        </w:rPr>
      </w:r>
      <w:r>
        <w:rPr>
          <w:sz w:val="16"/>
          <w:szCs w:val="16"/>
          <w:rFonts w:ascii="TimesNewRomanPSMT" w:hAnsi="TimesNewRomanPSMT"/>
        </w:rPr>
        <w:fldChar w:fldCharType="end"/>
      </w:r>
      <w:bookmarkStart w:id="70" w:name="__Fieldmark__1006_816879668"/>
      <w:bookmarkEnd w:id="70"/>
      <w:r>
        <w:rPr>
          <w:rFonts w:cs="TimesNewRomanPSMT" w:ascii="TimesNewRomanPSMT" w:hAnsi="TimesNewRomanPSMT"/>
          <w:sz w:val="16"/>
          <w:szCs w:val="16"/>
        </w:rPr>
        <w:t xml:space="preserve"> </w:t>
      </w:r>
      <w:r>
        <w:rPr>
          <w:rFonts w:cs="TimesNewRomanPSMT" w:ascii="TimesNewRomanPSMT" w:hAnsi="TimesNewRomanPSMT"/>
          <w:lang w:val="fr-FR"/>
        </w:rPr>
        <w:t>Combles et greniers aménageable</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en-US"/>
        </w:rPr>
        <w:t>balcons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71" w:name="__Fieldmark__4049_2802320518"/>
      <w:bookmarkStart w:id="72" w:name="__Fieldmark__4049_2802320518"/>
      <w:bookmarkEnd w:id="72"/>
      <w:r>
        <w:rPr>
          <w:rFonts w:ascii="TimesNewRomanPSMT" w:hAnsi="TimesNewRomanPSMT"/>
          <w:sz w:val="16"/>
          <w:szCs w:val="16"/>
        </w:rPr>
      </w:r>
      <w:r>
        <w:rPr>
          <w:sz w:val="16"/>
          <w:szCs w:val="16"/>
          <w:rFonts w:ascii="TimesNewRomanPSMT" w:hAnsi="TimesNewRomanPSMT"/>
        </w:rPr>
        <w:fldChar w:fldCharType="end"/>
      </w:r>
      <w:bookmarkStart w:id="73" w:name="__Fieldmark__1019_816879668"/>
      <w:bookmarkEnd w:id="73"/>
      <w:r>
        <w:rPr>
          <w:rFonts w:cs="TimesNewRomanPSMT" w:ascii="TimesNewRomanPSMT" w:hAnsi="TimesNewRomanPSMT"/>
          <w:sz w:val="16"/>
          <w:szCs w:val="16"/>
        </w:rPr>
        <w:t xml:space="preserve"> </w:t>
      </w:r>
      <w:r>
        <w:rPr>
          <w:rFonts w:cs="TimesNewRomanPSMT" w:ascii="TimesNewRomanPSMT" w:hAnsi="TimesNewRomanPSMT"/>
        </w:rPr>
        <w:t>Balcons</w:t>
      </w:r>
    </w:p>
    <w:p>
      <w:pPr>
        <w:pStyle w:val="Normal"/>
        <w:ind w:firstLine="708"/>
        <w:jc w:val="both"/>
        <w:rPr>
          <w:rFonts w:ascii="TimesNewRomanPSMT" w:hAnsi="TimesNewRomanPSMT" w:cs="TimesNewRomanPSMT"/>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lot.annexe_loggias %}</w:t>
      </w:r>
    </w:p>
    <w:p>
      <w:pPr>
        <w:pStyle w:val="Normal"/>
        <w:ind w:firstLine="708"/>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74" w:name="__Fieldmark__4060_2802320518"/>
      <w:bookmarkStart w:id="75" w:name="__Fieldmark__4060_2802320518"/>
      <w:bookmarkEnd w:id="75"/>
      <w:r>
        <w:rPr>
          <w:rFonts w:ascii="TimesNewRomanPSMT" w:hAnsi="TimesNewRomanPSMT"/>
          <w:sz w:val="16"/>
          <w:szCs w:val="16"/>
        </w:rPr>
      </w:r>
      <w:r>
        <w:rPr>
          <w:sz w:val="16"/>
          <w:szCs w:val="16"/>
          <w:rFonts w:ascii="TimesNewRomanPSMT" w:hAnsi="TimesNewRomanPSMT"/>
        </w:rPr>
        <w:fldChar w:fldCharType="end"/>
      </w:r>
      <w:bookmarkStart w:id="76" w:name="__Fieldmark__1032_816879668"/>
      <w:bookmarkEnd w:id="76"/>
      <w:r>
        <w:rPr>
          <w:rFonts w:cs="TimesNewRomanPSMT" w:ascii="TimesNewRomanPSMT" w:hAnsi="TimesNewRomanPSMT"/>
          <w:sz w:val="16"/>
          <w:szCs w:val="16"/>
        </w:rPr>
        <w:t xml:space="preserve"> </w:t>
      </w:r>
      <w:r>
        <w:rPr>
          <w:rFonts w:cs="TimesNewRomanPSMT" w:ascii="TimesNewRomanPSMT" w:hAnsi="TimesNewRomanPSMT"/>
          <w:lang w:val="fr-FR"/>
        </w:rPr>
        <w:t>Loggias et Vérandas</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endif %} </w:t>
      </w:r>
    </w:p>
    <w:p>
      <w:pPr>
        <w:pStyle w:val="Normal"/>
        <w:ind w:left="708" w:hanging="0"/>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fr-FR"/>
        </w:rPr>
        <w:t>terrasses</w:t>
      </w:r>
      <w:r>
        <w:rPr>
          <w:rFonts w:cs="TimesNewRomanPSMT" w:ascii="TimesNewRomanPSMT" w:hAnsi="TimesNewRomanPSMT"/>
          <w:sz w:val="16"/>
          <w:szCs w:val="16"/>
        </w:rPr>
        <w:t xml:space="preserve"> %}</w:t>
      </w:r>
    </w:p>
    <w:p>
      <w:pPr>
        <w:pStyle w:val="Normal"/>
        <w:ind w:left="708" w:hanging="0"/>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77" w:name="__Fieldmark__4077_2802320518"/>
      <w:bookmarkStart w:id="78" w:name="__Fieldmark__4077_2802320518"/>
      <w:bookmarkEnd w:id="78"/>
      <w:r>
        <w:rPr>
          <w:rFonts w:ascii="TimesNewRomanPSMT" w:hAnsi="TimesNewRomanPSMT"/>
          <w:sz w:val="16"/>
          <w:szCs w:val="16"/>
        </w:rPr>
      </w:r>
      <w:r>
        <w:rPr>
          <w:sz w:val="16"/>
          <w:szCs w:val="16"/>
          <w:rFonts w:ascii="TimesNewRomanPSMT" w:hAnsi="TimesNewRomanPSMT"/>
        </w:rPr>
        <w:fldChar w:fldCharType="end"/>
      </w:r>
      <w:bookmarkStart w:id="79" w:name="__Fieldmark__1045_816879668"/>
      <w:bookmarkEnd w:id="79"/>
      <w:r>
        <w:rPr>
          <w:rFonts w:cs="TimesNewRomanPSMT" w:ascii="TimesNewRomanPSMT" w:hAnsi="TimesNewRomanPSMT"/>
          <w:sz w:val="16"/>
          <w:szCs w:val="16"/>
        </w:rPr>
        <w:t xml:space="preserve"> </w:t>
      </w:r>
      <w:r>
        <w:rPr>
          <w:rFonts w:cs="TimesNewRomanPSMT" w:ascii="TimesNewRomanPSMT" w:hAnsi="TimesNewRomanPSMT"/>
          <w:lang w:val="fr-FR"/>
        </w:rPr>
        <w:t>Dans la limite de 9 m2, les parties de terrasses accessibles en étage ou aménagées sur ouvrage enterré ou à moitié enterré</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endif %} </w:t>
      </w:r>
    </w:p>
    <w:p>
      <w:pPr>
        <w:pStyle w:val="Normal"/>
        <w:jc w:val="both"/>
        <w:rPr>
          <w:rFonts w:ascii="Open Sans" w:hAnsi="Open Sans" w:cs="Open Sans"/>
          <w:color w:val="3F4350"/>
          <w:sz w:val="20"/>
          <w:szCs w:val="20"/>
        </w:rPr>
      </w:pPr>
      <w:r>
        <w:rPr>
          <w:rFonts w:cs="Open Sans" w:ascii="Open Sans" w:hAnsi="Open Sans"/>
          <w:color w:val="3F4350"/>
          <w:sz w:val="20"/>
          <w:szCs w:val="20"/>
        </w:rPr>
      </w:r>
    </w:p>
    <w:p>
      <w:pPr>
        <w:pStyle w:val="Normal"/>
        <w:jc w:val="both"/>
        <w:rPr/>
      </w:pPr>
      <w:r>
        <w:rPr>
          <w:rFonts w:cs="TimesNewRomanPSMT" w:ascii="TimesNewRomanPSMT" w:hAnsi="TimesNewRomanPSMT"/>
        </w:rPr>
        <w:t>3 ter. Surface des locaux collectifs résidentiels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lang w:val="fr-FR"/>
        </w:rPr>
      </w:pPr>
      <w:r>
        <w:rPr>
          <w:rFonts w:cs="TimesNewRomanPSMT" w:ascii="TimesNewRomanPSMT" w:hAnsi="TimesNewRomanPSMT"/>
        </w:rPr>
        <w:t xml:space="preserve">4. Surface utile totale de l'opération (art. D. 353-16 (2°) précité) : </w:t>
      </w:r>
      <w:bookmarkStart w:id="80" w:name="SU"/>
      <w:bookmarkEnd w:id="80"/>
      <w:r>
        <w:rPr>
          <w:rFonts w:cs="TimesNewRomanPSMT" w:ascii="TimesNewRomanPSMT" w:hAnsi="TimesNewRomanPSMT"/>
        </w:rPr>
        <w:t>{{ su_totale</w:t>
      </w:r>
      <w:r>
        <w:rPr>
          <w:rFonts w:cs="TimesNewRomanPSMT" w:ascii="TimesNewRomanPSMT" w:hAnsi="TimesNewRomanPSMT"/>
          <w:lang w:val="fr-FR"/>
        </w:rPr>
        <w:t xml:space="preserve">|f </w:t>
      </w:r>
      <w:r>
        <w:rPr>
          <w:rFonts w:cs="TimesNewRomanPSMT" w:ascii="TimesNewRomanPSMT" w:hAnsi="TimesNewRomanPSMT"/>
        </w:rPr>
        <w:t>}}</w:t>
      </w:r>
      <w:r>
        <w:rPr>
          <w:rFonts w:cs="TimesNewRomanPSMT" w:ascii="TimesNewRomanPSMT" w:hAnsi="TimesNewRomanPSMT"/>
          <w:lang w:val="fr-FR"/>
        </w:rPr>
        <w:t xml:space="preserve"> </w:t>
      </w:r>
      <w:r>
        <w:rPr>
          <w:rFonts w:cs="TimesNewRomanPSMT" w:ascii="TimesNewRomanPSMT" w:hAnsi="TimesNewRomanPSMT"/>
        </w:rPr>
        <w:t>m²</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5. Décompte des surfaces et des coefficients propres au logement appliqués pour le calcul du loyer :</w:t>
      </w:r>
    </w:p>
    <w:p>
      <w:pPr>
        <w:pStyle w:val="Normal"/>
        <w:jc w:val="both"/>
        <w:rPr>
          <w:rFonts w:ascii="TimesNewRomanPSMT" w:hAnsi="TimesNewRomanPSMT" w:cs="TimesNewRomanPSMT"/>
          <w:sz w:val="20"/>
          <w:lang w:val="en-US"/>
        </w:rPr>
      </w:pPr>
      <w:bookmarkStart w:id="81" w:name="S1"/>
      <w:bookmarkEnd w:id="81"/>
      <w:r>
        <w:rPr>
          <w:rFonts w:cs="TimesNewRomanPSMT" w:ascii="TimesNewRomanPSMT" w:hAnsi="TimesNewRomanPSMT"/>
          <w:sz w:val="20"/>
          <w:lang w:val="en-US"/>
        </w:rPr>
        <w:t>{% if logements.count() %}</w:t>
      </w:r>
    </w:p>
    <w:p>
      <w:pPr>
        <w:pStyle w:val="Normal"/>
        <w:jc w:val="both"/>
        <w:rPr>
          <w:rFonts w:ascii="TimesNewRomanPSMT" w:hAnsi="TimesNewRomanPSMT" w:cs="TimesNewRomanPSMT"/>
          <w:sz w:val="20"/>
          <w:lang w:val="en-US"/>
        </w:rPr>
      </w:pPr>
      <w:r>
        <w:rPr>
          <w:rFonts w:cs="TimesNewRomanPSMT" w:ascii="TimesNewRomanPSMT" w:hAnsi="TimesNewRomanPSMT"/>
          <w:sz w:val="20"/>
          <w:lang w:val="en-US"/>
        </w:rPr>
      </w:r>
    </w:p>
    <w:tbl>
      <w:tblPr>
        <w:tblStyle w:val="TableGrid"/>
        <w:tblW w:w="827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53"/>
        <w:gridCol w:w="1136"/>
        <w:gridCol w:w="849"/>
        <w:gridCol w:w="1276"/>
        <w:gridCol w:w="1134"/>
        <w:gridCol w:w="1136"/>
        <w:gridCol w:w="1185"/>
      </w:tblGrid>
      <w:tr>
        <w:trPr/>
        <w:tc>
          <w:tcPr>
            <w:tcW w:w="1553"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FR" w:eastAsia="en-GB" w:bidi="ar-SA"/>
              </w:rPr>
              <w:t>D</w:t>
            </w:r>
            <w:r>
              <w:rPr>
                <w:rFonts w:eastAsia="Times New Roman" w:cs="TimesNewRomanPSMT" w:ascii="TimesNewRomanPSMT" w:hAnsi="TimesNewRomanPSMT"/>
                <w:kern w:val="0"/>
                <w:sz w:val="14"/>
                <w:szCs w:val="14"/>
                <w:lang w:val="fr-FR" w:eastAsia="en-GB" w:bidi="ar-SA"/>
              </w:rPr>
              <w:t>ÉSIGNATION</w:t>
              <w:br/>
            </w:r>
            <w:r>
              <w:rPr>
                <w:rFonts w:eastAsia="Times New Roman" w:cs="TimesNewRomanPSMT" w:ascii="TimesNewRomanPSMT" w:hAnsi="TimesNewRomanPSMT"/>
                <w:kern w:val="0"/>
                <w:sz w:val="14"/>
                <w:szCs w:val="14"/>
                <w:lang w:val="en-FR" w:eastAsia="en-GB" w:bidi="ar-SA"/>
              </w:rPr>
              <w:t>des logements</w:t>
            </w:r>
          </w:p>
        </w:tc>
        <w:tc>
          <w:tcPr>
            <w:tcW w:w="1136"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SURFACE</w:t>
            </w:r>
          </w:p>
          <w:p>
            <w:pPr>
              <w:pStyle w:val="Normal"/>
              <w:widowControl w:val="false"/>
              <w:suppressAutoHyphens w:val="true"/>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en-FR" w:eastAsia="en-GB" w:bidi="ar-SA"/>
              </w:rPr>
              <w:t>habitable</w:t>
            </w:r>
          </w:p>
          <w:p>
            <w:pPr>
              <w:pStyle w:val="Normal"/>
              <w:widowControl w:val="false"/>
              <w:suppressAutoHyphens w:val="true"/>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fr-FR" w:eastAsia="en-GB" w:bidi="ar-SA"/>
              </w:rPr>
              <w:t>(art. R. 111-2)</w:t>
            </w:r>
          </w:p>
        </w:tc>
        <w:tc>
          <w:tcPr>
            <w:tcW w:w="849"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SURFACE</w:t>
            </w:r>
          </w:p>
          <w:p>
            <w:pPr>
              <w:pStyle w:val="Normal"/>
              <w:widowControl w:val="false"/>
              <w:suppressAutoHyphens w:val="true"/>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fr-FR" w:eastAsia="en-GB" w:bidi="ar-SA"/>
              </w:rPr>
              <w:t>réelle</w:t>
            </w:r>
            <w:r>
              <w:rPr>
                <w:rFonts w:eastAsia="Times New Roman" w:cs="TimesNewRomanPSMT" w:ascii="TimesNewRomanPSMT" w:hAnsi="TimesNewRomanPSMT"/>
                <w:kern w:val="0"/>
                <w:sz w:val="14"/>
                <w:szCs w:val="14"/>
                <w:lang w:val="en-FR" w:eastAsia="en-GB" w:bidi="ar-SA"/>
              </w:rPr>
              <w:t xml:space="preserve"> des annexes</w:t>
            </w:r>
          </w:p>
        </w:tc>
        <w:tc>
          <w:tcPr>
            <w:tcW w:w="1276"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SURFACE UTILE</w:t>
            </w:r>
          </w:p>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en-FR" w:eastAsia="en-GB" w:bidi="ar-SA"/>
              </w:rPr>
              <w:t>(surface habitable augmentée de 50% de la surface des annexes)</w:t>
            </w:r>
          </w:p>
        </w:tc>
        <w:tc>
          <w:tcPr>
            <w:tcW w:w="1134"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LOYER</w:t>
            </w:r>
            <w:r>
              <w:rPr>
                <w:rFonts w:eastAsia="Times New Roman" w:cs="TimesNewRomanPSMT" w:ascii="TimesNewRomanPSMT" w:hAnsi="TimesNewRomanPSMT"/>
                <w:kern w:val="0"/>
                <w:sz w:val="14"/>
                <w:szCs w:val="14"/>
                <w:lang w:val="en-FR" w:eastAsia="en-GB" w:bidi="ar-SA"/>
              </w:rPr>
              <w:t xml:space="preserve"> maxinum </w:t>
            </w:r>
            <w:r>
              <w:rPr>
                <w:rFonts w:eastAsia="Times New Roman" w:cs="TimesNewRomanPSMT" w:ascii="TimesNewRomanPSMT" w:hAnsi="TimesNewRomanPSMT"/>
                <w:kern w:val="0"/>
                <w:sz w:val="14"/>
                <w:szCs w:val="14"/>
                <w:lang w:val="fr-FR" w:eastAsia="en-GB" w:bidi="ar-SA"/>
              </w:rPr>
              <w:t xml:space="preserve">du logement </w:t>
            </w:r>
            <w:r>
              <w:rPr>
                <w:rFonts w:eastAsia="Times New Roman" w:cs="TimesNewRomanPSMT" w:ascii="TimesNewRomanPSMT" w:hAnsi="TimesNewRomanPSMT"/>
                <w:kern w:val="0"/>
                <w:sz w:val="14"/>
                <w:szCs w:val="14"/>
                <w:lang w:val="en-FR" w:eastAsia="en-GB" w:bidi="ar-SA"/>
              </w:rPr>
              <w:t xml:space="preserve">en </w:t>
            </w:r>
            <w:r>
              <w:rPr>
                <w:rFonts w:eastAsia="Times New Roman" w:cs="TimesNewRomanPSMT" w:ascii="TimesNewRomanPSMT" w:hAnsi="TimesNewRomanPSMT"/>
                <w:kern w:val="0"/>
                <w:sz w:val="14"/>
                <w:szCs w:val="14"/>
                <w:lang w:val="fr-FR" w:eastAsia="en-GB" w:bidi="ar-SA"/>
              </w:rPr>
              <w:t>euros</w:t>
            </w:r>
            <w:r>
              <w:rPr>
                <w:rFonts w:eastAsia="Times New Roman" w:cs="TimesNewRomanPSMT" w:ascii="TimesNewRomanPSMT" w:hAnsi="TimesNewRomanPSMT"/>
                <w:kern w:val="0"/>
                <w:sz w:val="14"/>
                <w:szCs w:val="14"/>
                <w:lang w:val="en-FR" w:eastAsia="en-GB" w:bidi="ar-SA"/>
              </w:rPr>
              <w:t xml:space="preserve"> par </w:t>
            </w:r>
            <w:r>
              <w:rPr>
                <w:rFonts w:eastAsia="Times New Roman" w:cs="TimesNewRomanPSMT" w:ascii="TimesNewRomanPSMT" w:hAnsi="TimesNewRomanPSMT"/>
                <w:kern w:val="0"/>
                <w:sz w:val="14"/>
                <w:szCs w:val="14"/>
                <w:lang w:val="fr-FR" w:eastAsia="en-GB" w:bidi="ar-SA"/>
              </w:rPr>
              <w:t>mètre carré de surface utile</w:t>
            </w:r>
          </w:p>
        </w:tc>
        <w:tc>
          <w:tcPr>
            <w:tcW w:w="1136"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 xml:space="preserve">COEFFICIENT </w:t>
            </w:r>
            <w:r>
              <w:rPr>
                <w:rFonts w:eastAsia="Times New Roman" w:cs="TimesNewRomanPSMT" w:ascii="TimesNewRomanPSMT" w:hAnsi="TimesNewRomanPSMT"/>
                <w:kern w:val="0"/>
                <w:sz w:val="14"/>
                <w:szCs w:val="14"/>
                <w:lang w:val="en-FR" w:eastAsia="en-GB" w:bidi="ar-SA"/>
              </w:rPr>
              <w:t>propre au logement</w:t>
            </w:r>
          </w:p>
        </w:tc>
        <w:tc>
          <w:tcPr>
            <w:tcW w:w="1185"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LOYER</w:t>
            </w:r>
            <w:r>
              <w:rPr>
                <w:rFonts w:eastAsia="Times New Roman" w:cs="TimesNewRomanPSMT" w:ascii="TimesNewRomanPSMT" w:hAnsi="TimesNewRomanPSMT"/>
                <w:kern w:val="0"/>
                <w:sz w:val="14"/>
                <w:szCs w:val="14"/>
                <w:lang w:val="en-FR" w:eastAsia="en-GB" w:bidi="ar-SA"/>
              </w:rPr>
              <w:t xml:space="preserve"> </w:t>
            </w:r>
            <w:r>
              <w:rPr>
                <w:rFonts w:eastAsia="Times New Roman" w:cs="TimesNewRomanPSMT" w:ascii="TimesNewRomanPSMT" w:hAnsi="TimesNewRomanPSMT"/>
                <w:kern w:val="0"/>
                <w:sz w:val="14"/>
                <w:szCs w:val="14"/>
                <w:lang w:val="fr-FR" w:eastAsia="en-GB" w:bidi="ar-SA"/>
              </w:rPr>
              <w:t>MAXIMUM</w:t>
            </w:r>
          </w:p>
          <w:p>
            <w:pPr>
              <w:pStyle w:val="Normal"/>
              <w:widowControl w:val="false"/>
              <w:suppressAutoHyphens w:val="true"/>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en-FR" w:eastAsia="en-GB" w:bidi="ar-SA"/>
              </w:rPr>
              <w:t>du logement</w:t>
            </w:r>
          </w:p>
          <w:p>
            <w:pPr>
              <w:pStyle w:val="Normal"/>
              <w:widowControl w:val="false"/>
              <w:suppressAutoHyphens w:val="true"/>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en-FR" w:eastAsia="en-GB" w:bidi="ar-SA"/>
              </w:rPr>
              <w:t xml:space="preserve">(col 4 </w:t>
            </w:r>
            <w:r>
              <w:rPr>
                <w:rFonts w:eastAsia="Times New Roman" w:cs="TimesNewRomanPSMT" w:ascii="TimesNewRomanPSMT" w:hAnsi="TimesNewRomanPSMT"/>
                <w:kern w:val="0"/>
                <w:sz w:val="14"/>
                <w:szCs w:val="14"/>
                <w:lang w:val="fr-FR" w:eastAsia="en-GB" w:bidi="ar-SA"/>
              </w:rPr>
              <w:t>x</w:t>
            </w:r>
            <w:r>
              <w:rPr>
                <w:rFonts w:eastAsia="Times New Roman" w:cs="TimesNewRomanPSMT" w:ascii="TimesNewRomanPSMT" w:hAnsi="TimesNewRomanPSMT"/>
                <w:kern w:val="0"/>
                <w:sz w:val="14"/>
                <w:szCs w:val="14"/>
                <w:lang w:val="en-FR" w:eastAsia="en-GB" w:bidi="ar-SA"/>
              </w:rPr>
              <w:t xml:space="preserve"> col 5 </w:t>
            </w:r>
          </w:p>
          <w:p>
            <w:pPr>
              <w:pStyle w:val="Normal"/>
              <w:widowControl w:val="false"/>
              <w:suppressAutoHyphens w:val="true"/>
              <w:spacing w:before="0" w:after="0"/>
              <w:jc w:val="left"/>
              <w:rPr>
                <w:rFonts w:ascii="TimesNewRomanPSMT" w:hAnsi="TimesNewRomanPSMT" w:cs="TimesNewRomanPSMT"/>
                <w:sz w:val="12"/>
                <w:szCs w:val="12"/>
                <w:lang w:val="fr-FR"/>
              </w:rPr>
            </w:pPr>
            <w:r>
              <w:rPr>
                <w:rFonts w:eastAsia="Times New Roman" w:cs="TimesNewRomanPSMT" w:ascii="TimesNewRomanPSMT" w:hAnsi="TimesNewRomanPSMT"/>
                <w:kern w:val="0"/>
                <w:sz w:val="14"/>
                <w:szCs w:val="14"/>
                <w:lang w:val="en-US" w:eastAsia="en-GB" w:bidi="ar-SA"/>
              </w:rPr>
              <w:t>x</w:t>
            </w:r>
            <w:r>
              <w:rPr>
                <w:rFonts w:eastAsia="Times New Roman" w:cs="TimesNewRomanPSMT" w:ascii="TimesNewRomanPSMT" w:hAnsi="TimesNewRomanPSMT"/>
                <w:kern w:val="0"/>
                <w:sz w:val="14"/>
                <w:szCs w:val="14"/>
                <w:lang w:val="en-FR" w:eastAsia="en-GB" w:bidi="ar-SA"/>
              </w:rPr>
              <w:t xml:space="preserve"> col 6)</w:t>
            </w:r>
            <w:r>
              <w:rPr>
                <w:rFonts w:eastAsia="Times New Roman" w:cs="TimesNewRomanPSMT" w:ascii="TimesNewRomanPSMT" w:hAnsi="TimesNewRomanPSMT"/>
                <w:kern w:val="0"/>
                <w:sz w:val="14"/>
                <w:szCs w:val="14"/>
                <w:lang w:val="fr-FR" w:eastAsia="en-GB" w:bidi="ar-SA"/>
              </w:rPr>
              <w:t>*</w:t>
            </w:r>
          </w:p>
        </w:tc>
      </w:tr>
      <w:tr>
        <w:trPr/>
        <w:tc>
          <w:tcPr>
            <w:tcW w:w="1553"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1</w:t>
            </w:r>
          </w:p>
        </w:tc>
        <w:tc>
          <w:tcPr>
            <w:tcW w:w="1136"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2</w:t>
            </w:r>
          </w:p>
        </w:tc>
        <w:tc>
          <w:tcPr>
            <w:tcW w:w="849"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3</w:t>
            </w:r>
          </w:p>
        </w:tc>
        <w:tc>
          <w:tcPr>
            <w:tcW w:w="1276"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4</w:t>
            </w:r>
          </w:p>
        </w:tc>
        <w:tc>
          <w:tcPr>
            <w:tcW w:w="1134"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5</w:t>
            </w:r>
          </w:p>
        </w:tc>
        <w:tc>
          <w:tcPr>
            <w:tcW w:w="1136"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6</w:t>
            </w:r>
          </w:p>
        </w:tc>
        <w:tc>
          <w:tcPr>
            <w:tcW w:w="1185"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7</w:t>
            </w:r>
          </w:p>
        </w:tc>
      </w:tr>
      <w:tr>
        <w:trPr/>
        <w:tc>
          <w:tcPr>
            <w:tcW w:w="8269" w:type="dxa"/>
            <w:gridSpan w:val="7"/>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for l in logements %}</w:t>
            </w:r>
          </w:p>
        </w:tc>
      </w:tr>
      <w:tr>
        <w:trPr/>
        <w:tc>
          <w:tcPr>
            <w:tcW w:w="1553"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{{l.d}}</w:t>
            </w:r>
          </w:p>
        </w:tc>
        <w:tc>
          <w:tcPr>
            <w:tcW w:w="113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{{l.sh|f }}</w:t>
            </w:r>
          </w:p>
        </w:tc>
        <w:tc>
          <w:tcPr>
            <w:tcW w:w="849"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{{l.sa|f }}</w:t>
            </w:r>
          </w:p>
        </w:tc>
        <w:tc>
          <w:tcPr>
            <w:tcW w:w="127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{{l.su|f }}</w:t>
            </w:r>
          </w:p>
        </w:tc>
        <w:tc>
          <w:tcPr>
            <w:tcW w:w="1134"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{{l.lpmc|f }}</w:t>
            </w:r>
          </w:p>
        </w:tc>
        <w:tc>
          <w:tcPr>
            <w:tcW w:w="113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{{l.c|f(d=4)}}</w:t>
            </w:r>
          </w:p>
        </w:tc>
        <w:tc>
          <w:tcPr>
            <w:tcW w:w="1185"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{{l.l|f}}</w:t>
            </w:r>
          </w:p>
        </w:tc>
      </w:tr>
      <w:tr>
        <w:trPr/>
        <w:tc>
          <w:tcPr>
            <w:tcW w:w="8269" w:type="dxa"/>
            <w:gridSpan w:val="7"/>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kern w:val="0"/>
                <w:sz w:val="16"/>
                <w:szCs w:val="16"/>
                <w:lang w:val="en-US" w:eastAsia="en-GB" w:bidi="ar-SA"/>
              </w:rPr>
              <w:t>{%tr endfor %}</w:t>
            </w:r>
          </w:p>
        </w:tc>
      </w:tr>
      <w:tr>
        <w:trPr/>
        <w:tc>
          <w:tcPr>
            <w:tcW w:w="1553"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Total</w:t>
            </w:r>
          </w:p>
        </w:tc>
        <w:tc>
          <w:tcPr>
            <w:tcW w:w="113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{{sh_totale|f }}</w:t>
            </w:r>
          </w:p>
        </w:tc>
        <w:tc>
          <w:tcPr>
            <w:tcW w:w="849"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{{sa_totale|f }}</w:t>
            </w:r>
          </w:p>
        </w:tc>
        <w:tc>
          <w:tcPr>
            <w:tcW w:w="127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{{su_totale|f}}</w:t>
            </w:r>
          </w:p>
        </w:tc>
        <w:tc>
          <w:tcPr>
            <w:tcW w:w="1134"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cs="TimesNewRomanPSMT" w:ascii="TimesNewRomanPSMT" w:hAnsi="TimesNewRomanPSMT"/>
                <w:sz w:val="16"/>
                <w:szCs w:val="16"/>
                <w:lang w:val="en-US"/>
              </w:rPr>
            </w:r>
          </w:p>
        </w:tc>
        <w:tc>
          <w:tcPr>
            <w:tcW w:w="113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cs="TimesNewRomanPSMT" w:ascii="TimesNewRomanPSMT" w:hAnsi="TimesNewRomanPSMT"/>
                <w:sz w:val="16"/>
                <w:szCs w:val="16"/>
                <w:lang w:val="en-US"/>
              </w:rPr>
            </w:r>
          </w:p>
        </w:tc>
        <w:tc>
          <w:tcPr>
            <w:tcW w:w="1185"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{{loyer_total|f}}</w:t>
            </w:r>
          </w:p>
        </w:tc>
      </w:tr>
      <w:tr>
        <w:trPr/>
        <w:tc>
          <w:tcPr>
            <w:tcW w:w="8269" w:type="dxa"/>
            <w:gridSpan w:val="7"/>
            <w:tcBorders/>
          </w:tcPr>
          <w:p>
            <w:pPr>
              <w:pStyle w:val="Normal"/>
              <w:widowControl w:val="false"/>
              <w:suppressAutoHyphens w:val="true"/>
              <w:spacing w:before="0" w:after="0"/>
              <w:jc w:val="both"/>
              <w:rPr>
                <w:rFonts w:ascii="TimesNewRomanPSMT" w:hAnsi="TimesNewRomanPSMT" w:cs="TimesNewRomanPSMT"/>
                <w:sz w:val="16"/>
                <w:szCs w:val="16"/>
              </w:rPr>
            </w:pPr>
            <w:r>
              <w:rPr>
                <w:rFonts w:eastAsia="Times New Roman" w:cs="TimesNewRomanPSMT" w:ascii="TimesNewRomanPSMT" w:hAnsi="TimesNewRomanPSMT"/>
                <w:kern w:val="0"/>
                <w:sz w:val="16"/>
                <w:szCs w:val="16"/>
                <w:lang w:val="en-FR" w:eastAsia="fr-FR" w:bidi="ar-SA"/>
              </w:rPr>
              <w:t xml:space="preserve">* La majoration prévue à l’article </w:t>
            </w:r>
            <w:r>
              <w:rPr>
                <w:rFonts w:eastAsia="Times New Roman" w:cs="TimesNewRomanPSMT" w:ascii="TimesNewRomanPSMT" w:hAnsi="TimesNewRomanPSMT"/>
                <w:kern w:val="0"/>
                <w:sz w:val="16"/>
                <w:szCs w:val="16"/>
                <w:lang w:val="fr-FR" w:eastAsia="fr-FR" w:bidi="ar-SA"/>
              </w:rPr>
              <w:t>8</w:t>
            </w:r>
            <w:r>
              <w:rPr>
                <w:rFonts w:eastAsia="Times New Roman" w:cs="TimesNewRomanPSMT" w:ascii="TimesNewRomanPSMT" w:hAnsi="TimesNewRomanPSMT"/>
                <w:kern w:val="0"/>
                <w:sz w:val="16"/>
                <w:szCs w:val="16"/>
                <w:lang w:val="en-FR" w:eastAsia="fr-FR" w:bidi="ar-SA"/>
              </w:rPr>
              <w:t xml:space="preserve"> de la convention est susceptible de s’appliquer à ces loyers.</w:t>
            </w:r>
          </w:p>
        </w:tc>
      </w:tr>
    </w:tbl>
    <w:p>
      <w:pPr>
        <w:pStyle w:val="Normal"/>
        <w:jc w:val="both"/>
        <w:rPr>
          <w:rFonts w:ascii="TimesNewRomanPSMT" w:hAnsi="TimesNewRomanPSMT" w:cs="TimesNewRomanPSMT"/>
          <w:sz w:val="20"/>
        </w:rPr>
      </w:pPr>
      <w:r>
        <w:rPr>
          <w:rFonts w:cs="TimesNewRomanPSMT" w:ascii="TimesNewRomanPSMT" w:hAnsi="TimesNewRomanPSMT"/>
          <w:sz w:val="20"/>
        </w:rPr>
        <w:t>{% endif %}</w:t>
      </w:r>
    </w:p>
    <w:p>
      <w:pPr>
        <w:pStyle w:val="Normal"/>
        <w:jc w:val="both"/>
        <w:rPr>
          <w:lang w:val="fr-FR"/>
        </w:rPr>
      </w:pPr>
      <w:r>
        <w:rPr>
          <w:rFonts w:cs="TimesNewRomanPSMT" w:ascii="TimesNewRomanPSMT" w:hAnsi="TimesNewRomanPSMT"/>
        </w:rPr>
        <w:t>6. Nombre et liste des annexes susceptibles de donner lieu à perception d'un loyer accessoire :</w:t>
      </w:r>
      <w:r>
        <w:rPr>
          <w:rFonts w:cs="TimesNewRomanPSMT" w:ascii="TimesNewRomanPSMT" w:hAnsi="TimesNewRomanPSMT"/>
          <w:lang w:val="fr-FR"/>
        </w:rPr>
        <w:t xml:space="preserve"> {{ liste_des_annexes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pPr>
        <w:pStyle w:val="Normal"/>
        <w:jc w:val="both"/>
        <w:rPr>
          <w:rFonts w:ascii="TimesNewRomanPSMT" w:hAnsi="TimesNewRomanPSMT" w:cs="TimesNewRomanPSMT"/>
          <w:sz w:val="20"/>
        </w:rPr>
      </w:pPr>
      <w:r>
        <w:rPr>
          <w:rFonts w:cs="TimesNewRomanPSMT" w:ascii="TimesNewRomanPSMT" w:hAnsi="TimesNewRomanPSMT"/>
          <w:sz w:val="20"/>
        </w:rPr>
      </w:r>
      <w:bookmarkStart w:id="82" w:name="S2"/>
      <w:bookmarkStart w:id="83" w:name="S2"/>
      <w:bookmarkEnd w:id="83"/>
    </w:p>
    <w:p>
      <w:pPr>
        <w:pStyle w:val="Normal"/>
        <w:jc w:val="both"/>
        <w:rPr>
          <w:rFonts w:ascii="TimesNewRomanPSMT" w:hAnsi="TimesNewRomanPSMT" w:cs="TimesNewRomanPSMT"/>
          <w:sz w:val="20"/>
        </w:rPr>
      </w:pPr>
      <w:r>
        <w:rPr>
          <w:rFonts w:cs="TimesNewRomanPSMT" w:ascii="TimesNewRomanPSMT" w:hAnsi="TimesNewRomanPSMT"/>
          <w:sz w:val="20"/>
        </w:rPr>
        <w:t>{% if stationnements.count() %}</w:t>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813"/>
        <w:gridCol w:w="3454"/>
      </w:tblGrid>
      <w:tr>
        <w:trPr/>
        <w:tc>
          <w:tcPr>
            <w:tcW w:w="4813"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TYPE D’ANNEXE DÉFINIE</w:t>
              <w:br/>
              <w:t>à l’articke D. 353-16</w:t>
              <w:br/>
              <w:t>dernier alinéa du 2°</w:t>
            </w:r>
          </w:p>
        </w:tc>
        <w:tc>
          <w:tcPr>
            <w:tcW w:w="3454"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LOYER MAXIMUM</w:t>
              <w:br/>
              <w:t>conventionné de l’annexe</w:t>
              <w:br/>
              <w:t>en euros par mois</w:t>
            </w:r>
          </w:p>
        </w:tc>
      </w:tr>
      <w:tr>
        <w:trPr/>
        <w:tc>
          <w:tcPr>
            <w:tcW w:w="8267" w:type="dxa"/>
            <w:gridSpan w:val="2"/>
            <w:tcBorders/>
          </w:tcPr>
          <w:p>
            <w:pPr>
              <w:pStyle w:val="Normal"/>
              <w:widowControl w:val="false"/>
              <w:suppressAutoHyphens w:val="true"/>
              <w:spacing w:before="0" w:after="0"/>
              <w:jc w:val="both"/>
              <w:rPr>
                <w:rFonts w:ascii="TimesNewRomanPSMT" w:hAnsi="TimesNewRomanPSMT" w:cs="TimesNewRomanPSMT"/>
                <w:sz w:val="20"/>
                <w:lang w:val="en-US"/>
              </w:rPr>
            </w:pPr>
            <w:r>
              <w:rPr>
                <w:rFonts w:eastAsia="Times New Roman" w:cs="TimesNewRomanPSMT" w:ascii="TimesNewRomanPSMT" w:hAnsi="TimesNewRomanPSMT"/>
                <w:kern w:val="0"/>
                <w:sz w:val="16"/>
                <w:szCs w:val="16"/>
                <w:lang w:val="en-US" w:eastAsia="en-GB" w:bidi="ar-SA"/>
              </w:rPr>
              <w:t>{%tr for s in stationnements %}</w:t>
            </w:r>
          </w:p>
        </w:tc>
      </w:tr>
      <w:tr>
        <w:trPr/>
        <w:tc>
          <w:tcPr>
            <w:tcW w:w="4813" w:type="dxa"/>
            <w:tcBorders/>
          </w:tcPr>
          <w:p>
            <w:pPr>
              <w:pStyle w:val="Normal"/>
              <w:widowControl w:val="false"/>
              <w:suppressAutoHyphens w:val="true"/>
              <w:spacing w:before="0" w:after="0"/>
              <w:jc w:val="both"/>
              <w:rPr>
                <w:rFonts w:ascii="TimesNewRomanPSMT" w:hAnsi="TimesNewRomanPSMT" w:cs="TimesNewRomanPSMT"/>
                <w:sz w:val="20"/>
              </w:rPr>
            </w:pPr>
            <w:r>
              <w:rPr>
                <w:rFonts w:eastAsia="Times New Roman" w:cs="TimesNewRomanPSMT" w:ascii="TimesNewRomanPSMT" w:hAnsi="TimesNewRomanPSMT"/>
                <w:kern w:val="0"/>
                <w:sz w:val="16"/>
                <w:szCs w:val="16"/>
                <w:lang w:val="en-FR" w:eastAsia="en-GB" w:bidi="ar-SA"/>
              </w:rPr>
              <w:t>{{ s.nb }} stationnement{{s.nb|pl}} de type {{ s.t }}</w:t>
            </w:r>
          </w:p>
        </w:tc>
        <w:tc>
          <w:tcPr>
            <w:tcW w:w="3454" w:type="dxa"/>
            <w:tcBorders/>
          </w:tcPr>
          <w:p>
            <w:pPr>
              <w:pStyle w:val="Normal"/>
              <w:widowControl w:val="false"/>
              <w:suppressAutoHyphens w:val="true"/>
              <w:spacing w:before="0" w:after="0"/>
              <w:jc w:val="both"/>
              <w:rPr>
                <w:rFonts w:ascii="TimesNewRomanPSMT" w:hAnsi="TimesNewRomanPSMT" w:cs="TimesNewRomanPSMT"/>
                <w:sz w:val="16"/>
                <w:szCs w:val="16"/>
              </w:rPr>
            </w:pPr>
            <w:r>
              <w:rPr>
                <w:rFonts w:eastAsia="Times New Roman" w:cs="TimesNewRomanPSMT" w:ascii="TimesNewRomanPSMT" w:hAnsi="TimesNewRomanPSMT"/>
                <w:kern w:val="0"/>
                <w:sz w:val="16"/>
                <w:szCs w:val="16"/>
                <w:lang w:val="en-FR" w:eastAsia="en-GB" w:bidi="ar-SA"/>
              </w:rPr>
              <w:t>{{s.l</w:t>
            </w:r>
            <w:r>
              <w:rPr>
                <w:rFonts w:eastAsia="Times New Roman" w:cs="TimesNewRomanPSMT" w:ascii="TimesNewRomanPSMT" w:hAnsi="TimesNewRomanPSMT"/>
                <w:kern w:val="0"/>
                <w:sz w:val="16"/>
                <w:szCs w:val="16"/>
                <w:lang w:val="en-US" w:eastAsia="en-GB" w:bidi="ar-SA"/>
              </w:rPr>
              <w:t>|f</w:t>
            </w:r>
            <w:r>
              <w:rPr>
                <w:rFonts w:eastAsia="Times New Roman" w:cs="TimesNewRomanPSMT" w:ascii="TimesNewRomanPSMT" w:hAnsi="TimesNewRomanPSMT"/>
                <w:kern w:val="0"/>
                <w:sz w:val="16"/>
                <w:szCs w:val="16"/>
                <w:lang w:val="en-FR" w:eastAsia="en-GB" w:bidi="ar-SA"/>
              </w:rPr>
              <w:t>}}</w:t>
            </w:r>
          </w:p>
        </w:tc>
      </w:tr>
      <w:tr>
        <w:trPr/>
        <w:tc>
          <w:tcPr>
            <w:tcW w:w="8267" w:type="dxa"/>
            <w:gridSpan w:val="2"/>
            <w:tcBorders/>
          </w:tcPr>
          <w:p>
            <w:pPr>
              <w:pStyle w:val="Normal"/>
              <w:widowControl w:val="false"/>
              <w:suppressAutoHyphens w:val="true"/>
              <w:spacing w:before="0" w:after="0"/>
              <w:jc w:val="both"/>
              <w:rPr>
                <w:rFonts w:ascii="TimesNewRomanPSMT" w:hAnsi="TimesNewRomanPSMT" w:cs="TimesNewRomanPSMT"/>
                <w:sz w:val="20"/>
                <w:lang w:val="en-US"/>
              </w:rPr>
            </w:pPr>
            <w:r>
              <w:rPr>
                <w:rFonts w:eastAsia="Times New Roman" w:cs="TimesNewRomanPSMT" w:ascii="TimesNewRomanPSMT" w:hAnsi="TimesNewRomanPSMT"/>
                <w:kern w:val="0"/>
                <w:sz w:val="16"/>
                <w:szCs w:val="16"/>
                <w:lang w:val="en-US" w:eastAsia="en-GB" w:bidi="ar-SA"/>
              </w:rPr>
              <w:t>{%tr endfor %}</w:t>
            </w:r>
          </w:p>
        </w:tc>
      </w:tr>
    </w:tbl>
    <w:p>
      <w:pPr>
        <w:pStyle w:val="Normal"/>
        <w:jc w:val="both"/>
        <w:rPr>
          <w:rFonts w:ascii="TimesNewRomanPSMT" w:hAnsi="TimesNewRomanPSMT" w:cs="TimesNewRomanPSMT"/>
          <w:sz w:val="20"/>
        </w:rPr>
      </w:pPr>
      <w:r>
        <w:rPr>
          <w:rFonts w:cs="TimesNewRomanPSMT" w:ascii="TimesNewRomanPSMT" w:hAnsi="TimesNewRomanPSMT"/>
          <w:sz w:val="20"/>
        </w:rPr>
        <w:t>{% endif %}</w:t>
      </w:r>
    </w:p>
    <w:p>
      <w:pPr>
        <w:pStyle w:val="Normal"/>
        <w:jc w:val="both"/>
        <w:rPr>
          <w:rFonts w:ascii="TimesNewRomanPSMT" w:hAnsi="TimesNewRomanPSMT" w:cs="TimesNewRomanPSMT"/>
          <w:sz w:val="20"/>
          <w:lang w:val="en-US"/>
        </w:rPr>
      </w:pPr>
      <w:r>
        <w:rPr>
          <w:rFonts w:cs="TimesNewRomanPSMT" w:ascii="TimesNewRomanPSMT" w:hAnsi="TimesNewRomanPSMT"/>
          <w:sz w:val="20"/>
          <w:lang w:val="en-US"/>
        </w:rPr>
        <w:t>{% if annexes.count() %}</w:t>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3"/>
        <w:gridCol w:w="1558"/>
        <w:gridCol w:w="1417"/>
        <w:gridCol w:w="1275"/>
        <w:gridCol w:w="1277"/>
        <w:gridCol w:w="1327"/>
      </w:tblGrid>
      <w:tr>
        <w:trPr/>
        <w:tc>
          <w:tcPr>
            <w:tcW w:w="1413"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Type d’annexe</w:t>
            </w:r>
          </w:p>
        </w:tc>
        <w:tc>
          <w:tcPr>
            <w:tcW w:w="1558"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Désignation des logement</w:t>
            </w:r>
          </w:p>
        </w:tc>
        <w:tc>
          <w:tcPr>
            <w:tcW w:w="1417"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Typologie des logements</w:t>
            </w:r>
          </w:p>
        </w:tc>
        <w:tc>
          <w:tcPr>
            <w:tcW w:w="1275"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Surface de l’annexe</w:t>
            </w:r>
          </w:p>
        </w:tc>
        <w:tc>
          <w:tcPr>
            <w:tcW w:w="1277"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Loyer unitaire en €</w:t>
            </w:r>
          </w:p>
        </w:tc>
        <w:tc>
          <w:tcPr>
            <w:tcW w:w="1327"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Loyer maximun en €</w:t>
            </w:r>
          </w:p>
        </w:tc>
      </w:tr>
      <w:tr>
        <w:trPr/>
        <w:tc>
          <w:tcPr>
            <w:tcW w:w="8267" w:type="dxa"/>
            <w:gridSpan w:val="6"/>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for a in annexes %}</w:t>
            </w:r>
          </w:p>
        </w:tc>
      </w:tr>
      <w:tr>
        <w:trPr/>
        <w:tc>
          <w:tcPr>
            <w:tcW w:w="1413"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{{a.t}}</w:t>
            </w:r>
          </w:p>
        </w:tc>
        <w:tc>
          <w:tcPr>
            <w:tcW w:w="1558"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{{a.lgt.d}}</w:t>
            </w:r>
          </w:p>
        </w:tc>
        <w:tc>
          <w:tcPr>
            <w:tcW w:w="1417"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{{a.lgt.t}}</w:t>
            </w:r>
          </w:p>
        </w:tc>
        <w:tc>
          <w:tcPr>
            <w:tcW w:w="1275"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{{a.shsr|f}}</w:t>
            </w:r>
          </w:p>
        </w:tc>
        <w:tc>
          <w:tcPr>
            <w:tcW w:w="1277"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{{a.lpmc|f }}</w:t>
            </w:r>
          </w:p>
        </w:tc>
        <w:tc>
          <w:tcPr>
            <w:tcW w:w="1327"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{{a.l|f }}</w:t>
            </w:r>
          </w:p>
        </w:tc>
      </w:tr>
      <w:tr>
        <w:trPr/>
        <w:tc>
          <w:tcPr>
            <w:tcW w:w="8267" w:type="dxa"/>
            <w:gridSpan w:val="6"/>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endfor %}</w:t>
            </w:r>
          </w:p>
        </w:tc>
      </w:tr>
    </w:tbl>
    <w:p>
      <w:pPr>
        <w:pStyle w:val="Normal"/>
        <w:jc w:val="both"/>
        <w:rPr>
          <w:rFonts w:ascii="TimesNewRomanPSMT" w:hAnsi="TimesNewRomanPSMT" w:cs="TimesNewRomanPSMT"/>
          <w:sz w:val="20"/>
        </w:rPr>
      </w:pPr>
      <w:r>
        <w:rPr>
          <w:rFonts w:cs="TimesNewRomanPSMT" w:ascii="TimesNewRomanPSMT" w:hAnsi="TimesNewRomanPSMT"/>
          <w:sz w:val="20"/>
          <w:lang w:val="en-US"/>
        </w:rPr>
        <w:t>{% endif %}</w:t>
      </w:r>
      <w:bookmarkStart w:id="84" w:name="S9"/>
      <w:bookmarkStart w:id="85" w:name="S10"/>
      <w:bookmarkEnd w:id="84"/>
      <w:bookmarkEnd w:id="85"/>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Pr/>
        <w:t xml:space="preserve"> </w:t>
      </w:r>
      <w:r>
        <w:rPr>
          <w:rFonts w:cs="TimesNewRomanPSMT" w:ascii="TimesNewRomanPSMT" w:hAnsi="TimesNewRomanPSMT"/>
        </w:rPr>
        <w:t>opposable. Cette faculté n'est utilisable que pour autant qu'aucun locataire du patrimoine appartenant ou géré par le bailleur ne manifeste sa volonté de louer les annexes en cause.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B.-Locaux auxquels ne s'applique pas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bookmarkStart w:id="86" w:name="Locaux"/>
      <w:bookmarkEnd w:id="86"/>
      <w:r>
        <w:rPr>
          <w:rFonts w:cs="TimesNewRomanPSMT" w:ascii="TimesNewRomanPSMT" w:hAnsi="TimesNewRomanPSMT"/>
        </w:rPr>
        <w:t xml:space="preserve">Locaux commerciaux (nombre) :  </w:t>
      </w:r>
      <w:bookmarkStart w:id="87" w:name="Commerce"/>
      <w:bookmarkEnd w:id="87"/>
      <w:r>
        <w:rPr>
          <w:rFonts w:cs="TimesNewRomanPSMT" w:ascii="TimesNewRomanPSMT" w:hAnsi="TimesNewRomanPSMT"/>
        </w:rPr>
        <w:t>{{ programme.nb_locaux_commerciaux or 0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Bureaux (nombre) : </w:t>
      </w:r>
      <w:bookmarkStart w:id="88" w:name="Bureau"/>
      <w:bookmarkEnd w:id="88"/>
      <w:r>
        <w:rPr>
          <w:rFonts w:cs="TimesNewRomanPSMT" w:ascii="TimesNewRomanPSMT" w:hAnsi="TimesNewRomanPSMT"/>
        </w:rPr>
        <w:t>{{ programme.nb_bureaux or 0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xml:space="preserve">Autres : </w:t>
      </w:r>
      <w:bookmarkStart w:id="89" w:name="Autre"/>
      <w:bookmarkEnd w:id="89"/>
      <w:r>
        <w:rPr>
          <w:rFonts w:cs="TimesNewRomanPSMT" w:ascii="TimesNewRomanPSMT" w:hAnsi="TimesNewRomanPSMT"/>
        </w:rPr>
        <w:t>{{ programme.autre_locaux_hors_convention or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4° Origine des propriétés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xml:space="preserve">Vendeur : </w:t>
      </w:r>
      <w:bookmarkStart w:id="90" w:name="Vendeur"/>
      <w:bookmarkEnd w:id="90"/>
      <w:r>
        <w:rPr>
          <w:rFonts w:cs="TimesNewRomanPSMT" w:ascii="TimesNewRomanPSMT" w:hAnsi="TimesNewRomanPSMT"/>
        </w:rPr>
        <w:t>{{ programme.vendeur</w:t>
      </w:r>
      <w:r>
        <w:rPr>
          <w:rFonts w:cs="TimesNewRomanPSMT" w:ascii="TimesNewRomanPSMT" w:hAnsi="TimesNewRomanPSMT"/>
          <w:lang w:val="fr-FR"/>
        </w:rPr>
        <w:t>_text()</w:t>
      </w:r>
      <w:r>
        <w:rPr>
          <w:rFonts w:cs="TimesNewRomanPSMT" w:ascii="TimesNewRomanPSMT" w:hAnsi="TimesNewRomanPSMT"/>
        </w:rPr>
        <w:t xml:space="preserve">  }}</w:t>
      </w:r>
    </w:p>
    <w:p>
      <w:pPr>
        <w:pStyle w:val="Normal"/>
        <w:jc w:val="both"/>
        <w:rPr>
          <w:rFonts w:ascii="TimesNewRomanPSMT" w:hAnsi="TimesNewRomanPSMT" w:cs="TimesNewRomanPSMT"/>
          <w:lang w:val="fr-FR"/>
        </w:rPr>
      </w:pPr>
      <w:r>
        <w:rPr>
          <w:rFonts w:cs="TimesNewRomanPSMT" w:ascii="TimesNewRomanPSMT" w:hAnsi="TimesNewRomanPSMT"/>
          <w:lang w:val="fr-FR"/>
        </w:rPr>
        <w:t>{% for image in vendeur_images %}</w:t>
      </w:r>
    </w:p>
    <w:p>
      <w:pPr>
        <w:pStyle w:val="Normal"/>
        <w:jc w:val="both"/>
        <w:rPr>
          <w:rFonts w:ascii="TimesNewRomanPSMT" w:hAnsi="TimesNewRomanPSMT" w:cs="TimesNewRomanPSMT"/>
          <w:lang w:val="fr-FR"/>
        </w:rPr>
      </w:pPr>
      <w:r>
        <w:rPr>
          <w:rFonts w:cs="TimesNewRomanPSMT" w:ascii="TimesNewRomanPSMT" w:hAnsi="TimesNewRomanPSMT"/>
          <w:lang w:val="fr-FR"/>
        </w:rPr>
        <w:t>{{image}}</w:t>
      </w:r>
    </w:p>
    <w:p>
      <w:pPr>
        <w:pStyle w:val="Normal"/>
        <w:jc w:val="both"/>
        <w:rPr>
          <w:rFonts w:ascii="TimesNewRomanPSMT" w:hAnsi="TimesNewRomanPSMT" w:cs="TimesNewRomanPSMT"/>
          <w:lang w:val="fr-FR"/>
        </w:rPr>
      </w:pPr>
      <w:r>
        <w:rPr>
          <w:rFonts w:cs="TimesNewRomanPSMT" w:ascii="TimesNewRomanPSMT" w:hAnsi="TimesNewRomanPSMT"/>
          <w:lang w:val="fr-FR"/>
        </w:rPr>
      </w:r>
    </w:p>
    <w:p>
      <w:pPr>
        <w:pStyle w:val="Normal"/>
        <w:jc w:val="both"/>
        <w:rPr>
          <w:rFonts w:ascii="TimesNewRomanPSMT" w:hAnsi="TimesNewRomanPSMT" w:cs="TimesNewRomanPSMT"/>
          <w:lang w:val="fr-FR"/>
        </w:rPr>
      </w:pPr>
      <w:r>
        <w:rPr>
          <w:rFonts w:cs="TimesNewRomanPSMT" w:ascii="TimesNewRomanPSMT" w:hAnsi="TimesNewRomanPSMT"/>
          <w:lang w:val="fr-FR"/>
        </w:rPr>
        <w:t>{% endfor %}</w:t>
      </w:r>
    </w:p>
    <w:p>
      <w:pPr>
        <w:pStyle w:val="Normal"/>
        <w:jc w:val="both"/>
        <w:rPr>
          <w:rFonts w:ascii="TimesNewRomanPSMT" w:hAnsi="TimesNewRomanPSMT" w:cs="TimesNewRomanPSMT"/>
        </w:rPr>
      </w:pPr>
      <w:r>
        <w:rPr>
          <w:rFonts w:cs="TimesNewRomanPSMT" w:ascii="TimesNewRomanPSMT" w:hAnsi="TimesNewRomanPSMT"/>
        </w:rPr>
        <w:t xml:space="preserve">Acquéreur : </w:t>
      </w:r>
      <w:bookmarkStart w:id="91" w:name="Acquereur"/>
      <w:bookmarkEnd w:id="91"/>
      <w:r>
        <w:rPr>
          <w:rFonts w:cs="TimesNewRomanPSMT" w:ascii="TimesNewRomanPSMT" w:hAnsi="TimesNewRomanPSMT"/>
        </w:rPr>
        <w:t>{{ programme.acquereu</w:t>
      </w:r>
      <w:r>
        <w:rPr>
          <w:rFonts w:cs="TimesNewRomanPSMT" w:ascii="TimesNewRomanPSMT" w:hAnsi="TimesNewRomanPSMT"/>
          <w:lang w:val="fr-FR"/>
        </w:rPr>
        <w:t>r_text()</w:t>
      </w:r>
      <w:r>
        <w:rPr>
          <w:rFonts w:cs="TimesNewRomanPSMT" w:ascii="TimesNewRomanPSMT" w:hAnsi="TimesNewRomanPSMT"/>
        </w:rPr>
        <w:t xml:space="preserve"> }}</w:t>
      </w:r>
    </w:p>
    <w:p>
      <w:pPr>
        <w:pStyle w:val="Normal"/>
        <w:jc w:val="both"/>
        <w:rPr>
          <w:rFonts w:ascii="TimesNewRomanPSMT" w:hAnsi="TimesNewRomanPSMT" w:cs="TimesNewRomanPSMT"/>
        </w:rPr>
      </w:pPr>
      <w:r>
        <w:rPr>
          <w:rFonts w:cs="TimesNewRomanPSMT" w:ascii="TimesNewRomanPSMT" w:hAnsi="TimesNewRomanPSMT"/>
        </w:rPr>
        <w:t>{% for image in acquereur_images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endfor %}</w:t>
      </w:r>
    </w:p>
    <w:p>
      <w:pPr>
        <w:pStyle w:val="Normal"/>
        <w:jc w:val="both"/>
        <w:rPr/>
      </w:pPr>
      <w:r>
        <w:rPr/>
        <w:t xml:space="preserve">Acte notarié : </w:t>
      </w:r>
      <w:bookmarkStart w:id="92" w:name="ActeNotaire"/>
      <w:bookmarkEnd w:id="92"/>
      <w:r>
        <w:rPr>
          <w:rFonts w:cs="TimesNewRomanPSMT" w:ascii="TimesNewRomanPSMT" w:hAnsi="TimesNewRomanPSMT"/>
        </w:rPr>
        <w:t>{{ programme.date_acte_notarie|d }}</w:t>
      </w:r>
    </w:p>
    <w:p>
      <w:pPr>
        <w:pStyle w:val="Normal"/>
        <w:jc w:val="both"/>
        <w:rPr/>
      </w:pPr>
      <w:r>
        <w:rPr/>
      </w:r>
    </w:p>
    <w:p>
      <w:pPr>
        <w:pStyle w:val="Normal"/>
        <w:jc w:val="both"/>
        <w:rPr/>
      </w:pPr>
      <w:r>
        <w:rPr/>
        <w:t xml:space="preserve">Notaire : </w:t>
      </w:r>
      <w:bookmarkStart w:id="93" w:name="Notaire"/>
      <w:bookmarkEnd w:id="93"/>
      <w:r>
        <w:rPr>
          <w:rFonts w:cs="TimesNewRomanPSMT" w:ascii="TimesNewRomanPSMT" w:hAnsi="TimesNewRomanPSMT"/>
        </w:rPr>
        <w:t>{{ programme.reference_notaire_text()  }}</w:t>
      </w:r>
    </w:p>
    <w:p>
      <w:pPr>
        <w:pStyle w:val="Normal"/>
        <w:jc w:val="both"/>
        <w:rPr>
          <w:rFonts w:ascii="TimesNewRomanPSMT" w:hAnsi="TimesNewRomanPSMT" w:cs="TimesNewRomanPSMT"/>
        </w:rPr>
      </w:pPr>
      <w:r>
        <w:rPr>
          <w:rFonts w:cs="TimesNewRomanPSMT" w:ascii="TimesNewRomanPSMT" w:hAnsi="TimesNewRomanPSMT"/>
        </w:rPr>
        <w:t>{% for image in reference_notaire_images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endfor %}</w:t>
      </w:r>
    </w:p>
    <w:p>
      <w:pPr>
        <w:pStyle w:val="Normal"/>
        <w:jc w:val="both"/>
        <w:rPr/>
      </w:pPr>
      <w:r>
        <w:rPr/>
        <w:t xml:space="preserve">Référence publicitaire : </w:t>
      </w:r>
      <w:bookmarkStart w:id="94" w:name="Refpublic"/>
      <w:bookmarkEnd w:id="94"/>
      <w:r>
        <w:rPr>
          <w:rFonts w:cs="TimesNewRomanPSMT" w:ascii="TimesNewRomanPSMT" w:hAnsi="TimesNewRomanPSMT"/>
        </w:rPr>
        <w:t>{{ programme.reference_publication_acte_text() }}</w:t>
      </w:r>
    </w:p>
    <w:p>
      <w:pPr>
        <w:pStyle w:val="Normal"/>
        <w:jc w:val="both"/>
        <w:rPr>
          <w:rFonts w:ascii="TimesNewRomanPSMT" w:hAnsi="TimesNewRomanPSMT" w:cs="TimesNewRomanPSMT"/>
        </w:rPr>
      </w:pPr>
      <w:r>
        <w:rPr>
          <w:rFonts w:cs="TimesNewRomanPSMT" w:ascii="TimesNewRomanPSMT" w:hAnsi="TimesNewRomanPSMT"/>
        </w:rPr>
        <w:t>{% for image in reference_publication</w:t>
      </w:r>
      <w:r>
        <w:rPr>
          <w:rFonts w:cs="TimesNewRomanPSMT" w:ascii="TimesNewRomanPSMT" w:hAnsi="TimesNewRomanPSMT"/>
          <w:lang w:val="en-US"/>
        </w:rPr>
        <w:t>_acte</w:t>
      </w:r>
      <w:r>
        <w:rPr>
          <w:rFonts w:cs="TimesNewRomanPSMT" w:ascii="TimesNewRomanPSMT" w:hAnsi="TimesNewRomanPSMT"/>
        </w:rPr>
        <w:t>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lang w:val="fr-FR"/>
        </w:rPr>
        <w:t>{% endfor %}</w:t>
      </w:r>
    </w:p>
    <w:p>
      <w:pPr>
        <w:pStyle w:val="Normal"/>
        <w:jc w:val="both"/>
        <w:rPr>
          <w:rFonts w:ascii="TimesNewRomanPSMT" w:hAnsi="TimesNewRomanPSMT" w:cs="TimesNewRomanPSMT"/>
        </w:rPr>
      </w:pPr>
      <w:r>
        <w:rPr>
          <w:rFonts w:cs="TimesNewRomanPSMT" w:ascii="TimesNewRomanPSMT" w:hAnsi="TimesNewRomanPSMT"/>
        </w:rPr>
        <w:t xml:space="preserve">5° Renseignements administratifs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5.1. Permis de construire : </w:t>
      </w:r>
      <w:bookmarkStart w:id="95" w:name="PC"/>
      <w:bookmarkEnd w:id="95"/>
      <w:r>
        <w:rPr>
          <w:rFonts w:cs="TimesNewRomanPSMT" w:ascii="TimesNewRomanPSMT" w:hAnsi="TimesNewRomanPSMT"/>
        </w:rPr>
        <w:t>{{ programme.permis_construire or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5.2. Date prévisible ou effective d'achèvement des travaux de construction ou d'amélioration : {{ programme.date_achevement_</w:t>
      </w:r>
      <w:r>
        <w:rPr>
          <w:rFonts w:cs="TimesNewRomanPSMT" w:ascii="TimesNewRomanPSMT" w:hAnsi="TimesNewRomanPSMT"/>
          <w:lang w:val="fr-FR"/>
        </w:rPr>
        <w:t>compile</w:t>
      </w:r>
      <w:r>
        <w:rPr>
          <w:rFonts w:cs="TimesNewRomanPSMT" w:ascii="TimesNewRomanPSMT" w:hAnsi="TimesNewRomanPSMT"/>
        </w:rPr>
        <w: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5.3. Date d'achat : </w:t>
      </w:r>
      <w:bookmarkStart w:id="96" w:name="Achat"/>
      <w:bookmarkEnd w:id="96"/>
      <w:r>
        <w:rPr>
          <w:rFonts w:cs="TimesNewRomanPSMT" w:ascii="TimesNewRomanPSMT" w:hAnsi="TimesNewRomanPSMT"/>
        </w:rPr>
        <w:t>{{ programme.date_achat|d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5.4. Modalités de financement.</w:t>
      </w:r>
    </w:p>
    <w:p>
      <w:pPr>
        <w:pStyle w:val="Normal"/>
        <w:jc w:val="both"/>
        <w:rPr>
          <w:rFonts w:ascii="TimesNewRomanPSMT" w:hAnsi="TimesNewRomanPSMT" w:cs="TimesNewRomanPSMT"/>
        </w:rPr>
      </w:pPr>
      <w:r>
        <w:rPr>
          <w:rFonts w:cs="TimesNewRomanPSMT" w:ascii="TimesNewRomanPSMT" w:hAnsi="TimesNewRomanPSMT"/>
        </w:rPr>
        <w:t>{% if prets_cdc.count() %}{% for p in prets_cdc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Numéro : {{ p.n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Date d’octroi : {{ p.do|sd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Durée: {{ p.d }} an{{ p.d|pl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Montant : {{ p.m|f }}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Prêteur : {{ p.p_full() }}</w:t>
      </w:r>
    </w:p>
    <w:p>
      <w:pPr>
        <w:pStyle w:val="Normal"/>
        <w:jc w:val="both"/>
        <w:rPr>
          <w:rFonts w:ascii="TimesNewRomanPSMT" w:hAnsi="TimesNewRomanPSMT" w:cs="TimesNewRomanPSMT"/>
          <w:lang w:val="en-US"/>
        </w:rPr>
      </w:pPr>
      <w:r>
        <w:rPr>
          <w:rFonts w:cs="TimesNewRomanPSMT" w:ascii="TimesNewRomanPSMT" w:hAnsi="TimesNewRomanPSMT"/>
          <w:lang w:val="en-US"/>
        </w:rPr>
        <w:t>{% endfor %}</w:t>
      </w:r>
      <w:r>
        <w:rPr/>
        <w:t>{% endif %}</w:t>
      </w:r>
    </w:p>
    <w:p>
      <w:pPr>
        <w:pStyle w:val="Normal"/>
        <w:jc w:val="both"/>
        <w:rPr/>
      </w:pPr>
      <w:bookmarkStart w:id="97" w:name="Etat"/>
      <w:bookmarkEnd w:id="97"/>
      <w:r>
        <w:rPr>
          <w:rFonts w:cs="TimesNewRomanPSMT" w:ascii="TimesNewRomanPSMT" w:hAnsi="TimesNewRomanPSMT"/>
        </w:rPr>
        <w:t>{% if autres_prets.count() %} Financement complémentaire :</w:t>
      </w:r>
    </w:p>
    <w:p>
      <w:pPr>
        <w:pStyle w:val="Normal"/>
        <w:jc w:val="both"/>
        <w:rPr>
          <w:rFonts w:ascii="TimesNewRomanPSMT" w:hAnsi="TimesNewRomanPSMT" w:cs="TimesNewRomanPSMT"/>
          <w:lang w:val="en-US"/>
        </w:rPr>
      </w:pPr>
      <w:r>
        <w:rPr>
          <w:rFonts w:cs="TimesNewRomanPSMT" w:ascii="TimesNewRomanPSMT" w:hAnsi="TimesNewRomanPSMT"/>
        </w:rPr>
        <w:t xml:space="preserve">{% for p in </w:t>
      </w:r>
      <w:r>
        <w:rPr>
          <w:rFonts w:cs="TimesNewRomanPSMT" w:ascii="TimesNewRomanPSMT" w:hAnsi="TimesNewRomanPSMT"/>
          <w:lang w:val="en-US"/>
        </w:rPr>
        <w:t>autres_</w:t>
      </w:r>
      <w:r>
        <w:rPr>
          <w:rFonts w:cs="TimesNewRomanPSMT" w:ascii="TimesNewRomanPSMT" w:hAnsi="TimesNewRomanPSMT"/>
        </w:rPr>
        <w:t>prets %}</w:t>
      </w:r>
      <w:r>
        <w:rPr>
          <w:rFonts w:cs="TimesNewRomanPSMT" w:ascii="TimesNewRomanPSMT" w:hAnsi="TimesNewRomanPSMT"/>
          <w:lang w:val="en-US"/>
        </w:rPr>
        <w:t>{% if p.n %}</w:t>
      </w:r>
    </w:p>
    <w:p>
      <w:pPr>
        <w:pStyle w:val="ListParagraph"/>
        <w:numPr>
          <w:ilvl w:val="0"/>
          <w:numId w:val="3"/>
        </w:numPr>
        <w:jc w:val="both"/>
        <w:rPr>
          <w:rFonts w:ascii="TimesNewRomanPSMT" w:hAnsi="TimesNewRomanPSMT" w:cs="TimesNewRomanPSMT"/>
          <w:lang w:val="en-US"/>
        </w:rPr>
      </w:pPr>
      <w:r>
        <w:rPr>
          <w:rFonts w:cs="TimesNewRomanPSMT" w:ascii="TimesNewRomanPSMT" w:hAnsi="TimesNewRomanPSMT"/>
          <w:lang w:val="en-US"/>
        </w:rPr>
        <w:t>Numéro : {{ p.n }}</w:t>
      </w:r>
      <w:r>
        <w:rPr/>
        <w:t>{% endif %}</w:t>
      </w:r>
      <w:r>
        <w:rPr>
          <w:rFonts w:cs="TimesNewRomanPSMT" w:ascii="TimesNewRomanPSMT" w:hAnsi="TimesNewRomanPSMT"/>
          <w:lang w:val="en-US"/>
        </w:rPr>
        <w:t>{% if p.do %}</w:t>
      </w:r>
    </w:p>
    <w:p>
      <w:pPr>
        <w:pStyle w:val="ListParagraph"/>
        <w:numPr>
          <w:ilvl w:val="0"/>
          <w:numId w:val="3"/>
        </w:numPr>
        <w:jc w:val="both"/>
        <w:rPr>
          <w:rFonts w:ascii="TimesNewRomanPSMT" w:hAnsi="TimesNewRomanPSMT" w:cs="TimesNewRomanPSMT"/>
          <w:lang w:val="en-US"/>
        </w:rPr>
      </w:pPr>
      <w:r>
        <w:rPr>
          <w:rFonts w:cs="TimesNewRomanPSMT" w:ascii="TimesNewRomanPSMT" w:hAnsi="TimesNewRomanPSMT"/>
          <w:lang w:val="en-US"/>
        </w:rPr>
        <w:t>Date d’octroi : {{ p.do|sd }}</w:t>
      </w:r>
      <w:r>
        <w:rPr/>
        <w:t>{% endif %}</w:t>
      </w:r>
      <w:r>
        <w:rPr>
          <w:rFonts w:cs="TimesNewRomanPSMT" w:ascii="TimesNewRomanPSMT" w:hAnsi="TimesNewRomanPSMT"/>
          <w:lang w:val="en-US"/>
        </w:rPr>
        <w:t>{% if p.d %}</w:t>
      </w:r>
    </w:p>
    <w:p>
      <w:pPr>
        <w:pStyle w:val="ListParagraph"/>
        <w:numPr>
          <w:ilvl w:val="0"/>
          <w:numId w:val="3"/>
        </w:numPr>
        <w:jc w:val="both"/>
        <w:rPr>
          <w:rFonts w:ascii="TimesNewRomanPSMT" w:hAnsi="TimesNewRomanPSMT" w:cs="TimesNewRomanPSMT"/>
          <w:lang w:val="en-US"/>
        </w:rPr>
      </w:pPr>
      <w:r>
        <w:rPr>
          <w:rFonts w:cs="TimesNewRomanPSMT" w:ascii="TimesNewRomanPSMT" w:hAnsi="TimesNewRomanPSMT"/>
          <w:lang w:val="en-US"/>
        </w:rPr>
        <w:t>Durée : {{ p.d }} an{{ p.d|pl }}</w:t>
      </w:r>
      <w:r>
        <w:rPr/>
        <w:t>{% endif %}</w:t>
      </w:r>
      <w:r>
        <w:rPr>
          <w:rFonts w:cs="TimesNewRomanPSMT" w:ascii="TimesNewRomanPSMT" w:hAnsi="TimesNewRomanPSMT"/>
          <w:lang w:val="en-US"/>
        </w:rPr>
        <w:t>{% if p.m %}</w:t>
      </w:r>
    </w:p>
    <w:p>
      <w:pPr>
        <w:pStyle w:val="ListParagraph"/>
        <w:numPr>
          <w:ilvl w:val="0"/>
          <w:numId w:val="3"/>
        </w:numPr>
        <w:jc w:val="both"/>
        <w:rPr>
          <w:rFonts w:ascii="TimesNewRomanPSMT" w:hAnsi="TimesNewRomanPSMT" w:cs="TimesNewRomanPSMT"/>
          <w:lang w:val="en-US"/>
        </w:rPr>
      </w:pPr>
      <w:r>
        <w:rPr>
          <w:rFonts w:cs="TimesNewRomanPSMT" w:ascii="TimesNewRomanPSMT" w:hAnsi="TimesNewRomanPSMT"/>
          <w:lang w:val="en-US"/>
        </w:rPr>
        <w:t>Montant : {{ p.m|f }} €</w:t>
      </w:r>
      <w:r>
        <w:rPr/>
        <w:t>{% endif %}</w:t>
      </w:r>
      <w:r>
        <w:rPr>
          <w:rFonts w:cs="TimesNewRomanPSMT" w:ascii="TimesNewRomanPSMT" w:hAnsi="TimesNewRomanPSMT"/>
          <w:lang w:val="en-US"/>
        </w:rPr>
        <w:t>{% if p.preteur_display()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Prêteur : {{ p.preteur_display() }}</w:t>
      </w:r>
      <w:r>
        <w:rPr/>
        <w:t>{% endif %}</w:t>
      </w:r>
    </w:p>
    <w:p>
      <w:pPr>
        <w:pStyle w:val="Normal"/>
        <w:jc w:val="both"/>
        <w:rPr>
          <w:rFonts w:ascii="TimesNewRomanPSMT" w:hAnsi="TimesNewRomanPSMT" w:cs="TimesNewRomanPSMT"/>
          <w:lang w:val="fr-FR"/>
        </w:rPr>
      </w:pPr>
      <w:r>
        <w:rPr>
          <w:rFonts w:cs="TimesNewRomanPSMT" w:ascii="TimesNewRomanPSMT" w:hAnsi="TimesNewRomanPSMT"/>
          <w:lang w:val="fr-FR"/>
        </w:rPr>
        <w:t>{% endfor %}</w:t>
      </w:r>
      <w:r>
        <w:rPr/>
        <w:t>{% endif %}</w:t>
      </w:r>
    </w:p>
    <w:p>
      <w:pPr>
        <w:pStyle w:val="Normal"/>
        <w:jc w:val="both"/>
        <w:rPr>
          <w:rFonts w:ascii="TimesNewRomanPSMT" w:hAnsi="TimesNewRomanPSMT" w:cs="TimesNewRomanPSMT"/>
        </w:rPr>
      </w:pPr>
      <w:bookmarkStart w:id="98" w:name="Fondpropre"/>
      <w:bookmarkEnd w:id="98"/>
      <w:r>
        <w:rPr>
          <w:rFonts w:cs="TimesNewRomanPSMT" w:ascii="TimesNewRomanPSMT" w:hAnsi="TimesNewRomanPSMT"/>
        </w:rPr>
        <w:t>{% if convention.fond_propre %}Fond propre : {{ convention.fond_propre|f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 endif %}Date d'achèvement de la construction ou certificat de conformité : </w:t>
      </w:r>
      <w:bookmarkStart w:id="99" w:name="Construc"/>
      <w:bookmarkEnd w:id="99"/>
      <w:r>
        <w:rPr>
          <w:rFonts w:cs="TimesNewRomanPSMT" w:ascii="TimesNewRomanPSMT" w:hAnsi="TimesNewRomanPSMT"/>
        </w:rPr>
        <w:t>{{ programme.date_achevement|d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rPr/>
      </w:pPr>
      <w:r>
        <w:rPr/>
        <mc:AlternateContent>
          <mc:Choice Requires="wps">
            <w:drawing>
              <wp:inline distT="0" distB="1905" distL="0" distR="635" wp14:anchorId="6A4E3B60">
                <wp:extent cx="5233035" cy="2717165"/>
                <wp:effectExtent l="0" t="0" r="635" b="1905"/>
                <wp:docPr id="3" name="Forme2"/>
                <a:graphic xmlns:a="http://schemas.openxmlformats.org/drawingml/2006/main">
                  <a:graphicData uri="http://schemas.microsoft.com/office/word/2010/wordprocessingShape">
                    <wps:wsp>
                      <wps:cNvSpPr/>
                      <wps:spPr>
                        <a:xfrm>
                          <a:off x="0" y="0"/>
                          <a:ext cx="5232240" cy="2716560"/>
                        </a:xfrm>
                        <a:prstGeom prst="rect">
                          <a:avLst/>
                        </a:prstGeom>
                        <a:solidFill>
                          <a:schemeClr val="lt1"/>
                        </a:solidFill>
                        <a:ln w="6350">
                          <a:noFill/>
                        </a:ln>
                      </wps:spPr>
                      <wps:style>
                        <a:lnRef idx="0"/>
                        <a:fillRef idx="0"/>
                        <a:effectRef idx="0"/>
                        <a:fontRef idx="minor"/>
                      </wps:style>
                      <wps:txbx>
                        <w:txbxContent>
                          <w:p>
                            <w:pPr>
                              <w:pStyle w:val="Contenudecadre"/>
                              <w:jc w:val="both"/>
                              <w:rPr>
                                <w:color w:val="000000"/>
                              </w:rPr>
                            </w:pPr>
                            <w:r>
                              <w:rPr>
                                <w:rFonts w:cs="TimesNewRomanPSMT" w:ascii="TimesNewRomanPSMT" w:hAnsi="TimesNewRomanPSMT"/>
                                <w:color w:val="000000"/>
                              </w:rPr>
                              <w:t xml:space="preserve">Fait en </w:t>
                            </w:r>
                            <w:r>
                              <w:rPr>
                                <w:rFonts w:cs="TimesNewRomanPSMT" w:ascii="TimesNewRomanPSMT" w:hAnsi="TimesNewRomanPSMT"/>
                                <w:color w:val="000000"/>
                                <w:lang w:val="fr-FR"/>
                              </w:rPr>
                              <w:t>trois</w:t>
                            </w:r>
                            <w:r>
                              <w:rPr>
                                <w:rFonts w:cs="TimesNewRomanPSMT" w:ascii="TimesNewRomanPSMT" w:hAnsi="TimesNewRomanPSMT"/>
                                <w:color w:val="000000"/>
                              </w:rPr>
                              <w:t xml:space="preserve"> originaux à {{administration.</w:t>
                            </w:r>
                            <w:r>
                              <w:rPr>
                                <w:rFonts w:cs="TimesNewRomanPSMT" w:ascii="TimesNewRomanPSMT" w:hAnsi="TimesNewRomanPSMT"/>
                                <w:color w:val="000000"/>
                                <w:lang w:val="fr-FR"/>
                              </w:rPr>
                              <w:t>get_</w:t>
                            </w:r>
                            <w:r>
                              <w:rPr>
                                <w:rFonts w:cs="TimesNewRomanPSMT" w:ascii="TimesNewRomanPSMT" w:hAnsi="TimesNewRomanPSMT"/>
                                <w:color w:val="000000"/>
                              </w:rPr>
                              <w:t>ville_signature</w:t>
                            </w:r>
                            <w:r>
                              <w:rPr>
                                <w:rFonts w:cs="TimesNewRomanPSMT" w:ascii="TimesNewRomanPSMT" w:hAnsi="TimesNewRomanPSMT"/>
                                <w:color w:val="000000"/>
                                <w:lang w:val="fr-FR"/>
                              </w:rPr>
                              <w:t>_or_empty()</w:t>
                            </w:r>
                            <w:r>
                              <w:rPr>
                                <w:rFonts w:cs="TimesNewRomanPSMT" w:ascii="TimesNewRomanPSMT" w:hAnsi="TimesNewRomanPSMT"/>
                                <w:color w:val="000000"/>
                              </w:rPr>
                              <w:t xml:space="preserve"> }}, le</w:t>
                            </w:r>
                          </w:p>
                          <w:p>
                            <w:pPr>
                              <w:pStyle w:val="Contenudecadre"/>
                              <w:jc w:val="both"/>
                              <w:rPr>
                                <w:rFonts w:ascii="TimesNewRomanPSMT" w:hAnsi="TimesNewRomanPSMT" w:cs="TimesNewRomanPSMT"/>
                              </w:rPr>
                            </w:pPr>
                            <w:r>
                              <w:rPr>
                                <w:rFonts w:cs="TimesNewRomanPSMT" w:ascii="TimesNewRomanPSMT" w:hAnsi="TimesNewRomanPSMT"/>
                                <w:color w:val="000000"/>
                              </w:rPr>
                            </w:r>
                          </w:p>
                          <w:p>
                            <w:pPr>
                              <w:pStyle w:val="Contenudecadre"/>
                              <w:jc w:val="both"/>
                              <w:rPr>
                                <w:color w:val="000000"/>
                              </w:rPr>
                            </w:pPr>
                            <w:r>
                              <w:rPr>
                                <w:rFonts w:cs="TimesNewRomanPSMT" w:ascii="TimesNewRomanPSMT" w:hAnsi="TimesNewRomanPSMT"/>
                                <w:color w:val="000000"/>
                              </w:rPr>
                              <w:t>Le bailleur (6),</w:t>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rFonts w:ascii="TimesNewRomanPSMT" w:hAnsi="TimesNewRomanPSMT" w:cs="TimesNewRomanPSMT"/>
                              </w:rPr>
                            </w:pPr>
                            <w:r>
                              <w:rPr>
                                <w:rFonts w:cs="TimesNewRomanPSMT" w:ascii="TimesNewRomanPSMT" w:hAnsi="TimesNewRomanPSMT"/>
                                <w:color w:val="000000"/>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color w:val="000000"/>
                              </w:rPr>
                            </w:r>
                          </w:p>
                          <w:p>
                            <w:pPr>
                              <w:pStyle w:val="Contenudecadre"/>
                              <w:rPr>
                                <w:rFonts w:ascii="TimesNewRomanPSMT" w:hAnsi="TimesNewRomanPSMT" w:cs="TimesNewRomanPSMT"/>
                              </w:rPr>
                            </w:pPr>
                            <w:r>
                              <w:rPr>
                                <w:rFonts w:cs="TimesNewRomanPSMT" w:ascii="TimesNewRomanPSMT" w:hAnsi="TimesNewRomanPSMT"/>
                                <w:color w:val="000000"/>
                              </w:rPr>
                            </w:r>
                          </w:p>
                          <w:p>
                            <w:pPr>
                              <w:pStyle w:val="Contenudecadre"/>
                              <w:rPr>
                                <w:color w:val="000000"/>
                              </w:rPr>
                            </w:pPr>
                            <w:r>
                              <w:rPr>
                                <w:color w:val="000000"/>
                              </w:rPr>
                            </w:r>
                          </w:p>
                          <w:p>
                            <w:pPr>
                              <w:pStyle w:val="Contenudecadre"/>
                              <w:rPr>
                                <w:color w:val="000000"/>
                              </w:rPr>
                            </w:pPr>
                            <w:r>
                              <w:rPr>
                                <w:color w:val="000000"/>
                              </w:rPr>
                            </w:r>
                          </w:p>
                        </w:txbxContent>
                      </wps:txbx>
                      <wps:bodyPr lIns="0" rIns="0" tIns="0" bIns="0" anchor="t">
                        <a:prstTxWarp prst="textNoShape"/>
                        <a:noAutofit/>
                      </wps:bodyPr>
                    </wps:wsp>
                  </a:graphicData>
                </a:graphic>
              </wp:inline>
            </w:drawing>
          </mc:Choice>
          <mc:Fallback>
            <w:pict>
              <v:rect id="shape_0" ID="Forme2" path="m0,0l-2147483645,0l-2147483645,-2147483646l0,-2147483646xe" fillcolor="white" stroked="f" o:allowincell="f" style="position:absolute;margin-left:0pt;margin-top:-214.1pt;width:411.95pt;height:213.85pt;mso-wrap-style:square;v-text-anchor:top;mso-position-vertical:top" wp14:anchorId="6A4E3B60">
                <v:fill o:detectmouseclick="t" type="solid" color2="black"/>
                <v:stroke color="#3465a4" weight="6480" joinstyle="round" endcap="flat"/>
                <v:textbox>
                  <w:txbxContent>
                    <w:p>
                      <w:pPr>
                        <w:pStyle w:val="Contenudecadre"/>
                        <w:jc w:val="both"/>
                        <w:rPr>
                          <w:color w:val="000000"/>
                        </w:rPr>
                      </w:pPr>
                      <w:r>
                        <w:rPr>
                          <w:rFonts w:cs="TimesNewRomanPSMT" w:ascii="TimesNewRomanPSMT" w:hAnsi="TimesNewRomanPSMT"/>
                          <w:color w:val="000000"/>
                        </w:rPr>
                        <w:t xml:space="preserve">Fait en </w:t>
                      </w:r>
                      <w:r>
                        <w:rPr>
                          <w:rFonts w:cs="TimesNewRomanPSMT" w:ascii="TimesNewRomanPSMT" w:hAnsi="TimesNewRomanPSMT"/>
                          <w:color w:val="000000"/>
                          <w:lang w:val="fr-FR"/>
                        </w:rPr>
                        <w:t>trois</w:t>
                      </w:r>
                      <w:r>
                        <w:rPr>
                          <w:rFonts w:cs="TimesNewRomanPSMT" w:ascii="TimesNewRomanPSMT" w:hAnsi="TimesNewRomanPSMT"/>
                          <w:color w:val="000000"/>
                        </w:rPr>
                        <w:t xml:space="preserve"> originaux à {{administration.</w:t>
                      </w:r>
                      <w:r>
                        <w:rPr>
                          <w:rFonts w:cs="TimesNewRomanPSMT" w:ascii="TimesNewRomanPSMT" w:hAnsi="TimesNewRomanPSMT"/>
                          <w:color w:val="000000"/>
                          <w:lang w:val="fr-FR"/>
                        </w:rPr>
                        <w:t>get_</w:t>
                      </w:r>
                      <w:r>
                        <w:rPr>
                          <w:rFonts w:cs="TimesNewRomanPSMT" w:ascii="TimesNewRomanPSMT" w:hAnsi="TimesNewRomanPSMT"/>
                          <w:color w:val="000000"/>
                        </w:rPr>
                        <w:t>ville_signature</w:t>
                      </w:r>
                      <w:r>
                        <w:rPr>
                          <w:rFonts w:cs="TimesNewRomanPSMT" w:ascii="TimesNewRomanPSMT" w:hAnsi="TimesNewRomanPSMT"/>
                          <w:color w:val="000000"/>
                          <w:lang w:val="fr-FR"/>
                        </w:rPr>
                        <w:t>_or_empty()</w:t>
                      </w:r>
                      <w:r>
                        <w:rPr>
                          <w:rFonts w:cs="TimesNewRomanPSMT" w:ascii="TimesNewRomanPSMT" w:hAnsi="TimesNewRomanPSMT"/>
                          <w:color w:val="000000"/>
                        </w:rPr>
                        <w:t xml:space="preserve"> }}, le</w:t>
                      </w:r>
                    </w:p>
                    <w:p>
                      <w:pPr>
                        <w:pStyle w:val="Contenudecadre"/>
                        <w:jc w:val="both"/>
                        <w:rPr>
                          <w:rFonts w:ascii="TimesNewRomanPSMT" w:hAnsi="TimesNewRomanPSMT" w:cs="TimesNewRomanPSMT"/>
                        </w:rPr>
                      </w:pPr>
                      <w:r>
                        <w:rPr>
                          <w:rFonts w:cs="TimesNewRomanPSMT" w:ascii="TimesNewRomanPSMT" w:hAnsi="TimesNewRomanPSMT"/>
                          <w:color w:val="000000"/>
                        </w:rPr>
                      </w:r>
                    </w:p>
                    <w:p>
                      <w:pPr>
                        <w:pStyle w:val="Contenudecadre"/>
                        <w:jc w:val="both"/>
                        <w:rPr>
                          <w:color w:val="000000"/>
                        </w:rPr>
                      </w:pPr>
                      <w:r>
                        <w:rPr>
                          <w:rFonts w:cs="TimesNewRomanPSMT" w:ascii="TimesNewRomanPSMT" w:hAnsi="TimesNewRomanPSMT"/>
                          <w:color w:val="000000"/>
                        </w:rPr>
                        <w:t>Le bailleur (6),</w:t>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rFonts w:ascii="TimesNewRomanPSMT" w:hAnsi="TimesNewRomanPSMT" w:cs="TimesNewRomanPSMT"/>
                        </w:rPr>
                      </w:pPr>
                      <w:r>
                        <w:rPr>
                          <w:rFonts w:cs="TimesNewRomanPSMT" w:ascii="TimesNewRomanPSMT" w:hAnsi="TimesNewRomanPSMT"/>
                          <w:color w:val="000000"/>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color w:val="000000"/>
                        </w:rPr>
                      </w:r>
                    </w:p>
                    <w:p>
                      <w:pPr>
                        <w:pStyle w:val="Contenudecadre"/>
                        <w:rPr>
                          <w:rFonts w:ascii="TimesNewRomanPSMT" w:hAnsi="TimesNewRomanPSMT" w:cs="TimesNewRomanPSMT"/>
                        </w:rPr>
                      </w:pPr>
                      <w:r>
                        <w:rPr>
                          <w:rFonts w:cs="TimesNewRomanPSMT" w:ascii="TimesNewRomanPSMT" w:hAnsi="TimesNewRomanPSMT"/>
                          <w:color w:val="000000"/>
                        </w:rPr>
                      </w:r>
                    </w:p>
                    <w:p>
                      <w:pPr>
                        <w:pStyle w:val="Contenudecadre"/>
                        <w:rPr>
                          <w:color w:val="000000"/>
                        </w:rPr>
                      </w:pPr>
                      <w:r>
                        <w:rPr>
                          <w:color w:val="000000"/>
                        </w:rPr>
                      </w:r>
                    </w:p>
                    <w:p>
                      <w:pPr>
                        <w:pStyle w:val="Contenudecadre"/>
                        <w:rPr>
                          <w:color w:val="000000"/>
                        </w:rPr>
                      </w:pPr>
                      <w:r>
                        <w:rPr>
                          <w:color w:val="000000"/>
                        </w:rPr>
                      </w:r>
                    </w:p>
                  </w:txbxContent>
                </v:textbox>
                <w10:wrap type="square"/>
              </v:rect>
            </w:pict>
          </mc:Fallback>
        </mc:AlternateContent>
      </w:r>
    </w:p>
    <w:p>
      <w:pPr>
        <w:pStyle w:val="Normal"/>
        <w:rPr/>
      </w:pPr>
      <w:r>
        <w:rPr/>
      </w:r>
    </w:p>
    <w:p>
      <w:pPr>
        <w:pStyle w:val="Normal"/>
        <w:spacing w:beforeAutospacing="1" w:afterAutospacing="1"/>
        <w:rPr>
          <w:rFonts w:ascii="TimesNewRomanPSMT" w:hAnsi="TimesNewRomanPSMT" w:cs="TimesNewRomanPSMT"/>
          <w:sz w:val="16"/>
          <w:szCs w:val="16"/>
        </w:rPr>
      </w:pPr>
      <w:r>
        <w:rPr>
          <w:rFonts w:cs="TimesNewRomanPSMT" w:ascii="TimesNewRomanPSMT" w:hAnsi="TimesNewRomanPSMT"/>
          <w:sz w:val="16"/>
          <w:szCs w:val="16"/>
          <w:lang w:val="fr-FR"/>
        </w:rPr>
        <w:t>(1</w:t>
      </w:r>
      <w:r>
        <w:rPr>
          <w:rFonts w:cs="TimesNewRomanPSMT" w:ascii="TimesNewRomanPSMT" w:hAnsi="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br/>
        <w:br/>
        <w:t>(2) Nom de la société d'économie mixte de construction immobilière identifiée conformément aux dispositions de l'article 6 du décret n° 55-22 du 4 janvier 1955 modifié portant réforme de la publicité foncière.</w:t>
        <w:br/>
        <w:br/>
        <w:t>(3) Si la présente convention est passée pour une résidence universitaire définie à l’article L. 631-12 du code de la construction et de l’habitation, faire précéder le nom de l’opération de la mention « Résidence universitaire ».</w:t>
        <w:br/>
        <w:br/>
        <w:t>(4) Indiquer le nom de son représentant.</w:t>
        <w:br/>
        <w:br/>
        <w:t>(5) Indiquer le plus petit nombre entier permettant de respecter l'engagement de 30 %.</w:t>
        <w:br/>
        <w:br/>
        <w:t>(6) Indiquer un nombre.</w:t>
        <w:br/>
        <w:br/>
        <w:t>(7) Le bailleur doit avoir, préalablement à sa signature, paraphé chacune des pages.</w:t>
        <w:br/>
        <w:br/>
        <w:t>(8) Etablie conformément à l'article 7 du décret n° 55-22 du 4 janvier 1955 modifié portant réforme de la publicité foncière.</w:t>
      </w:r>
      <w:r>
        <w:br w:type="page"/>
      </w:r>
    </w:p>
    <w:p>
      <w:pPr>
        <w:pStyle w:val="Normal"/>
        <w:keepLines/>
        <w:jc w:val="both"/>
        <w:rPr/>
      </w:pPr>
      <w:r>
        <w:rPr>
          <w:rFonts w:cs="TimesNewRomanPSMT" w:ascii="TimesNewRomanPSMT" w:hAnsi="TimesNewRomanPSMT"/>
          <w:szCs w:val="22"/>
        </w:rPr>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Pr>
          <w:rFonts w:cs="TimesNewRomanPSMT" w:ascii="TimesNewRomanPSMT" w:hAnsi="TimesNewRomanPSMT"/>
          <w:b/>
          <w:szCs w:val="22"/>
          <w:highlight w:val="yellow"/>
        </w:rPr>
        <w:fldChar w:fldCharType="begin"/>
      </w:r>
      <w:r>
        <w:rPr>
          <w:b/>
          <w:szCs w:val="22"/>
          <w:highlight w:val="yellow"/>
          <w:rFonts w:cs="TimesNewRomanPSMT" w:ascii="TimesNewRomanPSMT" w:hAnsi="TimesNewRomanPSMT"/>
        </w:rPr>
        <w:instrText> NUMPAGES </w:instrText>
      </w:r>
      <w:r>
        <w:rPr>
          <w:b/>
          <w:szCs w:val="22"/>
          <w:highlight w:val="yellow"/>
          <w:rFonts w:cs="TimesNewRomanPSMT" w:ascii="TimesNewRomanPSMT" w:hAnsi="TimesNewRomanPSMT"/>
        </w:rPr>
        <w:fldChar w:fldCharType="separate"/>
      </w:r>
      <w:r>
        <w:rPr>
          <w:b/>
          <w:szCs w:val="22"/>
          <w:highlight w:val="yellow"/>
          <w:rFonts w:cs="TimesNewRomanPSMT" w:ascii="TimesNewRomanPSMT" w:hAnsi="TimesNewRomanPSMT"/>
        </w:rPr>
        <w:t>20</w:t>
      </w:r>
      <w:r>
        <w:rPr>
          <w:b/>
          <w:szCs w:val="22"/>
          <w:highlight w:val="yellow"/>
          <w:rFonts w:cs="TimesNewRomanPSMT" w:ascii="TimesNewRomanPSMT" w:hAnsi="TimesNewRomanPSMT"/>
        </w:rPr>
        <w:fldChar w:fldCharType="end"/>
      </w:r>
      <w:r>
        <w:rPr>
          <w:rFonts w:cs="TimesNewRomanPSMT" w:ascii="TimesNewRomanPSMT" w:hAnsi="TimesNewRomanPSMT"/>
          <w:szCs w:val="22"/>
        </w:rPr>
        <w:t xml:space="preserve"> pages de texte, conforme à la minute et à l'expédition destinée à recevoir la mention de publicité foncière et approuve sans renvoi ou mot rayé.</w:t>
      </w:r>
    </w:p>
    <w:p>
      <w:pPr>
        <w:pStyle w:val="Normal"/>
        <w:ind w:left="2127" w:right="-6" w:hanging="0"/>
        <w:jc w:val="both"/>
        <w:rPr>
          <w:rFonts w:ascii="TimesNewRomanPSMT" w:hAnsi="TimesNewRomanPSMT" w:cs="TimesNewRomanPSMT"/>
          <w:szCs w:val="22"/>
        </w:rPr>
      </w:pPr>
      <w:r>
        <w:rPr>
          <w:rFonts w:cs="TimesNewRomanPSMT" w:ascii="TimesNewRomanPSMT" w:hAnsi="TimesNewRomanPSMT"/>
          <w:szCs w:val="22"/>
        </w:rPr>
      </w:r>
    </w:p>
    <w:p>
      <w:pPr>
        <w:pStyle w:val="Normal"/>
        <w:keepLines/>
        <w:jc w:val="both"/>
        <w:rPr>
          <w:lang w:val="fr-FR"/>
        </w:rPr>
      </w:pPr>
      <w:r>
        <w:rPr>
          <w:rFonts w:cs="TimesNewRomanPSMT" w:ascii="TimesNewRomanPSMT" w:hAnsi="TimesNewRomanPSMT"/>
          <w:szCs w:val="22"/>
        </w:rPr>
        <w:t xml:space="preserve">Il certifie que l'identité complète des parties dénommées en en-tête du présent document lui a été régulièrement justifiée </w:t>
      </w:r>
      <w:r>
        <w:rPr>
          <w:rFonts w:cs="TimesNewRomanPSMT" w:ascii="TimesNewRomanPSMT" w:hAnsi="TimesNewRomanPSMT"/>
          <w:szCs w:val="22"/>
          <w:lang w:eastAsia="fr-FR"/>
        </w:rPr>
        <w:t xml:space="preserve">au vu </w:t>
      </w:r>
      <w:r>
        <w:rPr>
          <w:rFonts w:cs="TimesNewRomanPSMT" w:ascii="TimesNewRomanPSMT" w:hAnsi="TimesNewRomanPSMT"/>
          <w:color w:val="000000"/>
          <w:szCs w:val="22"/>
          <w:lang w:eastAsia="fr-FR"/>
        </w:rPr>
        <w:t>des statuts et de l'avis d'identification délivré par l'INSEE par son numéro SIRE</w:t>
      </w:r>
      <w:r>
        <w:rPr>
          <w:rFonts w:cs="TimesNewRomanPSMT" w:ascii="TimesNewRomanPSMT" w:hAnsi="TimesNewRomanPSMT"/>
          <w:color w:val="000000"/>
          <w:szCs w:val="22"/>
          <w:lang w:val="fr-FR" w:eastAsia="fr-FR"/>
        </w:rPr>
        <w:t>T</w:t>
      </w:r>
      <w:r>
        <w:rPr>
          <w:rFonts w:cs="TimesNewRomanPSMT" w:ascii="TimesNewRomanPSMT" w:hAnsi="TimesNewRomanPSMT"/>
          <w:color w:val="000000"/>
          <w:szCs w:val="22"/>
          <w:lang w:eastAsia="fr-FR"/>
        </w:rPr>
        <w:t xml:space="preserve"> </w:t>
      </w:r>
      <w:bookmarkStart w:id="100" w:name="Siret2"/>
      <w:bookmarkEnd w:id="100"/>
      <w:r>
        <w:rPr>
          <w:rFonts w:cs="TimesNewRomanPSMT" w:ascii="TimesNewRomanPSMT" w:hAnsi="TimesNewRomanPSMT"/>
          <w:color w:val="000000"/>
          <w:szCs w:val="22"/>
          <w:lang w:eastAsia="fr-FR"/>
        </w:rPr>
        <w:t xml:space="preserve">{{ bailleur.siret </w:t>
      </w:r>
      <w:r>
        <w:rPr>
          <w:rFonts w:cs="TimesNewRomanPSMT" w:ascii="TimesNewRomanPSMT" w:hAnsi="TimesNewRomanPSMT"/>
          <w:color w:val="000000"/>
          <w:szCs w:val="22"/>
          <w:lang w:val="fr-FR" w:eastAsia="fr-FR"/>
        </w:rPr>
        <w:t>}}</w:t>
      </w:r>
    </w:p>
    <w:p>
      <w:pPr>
        <w:pStyle w:val="Normal"/>
        <w:ind w:left="2127" w:right="-6" w:hanging="0"/>
        <w:jc w:val="both"/>
        <w:rPr>
          <w:rFonts w:ascii="TimesNewRomanPSMT" w:hAnsi="TimesNewRomanPSMT" w:cs="TimesNewRomanPSMT"/>
          <w:color w:val="0000FF"/>
          <w:szCs w:val="22"/>
        </w:rPr>
      </w:pPr>
      <w:r>
        <w:rPr>
          <w:rFonts w:cs="TimesNewRomanPSMT" w:ascii="TimesNewRomanPSMT" w:hAnsi="TimesNewRomanPSMT"/>
          <w:color w:val="0000FF"/>
          <w:szCs w:val="22"/>
        </w:rPr>
      </w:r>
    </w:p>
    <w:p>
      <w:pPr>
        <w:pStyle w:val="Normal"/>
        <w:keepLines/>
        <w:jc w:val="both"/>
        <w:rPr/>
      </w:pPr>
      <w:r>
        <w:rPr>
          <w:rFonts w:cs="TimesNewRomanPSMT" w:ascii="TimesNewRomanPSMT" w:hAnsi="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pPr>
        <w:pStyle w:val="Normal"/>
        <w:ind w:left="2127" w:right="-6" w:hanging="0"/>
        <w:jc w:val="both"/>
        <w:rPr>
          <w:rFonts w:ascii="TimesNewRomanPSMT" w:hAnsi="TimesNewRomanPSMT" w:cs="TimesNewRomanPSMT"/>
          <w:color w:val="000000"/>
          <w:szCs w:val="22"/>
        </w:rPr>
      </w:pPr>
      <w:r>
        <w:rPr>
          <w:rFonts w:cs="TimesNewRomanPSMT" w:ascii="TimesNewRomanPSMT" w:hAnsi="TimesNewRomanPSMT"/>
          <w:color w:val="000000"/>
          <w:szCs w:val="22"/>
        </w:rPr>
      </w:r>
    </w:p>
    <w:p>
      <w:pPr>
        <w:pStyle w:val="Normal"/>
        <w:ind w:left="2127" w:right="-6" w:hanging="0"/>
        <w:jc w:val="both"/>
        <w:rPr>
          <w:rFonts w:ascii="TimesNewRomanPSMT" w:hAnsi="TimesNewRomanPSMT" w:cs="TimesNewRomanPSMT"/>
          <w:color w:val="000000"/>
          <w:szCs w:val="22"/>
        </w:rPr>
      </w:pPr>
      <w:r>
        <w:rPr>
          <w:rFonts w:cs="TimesNewRomanPSMT" w:ascii="TimesNewRomanPSMT" w:hAnsi="TimesNewRomanPSMT"/>
          <w:color w:val="000000"/>
          <w:szCs w:val="22"/>
        </w:rPr>
      </w:r>
    </w:p>
    <w:p>
      <w:pPr>
        <w:pStyle w:val="Normal"/>
        <w:keepLines/>
        <w:tabs>
          <w:tab w:val="clear" w:pos="708"/>
          <w:tab w:val="left" w:pos="9069" w:leader="none"/>
        </w:tabs>
        <w:ind w:right="283" w:hanging="0"/>
        <w:jc w:val="both"/>
        <w:rPr/>
      </w:pPr>
      <w:r>
        <w:rPr>
          <w:rFonts w:cs="TimesNewRomanPSMT" w:ascii="TimesNewRomanPSMT" w:hAnsi="TimesNewRomanPSMT"/>
          <w:color w:val="000000"/>
          <w:szCs w:val="22"/>
        </w:rPr>
        <w:t xml:space="preserve">A </w:t>
      </w:r>
      <w:r>
        <w:rPr>
          <w:rFonts w:cs="TimesNewRomanPSMT" w:ascii="TimesNewRomanPSMT" w:hAnsi="TimesNewRomanPSMT"/>
        </w:rPr>
        <w:t>{{</w:t>
      </w:r>
      <w:r>
        <w:rPr>
          <w:rFonts w:cs="TimesNewRomanPSMT" w:ascii="TimesNewRomanPSMT" w:hAnsi="TimesNewRomanPSMT"/>
          <w:lang w:val="fr-FR"/>
        </w:rPr>
        <w:t xml:space="preserve"> </w:t>
      </w:r>
      <w:r>
        <w:rPr>
          <w:rFonts w:cs="TimesNewRomanPSMT" w:ascii="TimesNewRomanPSMT" w:hAnsi="TimesNewRomanPSMT"/>
        </w:rPr>
        <w:t>administration.</w:t>
      </w:r>
      <w:r>
        <w:rPr>
          <w:rFonts w:cs="TimesNewRomanPSMT" w:ascii="TimesNewRomanPSMT" w:hAnsi="TimesNewRomanPSMT"/>
          <w:lang w:val="fr-FR"/>
        </w:rPr>
        <w:t>get_</w:t>
      </w:r>
      <w:r>
        <w:rPr>
          <w:rFonts w:cs="TimesNewRomanPSMT" w:ascii="TimesNewRomanPSMT" w:hAnsi="TimesNewRomanPSMT"/>
        </w:rPr>
        <w:t>ville_signature</w:t>
      </w:r>
      <w:r>
        <w:rPr>
          <w:rFonts w:cs="TimesNewRomanPSMT" w:ascii="TimesNewRomanPSMT" w:hAnsi="TimesNewRomanPSMT"/>
          <w:lang w:val="fr-FR"/>
        </w:rPr>
        <w:t xml:space="preserve">_or_empty() </w:t>
      </w:r>
      <w:r>
        <w:rPr>
          <w:rFonts w:cs="TimesNewRomanPSMT" w:ascii="TimesNewRomanPSMT" w:hAnsi="TimesNewRomanPSMT"/>
        </w:rPr>
        <w:t>}}</w:t>
      </w:r>
      <w:r>
        <w:rPr>
          <w:rFonts w:cs="TimesNewRomanPSMT" w:ascii="TimesNewRomanPSMT" w:hAnsi="TimesNewRomanPSMT"/>
          <w:color w:val="000000"/>
          <w:szCs w:val="22"/>
        </w:rPr>
        <w:t>, le</w:t>
      </w:r>
    </w:p>
    <w:p>
      <w:pPr>
        <w:pStyle w:val="Normal"/>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926" w:right="703" w:gutter="0" w:header="283" w:top="1418" w:footer="720" w:bottom="1418"/>
      <w:pgBorders w:display="allPages" w:offsetFrom="text">
        <w:top w:val="single" w:sz="4" w:space="1" w:color="000000"/>
        <w:left w:val="single" w:sz="4" w:space="4" w:color="000000"/>
        <w:bottom w:val="single" w:sz="4" w:space="1" w:color="000000"/>
        <w:right w:val="single" w:sz="4" w:space="4" w:color="000000"/>
      </w:pgBorders>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ymbol">
    <w:charset w:val="00"/>
    <w:family w:val="roman"/>
    <w:pitch w:val="variable"/>
  </w:font>
  <w:font w:name="Wingdings">
    <w:charset w:val="00"/>
    <w:family w:val="roman"/>
    <w:pitch w:val="variable"/>
  </w:font>
  <w:font w:name="Courier New">
    <w:charset w:val="00"/>
    <w:family w:val="roman"/>
    <w:pitch w:val="variable"/>
  </w:font>
  <w:font w:name="Liberation Sans">
    <w:altName w:val="Arial"/>
    <w:charset w:val="00"/>
    <w:family w:val="roman"/>
    <w:pitch w:val="variable"/>
  </w:font>
  <w:font w:name="Arial Unicode MS">
    <w:charset w:val="00"/>
    <w:family w:val="roman"/>
    <w:pitch w:val="variable"/>
  </w:font>
  <w:font w:name="TimesNewRomanPS-BoldMT">
    <w:charset w:val="00"/>
    <w:family w:val="roman"/>
    <w:pitch w:val="variable"/>
  </w:font>
  <w:font w:name="TimesNewRomanPSMT">
    <w:charset w:val="00"/>
    <w:family w:val="roman"/>
    <w:pitch w:val="variable"/>
  </w:font>
  <w:font w:name="TimesNewRomanPS">
    <w:charset w:val="00"/>
    <w:family w:val="roman"/>
    <w:pitch w:val="variable"/>
  </w:font>
  <w:font w:name="Open Sans">
    <w:charset w:val="00"/>
    <w:family w:val="roman"/>
    <w:pitch w:val="variable"/>
  </w:font>
  <w:font w:name="Calibri">
    <w:charset w:val="00"/>
    <w:family w:val="auto"/>
    <w:pitch w:val="default"/>
  </w:font>
  <w:font w:name="TimesNewRomanPSMT">
    <w:charset w:val="01"/>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mc:AlternateContent>
        <mc:Choice Requires="wps">
          <w:drawing>
            <wp:anchor behindDoc="0" distT="0" distB="0" distL="0" distR="0" simplePos="0" locked="0" layoutInCell="0" allowOverlap="1" relativeHeight="45" wp14:anchorId="1C468005">
              <wp:simplePos x="0" y="0"/>
              <wp:positionH relativeFrom="page">
                <wp:posOffset>6844665</wp:posOffset>
              </wp:positionH>
              <wp:positionV relativeFrom="page">
                <wp:posOffset>252095</wp:posOffset>
              </wp:positionV>
              <wp:extent cx="265430" cy="164465"/>
              <wp:effectExtent l="0" t="0" r="0" b="0"/>
              <wp:wrapSquare wrapText="largest"/>
              <wp:docPr id="5" name="Text Box 2"/>
              <a:graphic xmlns:a="http://schemas.openxmlformats.org/drawingml/2006/main">
                <a:graphicData uri="http://schemas.microsoft.com/office/word/2010/wordprocessingShape">
                  <wps:wsp>
                    <wps:cNvSpPr/>
                    <wps:spPr>
                      <a:xfrm>
                        <a:off x="0" y="0"/>
                        <a:ext cx="264960" cy="163800"/>
                      </a:xfrm>
                      <a:prstGeom prst="rect">
                        <a:avLst/>
                      </a:prstGeom>
                      <a:noFill/>
                      <a:ln w="0">
                        <a:noFill/>
                      </a:ln>
                    </wps:spPr>
                    <wps:style>
                      <a:lnRef idx="0"/>
                      <a:fillRef idx="0"/>
                      <a:effectRef idx="0"/>
                      <a:fontRef idx="minor"/>
                    </wps:style>
                    <wps:txbx>
                      <w:txbxContent>
                        <w:p>
                          <w:pPr>
                            <w:pStyle w:val="Contenudecadre"/>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PAGE </w:instrText>
                          </w:r>
                          <w:r>
                            <w:rPr>
                              <w:rStyle w:val="Pagenumber"/>
                              <w:sz w:val="22"/>
                              <w:szCs w:val="22"/>
                              <w:color w:val="000000"/>
                            </w:rPr>
                            <w:fldChar w:fldCharType="separate"/>
                          </w:r>
                          <w:r>
                            <w:rPr>
                              <w:rStyle w:val="Pagenumber"/>
                              <w:sz w:val="22"/>
                              <w:szCs w:val="22"/>
                              <w:color w:val="000000"/>
                            </w:rPr>
                            <w:t>20</w:t>
                          </w:r>
                          <w:r>
                            <w:rPr>
                              <w:rStyle w:val="Pagenumber"/>
                              <w:sz w:val="22"/>
                              <w:szCs w:val="22"/>
                              <w:color w:val="000000"/>
                            </w:rPr>
                            <w:fldChar w:fldCharType="end"/>
                          </w:r>
                          <w:r>
                            <w:rPr>
                              <w:rStyle w:val="Pagenumber"/>
                              <w:color w:val="000000"/>
                            </w:rPr>
                            <w:tab/>
                            <w:t xml:space="preserv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20</w:t>
                          </w:r>
                          <w:r>
                            <w:rPr>
                              <w:rStyle w:val="Pagenumber"/>
                              <w:color w:val="000000"/>
                            </w:rPr>
                            <w:fldChar w:fldCharType="end"/>
                          </w:r>
                          <w:r>
                            <w:rPr>
                              <w:rStyle w:val="Pagenumber"/>
                              <w:color w:val="000000"/>
                            </w:rPr>
                            <w:t xml:space="preserve"> -101010 878</w:t>
                          </w:r>
                        </w:p>
                      </w:txbxContent>
                    </wps:txbx>
                    <wps:bodyPr lIns="5760" rIns="5760" tIns="5760" bIns="5760" anchor="t" upright="1">
                      <a:noAutofit/>
                    </wps:bodyPr>
                  </wps:wsp>
                </a:graphicData>
              </a:graphic>
            </wp:anchor>
          </w:drawing>
        </mc:Choice>
        <mc:Fallback>
          <w:pict>
            <v:rect id="shape_0" ID="Text Box 2" path="m0,0l-2147483645,0l-2147483645,-2147483646l0,-2147483646xe" stroked="f" o:allowincell="f" style="position:absolute;margin-left:538.95pt;margin-top:19.85pt;width:20.8pt;height:12.85pt;mso-wrap-style:square;v-text-anchor:top;mso-position-horizontal-relative:page;mso-position-vertical-relative:page" wp14:anchorId="1C468005">
              <v:fill o:detectmouseclick="t" on="false"/>
              <v:stroke color="#3465a4" joinstyle="round" endcap="flat"/>
              <v:textbox>
                <w:txbxContent>
                  <w:p>
                    <w:pPr>
                      <w:pStyle w:val="Contenudecadre"/>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PAGE </w:instrText>
                    </w:r>
                    <w:r>
                      <w:rPr>
                        <w:rStyle w:val="Pagenumber"/>
                        <w:sz w:val="22"/>
                        <w:szCs w:val="22"/>
                        <w:color w:val="000000"/>
                      </w:rPr>
                      <w:fldChar w:fldCharType="separate"/>
                    </w:r>
                    <w:r>
                      <w:rPr>
                        <w:rStyle w:val="Pagenumber"/>
                        <w:sz w:val="22"/>
                        <w:szCs w:val="22"/>
                        <w:color w:val="000000"/>
                      </w:rPr>
                      <w:t>20</w:t>
                    </w:r>
                    <w:r>
                      <w:rPr>
                        <w:rStyle w:val="Pagenumber"/>
                        <w:sz w:val="22"/>
                        <w:szCs w:val="22"/>
                        <w:color w:val="000000"/>
                      </w:rPr>
                      <w:fldChar w:fldCharType="end"/>
                    </w:r>
                    <w:r>
                      <w:rPr>
                        <w:rStyle w:val="Pagenumber"/>
                        <w:color w:val="000000"/>
                      </w:rPr>
                      <w:tab/>
                      <w:t xml:space="preserv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20</w:t>
                    </w:r>
                    <w:r>
                      <w:rPr>
                        <w:rStyle w:val="Pagenumber"/>
                        <w:color w:val="000000"/>
                      </w:rPr>
                      <w:fldChar w:fldCharType="end"/>
                    </w:r>
                    <w:r>
                      <w:rPr>
                        <w:rStyle w:val="Pagenumber"/>
                        <w:color w:val="000000"/>
                      </w:rPr>
                      <w:t xml:space="preserve"> -101010 878</w:t>
                    </w:r>
                  </w:p>
                </w:txbxContent>
              </v:textbox>
              <w10:wrap type="square" side="largest"/>
            </v:rect>
          </w:pict>
        </mc:Fallback>
      </mc:AlternateContent>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o:allowincell="f" style="position:absolute;margin-left:-4.55pt;margin-top:241.25pt;width:422.75pt;height:217.45pt;mso-wrap-style:none;v-text-anchor:middle;rotation:315;mso-position-horizontal:center;mso-position-horizontal-relative:margin;mso-position-vertical:center;mso-position-vertical-relative:margin" type="_x0000_t136">
          <v:path textpathok="t"/>
          <v:textpath on="t" fitshape="t" string="SEM" trim="t" style="font-family:&quot;Liberation Sans&quot;;font-size:1pt"/>
          <v:fill o:detectmouseclick="t" type="solid" color2="#3f3f3f" opacity="0.5"/>
          <v:stroke color="#3465a4" joinstyle="round" endcap="flat"/>
          <w10:wrap type="none"/>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ind w:right="360" w:hanging="0"/>
      <w:rPr/>
    </w:pPr>
    <w:r>
      <w:rPr>
        <w:rStyle w:val="Pagenumber"/>
      </w:rPr>
      <mc:AlternateContent>
        <mc:Choice Requires="wps">
          <w:drawing>
            <wp:anchor behindDoc="0" distT="0" distB="0" distL="0" distR="0" simplePos="0" locked="0" layoutInCell="0" allowOverlap="1" relativeHeight="20" wp14:anchorId="6DE7176B">
              <wp:simplePos x="0" y="0"/>
              <wp:positionH relativeFrom="page">
                <wp:posOffset>6841490</wp:posOffset>
              </wp:positionH>
              <wp:positionV relativeFrom="page">
                <wp:posOffset>251460</wp:posOffset>
              </wp:positionV>
              <wp:extent cx="265430" cy="164465"/>
              <wp:effectExtent l="0" t="0" r="0" b="0"/>
              <wp:wrapSquare wrapText="largest"/>
              <wp:docPr id="8" name="Text Box 2"/>
              <a:graphic xmlns:a="http://schemas.openxmlformats.org/drawingml/2006/main">
                <a:graphicData uri="http://schemas.microsoft.com/office/word/2010/wordprocessingShape">
                  <wps:wsp>
                    <wps:cNvSpPr/>
                    <wps:spPr>
                      <a:xfrm>
                        <a:off x="0" y="0"/>
                        <a:ext cx="264960" cy="163800"/>
                      </a:xfrm>
                      <a:prstGeom prst="rect">
                        <a:avLst/>
                      </a:prstGeom>
                      <a:noFill/>
                      <a:ln w="0">
                        <a:noFill/>
                      </a:ln>
                    </wps:spPr>
                    <wps:style>
                      <a:lnRef idx="0"/>
                      <a:fillRef idx="0"/>
                      <a:effectRef idx="0"/>
                      <a:fontRef idx="minor"/>
                    </wps:style>
                    <wps:txbx>
                      <w:txbxContent>
                        <w:p>
                          <w:pPr>
                            <w:pStyle w:val="Contenudecadre"/>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PAGE </w:instrText>
                          </w:r>
                          <w:r>
                            <w:rPr>
                              <w:rStyle w:val="Pagenumber"/>
                              <w:sz w:val="22"/>
                              <w:szCs w:val="22"/>
                              <w:color w:val="000000"/>
                            </w:rPr>
                            <w:fldChar w:fldCharType="separate"/>
                          </w:r>
                          <w:r>
                            <w:rPr>
                              <w:rStyle w:val="Pagenumber"/>
                              <w:sz w:val="22"/>
                              <w:szCs w:val="22"/>
                              <w:color w:val="000000"/>
                            </w:rPr>
                            <w:t>19</w:t>
                          </w:r>
                          <w:r>
                            <w:rPr>
                              <w:rStyle w:val="Pagenumber"/>
                              <w:sz w:val="22"/>
                              <w:szCs w:val="22"/>
                              <w:color w:val="000000"/>
                            </w:rPr>
                            <w:fldChar w:fldCharType="end"/>
                          </w:r>
                          <w:r>
                            <w:rPr>
                              <w:rStyle w:val="Pagenumber"/>
                              <w:color w:val="000000"/>
                            </w:rPr>
                            <w:tab/>
                            <w:t xml:space="preserv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19</w:t>
                          </w:r>
                          <w:r>
                            <w:rPr>
                              <w:rStyle w:val="Pagenumber"/>
                              <w:color w:val="000000"/>
                            </w:rPr>
                            <w:fldChar w:fldCharType="end"/>
                          </w:r>
                          <w:r>
                            <w:rPr>
                              <w:rStyle w:val="Pagenumber"/>
                              <w:color w:val="000000"/>
                            </w:rPr>
                            <w:t xml:space="preserve"> -101010 878</w:t>
                          </w:r>
                        </w:p>
                      </w:txbxContent>
                    </wps:txbx>
                    <wps:bodyPr lIns="5760" rIns="5760" tIns="5760" bIns="5760" anchor="t" upright="1">
                      <a:noAutofit/>
                    </wps:bodyPr>
                  </wps:wsp>
                </a:graphicData>
              </a:graphic>
            </wp:anchor>
          </w:drawing>
        </mc:Choice>
        <mc:Fallback>
          <w:pict>
            <v:rect id="shape_0" ID="Text Box 2" path="m0,0l-2147483645,0l-2147483645,-2147483646l0,-2147483646xe" stroked="f" o:allowincell="f" style="position:absolute;margin-left:538.7pt;margin-top:19.8pt;width:20.8pt;height:12.85pt;mso-wrap-style:square;v-text-anchor:top;mso-position-horizontal-relative:page;mso-position-vertical-relative:page" wp14:anchorId="6DE7176B">
              <v:fill o:detectmouseclick="t" on="false"/>
              <v:stroke color="#3465a4" joinstyle="round" endcap="flat"/>
              <v:textbox>
                <w:txbxContent>
                  <w:p>
                    <w:pPr>
                      <w:pStyle w:val="Contenudecadre"/>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PAGE </w:instrText>
                    </w:r>
                    <w:r>
                      <w:rPr>
                        <w:rStyle w:val="Pagenumber"/>
                        <w:sz w:val="22"/>
                        <w:szCs w:val="22"/>
                        <w:color w:val="000000"/>
                      </w:rPr>
                      <w:fldChar w:fldCharType="separate"/>
                    </w:r>
                    <w:r>
                      <w:rPr>
                        <w:rStyle w:val="Pagenumber"/>
                        <w:sz w:val="22"/>
                        <w:szCs w:val="22"/>
                        <w:color w:val="000000"/>
                      </w:rPr>
                      <w:t>19</w:t>
                    </w:r>
                    <w:r>
                      <w:rPr>
                        <w:rStyle w:val="Pagenumber"/>
                        <w:sz w:val="22"/>
                        <w:szCs w:val="22"/>
                        <w:color w:val="000000"/>
                      </w:rPr>
                      <w:fldChar w:fldCharType="end"/>
                    </w:r>
                    <w:r>
                      <w:rPr>
                        <w:rStyle w:val="Pagenumber"/>
                        <w:color w:val="000000"/>
                      </w:rPr>
                      <w:tab/>
                      <w:t xml:space="preserv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19</w:t>
                    </w:r>
                    <w:r>
                      <w:rPr>
                        <w:rStyle w:val="Pagenumber"/>
                        <w:color w:val="000000"/>
                      </w:rPr>
                      <w:fldChar w:fldCharType="end"/>
                    </w:r>
                    <w:r>
                      <w:rPr>
                        <w:rStyle w:val="Pagenumber"/>
                        <w:color w:val="000000"/>
                      </w:rPr>
                      <w:t xml:space="preserve"> -101010 878</w:t>
                    </w:r>
                  </w:p>
                </w:txbxContent>
              </v:textbox>
              <w10:wrap type="square" side="largest"/>
            </v:rect>
          </w:pict>
        </mc:Fallback>
      </mc:AlternateContent>
      <w:t xml:space="preserve"> </w:t>
    </w:r>
    <w:r>
      <w:rPr>
        <w:rStyle w:val="Pagenumber"/>
      </w:rPr>
      <w:pict>
        <v:shape id="PowerPlusWaterMarkObject" o:spid="shape_0" fillcolor="silver" stroked="f" o:allowincell="f" style="position:absolute;margin-left:-4.55pt;margin-top:241.25pt;width:422.75pt;height:217.45pt;mso-wrap-style:none;v-text-anchor:middle;rotation:315;mso-position-horizontal:center;mso-position-horizontal-relative:margin;mso-position-vertical:center;mso-position-vertical-relative:margin" type="_x0000_t136">
          <v:path textpathok="t"/>
          <v:textpath on="t" fitshape="t" string="SEM" trim="t" style="font-family:&quot;Liberation Sans&quot;;font-size:1pt"/>
          <v:fill o:detectmouseclick="t" type="solid" color2="#3f3f3f" opacity="0.5"/>
          <v:stroke color="#3465a4" joinstyle="round" endcap="flat"/>
          <w10:wrap type="none"/>
        </v:shape>
      </w:pict>
    </w:r>
    <w:r>
      <w:rPr>
        <w:rStyle w:val="Pagenumber"/>
      </w:rPr>
      <w:tab/>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84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937"/>
      <w:gridCol w:w="2083"/>
      <w:gridCol w:w="3440"/>
    </w:tblGrid>
    <w:tr>
      <w:trPr/>
      <w:tc>
        <w:tcPr>
          <w:tcW w:w="8460" w:type="dxa"/>
          <w:gridSpan w:val="3"/>
          <w:tcBorders>
            <w:top w:val="nil"/>
            <w:left w:val="nil"/>
            <w:right w:val="nil"/>
          </w:tcBorders>
        </w:tcPr>
        <w:p>
          <w:pPr>
            <w:pStyle w:val="Normal"/>
            <w:widowControl w:val="false"/>
            <w:suppressAutoHyphens w:val="true"/>
            <w:spacing w:before="0" w:after="0"/>
            <w:jc w:val="left"/>
            <w:rPr>
              <w:sz w:val="12"/>
              <w:szCs w:val="12"/>
              <w:lang w:val="fr-FR"/>
            </w:rPr>
          </w:pPr>
          <w:r>
            <w:rPr>
              <w:sz w:val="12"/>
              <w:szCs w:val="12"/>
              <w:lang w:val="fr-FR"/>
            </w:rPr>
          </w:r>
        </w:p>
        <w:p>
          <w:pPr>
            <w:pStyle w:val="Normal"/>
            <w:widowControl w:val="false"/>
            <w:suppressAutoHyphens w:val="true"/>
            <w:spacing w:before="0" w:after="0"/>
            <w:jc w:val="center"/>
            <w:rPr>
              <w:lang w:val="fr-FR"/>
            </w:rPr>
          </w:pPr>
          <w:r>
            <w:rPr/>
            <mc:AlternateContent>
              <mc:Choice Requires="wps">
                <w:drawing>
                  <wp:anchor behindDoc="1" distT="0" distB="0" distL="0" distR="0" simplePos="0" locked="0" layoutInCell="1" allowOverlap="1" relativeHeight="23" wp14:anchorId="4BE100B5">
                    <wp:simplePos x="0" y="0"/>
                    <wp:positionH relativeFrom="column">
                      <wp:posOffset>4092575</wp:posOffset>
                    </wp:positionH>
                    <wp:positionV relativeFrom="page">
                      <wp:posOffset>184785</wp:posOffset>
                    </wp:positionV>
                    <wp:extent cx="800100" cy="307975"/>
                    <wp:effectExtent l="0" t="0" r="0" b="0"/>
                    <wp:wrapNone/>
                    <wp:docPr id="11" name="Text Box 18"/>
                    <a:graphic xmlns:a="http://schemas.openxmlformats.org/drawingml/2006/main">
                      <a:graphicData uri="http://schemas.microsoft.com/office/word/2010/wordprocessingShape">
                        <wps:wsp>
                          <wps:cNvSpPr/>
                          <wps:spPr>
                            <a:xfrm>
                              <a:off x="0" y="0"/>
                              <a:ext cx="799560" cy="307440"/>
                            </a:xfrm>
                            <a:prstGeom prst="rect">
                              <a:avLst/>
                            </a:prstGeom>
                            <a:noFill/>
                            <a:ln w="0">
                              <a:noFill/>
                            </a:ln>
                          </wps:spPr>
                          <wps:style>
                            <a:lnRef idx="0"/>
                            <a:fillRef idx="0"/>
                            <a:effectRef idx="0"/>
                            <a:fontRef idx="minor"/>
                          </wps:style>
                          <wps:txbx>
                            <w:txbxContent>
                              <w:p>
                                <w:pPr>
                                  <w:pStyle w:val="Form12"/>
                                  <w:widowControl w:val="false"/>
                                  <w:jc w:val="center"/>
                                  <w:rPr>
                                    <w:color w:val="000000"/>
                                  </w:rPr>
                                </w:pPr>
                                <w:r>
                                  <w:rPr>
                                    <w:color w:val="000000"/>
                                    <w:sz w:val="20"/>
                                  </w:rPr>
                                  <w:t>N° 3265-SD</w:t>
                                </w:r>
                              </w:p>
                              <w:p>
                                <w:pPr>
                                  <w:pStyle w:val="Form12"/>
                                  <w:widowControl w:val="false"/>
                                  <w:rPr>
                                    <w:color w:val="000000"/>
                                  </w:rPr>
                                </w:pPr>
                                <w:r>
                                  <w:rPr>
                                    <w:color w:val="000000"/>
                                  </w:rPr>
                                  <w:tab/>
                                </w:r>
                              </w:p>
                            </w:txbxContent>
                          </wps:txbx>
                          <wps:bodyPr lIns="5760" rIns="5760" tIns="5760" bIns="5760" anchor="t" upright="1">
                            <a:noAutofit/>
                          </wps:bodyPr>
                        </wps:wsp>
                      </a:graphicData>
                    </a:graphic>
                  </wp:anchor>
                </w:drawing>
              </mc:Choice>
              <mc:Fallback>
                <w:pict>
                  <v:rect id="shape_0" ID="Text Box 18" path="m0,0l-2147483645,0l-2147483645,-2147483646l0,-2147483646xe" stroked="f" o:allowincell="t" style="position:absolute;margin-left:322.25pt;margin-top:14.55pt;width:62.9pt;height:24.15pt;mso-wrap-style:square;v-text-anchor:top;mso-position-vertical-relative:page" wp14:anchorId="4BE100B5">
                    <v:fill o:detectmouseclick="t" on="false"/>
                    <v:stroke color="#3465a4" joinstyle="round" endcap="flat"/>
                    <v:textbox>
                      <w:txbxContent>
                        <w:p>
                          <w:pPr>
                            <w:pStyle w:val="Form12"/>
                            <w:widowControl w:val="false"/>
                            <w:jc w:val="center"/>
                            <w:rPr>
                              <w:color w:val="000000"/>
                            </w:rPr>
                          </w:pPr>
                          <w:r>
                            <w:rPr>
                              <w:color w:val="000000"/>
                              <w:sz w:val="20"/>
                            </w:rPr>
                            <w:t>N° 3265-SD</w:t>
                          </w:r>
                        </w:p>
                        <w:p>
                          <w:pPr>
                            <w:pStyle w:val="Form12"/>
                            <w:widowControl w:val="false"/>
                            <w:rPr>
                              <w:color w:val="000000"/>
                            </w:rPr>
                          </w:pPr>
                          <w:r>
                            <w:rPr>
                              <w:color w:val="000000"/>
                            </w:rPr>
                            <w:tab/>
                          </w:r>
                        </w:p>
                      </w:txbxContent>
                    </v:textbox>
                    <w10:wrap type="none"/>
                  </v:rect>
                </w:pict>
              </mc:Fallback>
            </mc:AlternateContent>
            <w:drawing>
              <wp:inline distT="0" distB="0" distL="0" distR="0">
                <wp:extent cx="625475" cy="365760"/>
                <wp:effectExtent l="0" t="0" r="0" b="0"/>
                <wp:docPr id="1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
                        <pic:cNvPicPr>
                          <a:picLocks noChangeAspect="1" noChangeArrowheads="1"/>
                        </pic:cNvPicPr>
                      </pic:nvPicPr>
                      <pic:blipFill>
                        <a:blip r:embed="rId1"/>
                        <a:srcRect l="-687" t="-1151" r="-687" b="-1151"/>
                        <a:stretch>
                          <a:fillRect/>
                        </a:stretch>
                      </pic:blipFill>
                      <pic:spPr bwMode="auto">
                        <a:xfrm>
                          <a:off x="0" y="0"/>
                          <a:ext cx="625475" cy="365760"/>
                        </a:xfrm>
                        <a:prstGeom prst="rect">
                          <a:avLst/>
                        </a:prstGeom>
                      </pic:spPr>
                    </pic:pic>
                  </a:graphicData>
                </a:graphic>
              </wp:inline>
            </w:drawing>
          </w:r>
        </w:p>
        <w:p>
          <w:pPr>
            <w:pStyle w:val="Form16"/>
            <w:widowControl w:val="false"/>
            <w:spacing w:before="0" w:after="0"/>
            <w:rPr>
              <w:rFonts w:ascii="Times New Roman" w:hAnsi="Times New Roman" w:cs="Times New Roman"/>
              <w:kern w:val="0"/>
              <w:szCs w:val="20"/>
              <w:lang w:bidi="ar-SA"/>
            </w:rPr>
          </w:pPr>
          <w:r>
            <w:rPr>
              <w:rFonts w:cs="Times New Roman"/>
              <w:kern w:val="0"/>
              <w:szCs w:val="20"/>
              <w:lang w:bidi="ar-SA"/>
            </w:rPr>
            <w:t>Formule de publication</w:t>
          </w:r>
        </w:p>
        <w:p>
          <w:pPr>
            <w:pStyle w:val="Form9"/>
            <w:widowControl w:val="false"/>
            <w:spacing w:before="0" w:after="0"/>
            <w:rPr>
              <w:rFonts w:ascii="Times New Roman" w:hAnsi="Times New Roman" w:cs="Times New Roman"/>
              <w:kern w:val="0"/>
              <w:szCs w:val="20"/>
              <w:lang w:bidi="ar-SA"/>
            </w:rPr>
          </w:pPr>
          <w:r>
            <w:rPr>
              <w:rFonts w:cs="Times New Roman"/>
              <w:kern w:val="0"/>
              <w:szCs w:val="20"/>
              <w:lang w:bidi="ar-SA"/>
            </w:rPr>
            <w:t>(pour l'établissement d'expéditions, copies, extraits d'actes ou décisions judiciaires à publier)</w:t>
          </w:r>
        </w:p>
        <w:p>
          <w:pPr>
            <w:pStyle w:val="Normal"/>
            <w:widowControl w:val="false"/>
            <w:suppressAutoHyphens w:val="true"/>
            <w:spacing w:before="0" w:after="0"/>
            <w:jc w:val="left"/>
            <w:rPr>
              <w:lang w:val="fr-FR"/>
            </w:rPr>
          </w:pPr>
          <w:r>
            <w:rPr>
              <w:lang w:val="fr-FR"/>
            </w:rPr>
          </w:r>
        </w:p>
      </w:tc>
    </w:tr>
    <w:tr>
      <w:trPr/>
      <w:tc>
        <w:tcPr>
          <w:tcW w:w="2937" w:type="dxa"/>
          <w:tcBorders>
            <w:left w:val="nil"/>
          </w:tcBorders>
        </w:tcPr>
        <w:p>
          <w:pPr>
            <w:pStyle w:val="Normal"/>
            <w:widowControl w:val="false"/>
            <w:suppressAutoHyphens w:val="true"/>
            <w:spacing w:before="0" w:after="0"/>
            <w:jc w:val="center"/>
            <w:rPr>
              <w:sz w:val="4"/>
            </w:rPr>
          </w:pPr>
          <w:r>
            <w:rPr>
              <w:sz w:val="4"/>
            </w:rPr>
          </w:r>
        </w:p>
        <w:p>
          <w:pPr>
            <w:pStyle w:val="Form10C"/>
            <w:widowControl w:val="false"/>
            <w:spacing w:before="0" w:after="0"/>
            <w:rPr>
              <w:sz w:val="4"/>
            </w:rPr>
          </w:pPr>
          <w:r>
            <w:rPr>
              <w:sz w:val="4"/>
            </w:rPr>
          </w:r>
        </w:p>
        <w:p>
          <w:pPr>
            <w:pStyle w:val="Normal"/>
            <w:widowControl w:val="false"/>
            <w:suppressAutoHyphens w:val="true"/>
            <w:spacing w:before="0" w:after="0"/>
            <w:jc w:val="center"/>
            <w:rPr>
              <w:rFonts w:ascii="Times New Roman" w:hAnsi="Times New Roman" w:eastAsia="Times New Roman" w:cs="Times New Roman"/>
              <w:kern w:val="0"/>
              <w:lang w:val="en-FR" w:bidi="ar-SA"/>
            </w:rPr>
          </w:pPr>
          <w:r>
            <w:rPr>
              <w:rFonts w:eastAsia="Times New Roman" w:cs="Times New Roman"/>
              <w:kern w:val="0"/>
              <w:sz w:val="20"/>
              <w:lang w:val="en-FR" w:eastAsia="fr-FR" w:bidi="ar-SA"/>
            </w:rPr>
            <w:t>SERVICE</w:t>
          </w:r>
        </w:p>
        <w:p>
          <w:pPr>
            <w:pStyle w:val="Normal"/>
            <w:widowControl w:val="false"/>
            <w:suppressAutoHyphens w:val="true"/>
            <w:spacing w:before="0" w:after="0"/>
            <w:jc w:val="center"/>
            <w:rPr>
              <w:rFonts w:ascii="Times New Roman" w:hAnsi="Times New Roman" w:eastAsia="Times New Roman" w:cs="Times New Roman"/>
              <w:kern w:val="0"/>
              <w:lang w:val="en-FR" w:bidi="ar-SA"/>
            </w:rPr>
          </w:pPr>
          <w:r>
            <w:rPr>
              <w:rFonts w:eastAsia="Times New Roman" w:cs="Times New Roman"/>
              <w:kern w:val="0"/>
              <w:sz w:val="20"/>
              <w:lang w:val="en-FR" w:eastAsia="fr-FR" w:bidi="ar-SA"/>
            </w:rPr>
            <w:t>DE</w:t>
          </w:r>
        </w:p>
        <w:p>
          <w:pPr>
            <w:pStyle w:val="Form10C"/>
            <w:widowControl w:val="false"/>
            <w:spacing w:before="0" w:after="0"/>
            <w:rPr>
              <w:rFonts w:ascii="Times New Roman" w:hAnsi="Times New Roman" w:cs="Times New Roman"/>
              <w:kern w:val="0"/>
              <w:sz w:val="20"/>
              <w:szCs w:val="20"/>
              <w:lang w:bidi="ar-SA"/>
            </w:rPr>
          </w:pPr>
          <w:r>
            <w:rPr>
              <w:rFonts w:cs="Times New Roman"/>
              <w:kern w:val="0"/>
              <w:sz w:val="20"/>
              <w:szCs w:val="20"/>
              <w:lang w:eastAsia="fr-FR" w:bidi="ar-SA"/>
            </w:rPr>
            <w:t>LA PUBLICITE FONCIERE</w:t>
          </w:r>
        </w:p>
        <w:p>
          <w:pPr>
            <w:pStyle w:val="Normal"/>
            <w:widowControl w:val="false"/>
            <w:suppressAutoHyphens w:val="true"/>
            <w:spacing w:before="0" w:after="0"/>
            <w:jc w:val="left"/>
            <w:rPr>
              <w:rFonts w:ascii="Times New Roman" w:hAnsi="Times New Roman" w:eastAsia="Times New Roman" w:cs="Times New Roman"/>
              <w:kern w:val="0"/>
              <w:lang w:val="en-FR" w:eastAsia="en-GB" w:bidi="ar-SA"/>
            </w:rPr>
          </w:pPr>
          <w:r>
            <w:rPr>
              <w:rFonts w:eastAsia="Times New Roman" w:cs="Times New Roman"/>
              <w:kern w:val="0"/>
              <w:lang w:val="en-FR" w:eastAsia="en-GB" w:bidi="ar-SA"/>
            </w:rPr>
          </w:r>
        </w:p>
      </w:tc>
      <w:tc>
        <w:tcPr>
          <w:tcW w:w="2083" w:type="dxa"/>
          <w:tcBorders/>
        </w:tcPr>
        <w:p>
          <w:pPr>
            <w:pStyle w:val="Form10C"/>
            <w:widowControl w:val="false"/>
            <w:spacing w:before="0" w:after="0"/>
            <w:rPr>
              <w:sz w:val="4"/>
              <w:szCs w:val="4"/>
            </w:rPr>
          </w:pPr>
          <w:r>
            <w:rPr>
              <w:sz w:val="4"/>
              <w:szCs w:val="4"/>
            </w:rPr>
          </w:r>
        </w:p>
        <w:p>
          <w:pPr>
            <w:pStyle w:val="Form10C"/>
            <w:widowControl w:val="false"/>
            <w:spacing w:before="0" w:after="0"/>
            <w:rPr>
              <w:rFonts w:ascii="Times New Roman" w:hAnsi="Times New Roman" w:cs="Times New Roman"/>
              <w:kern w:val="0"/>
              <w:sz w:val="20"/>
              <w:szCs w:val="20"/>
              <w:lang w:bidi="ar-SA"/>
            </w:rPr>
          </w:pPr>
          <w:r>
            <w:rPr>
              <w:rFonts w:cs="Times New Roman"/>
              <w:kern w:val="0"/>
              <w:sz w:val="20"/>
              <w:szCs w:val="20"/>
              <w:lang w:bidi="ar-SA"/>
            </w:rPr>
            <w:t>DÉPÔT</w:t>
          </w:r>
        </w:p>
        <w:p>
          <w:pPr>
            <w:pStyle w:val="Normal"/>
            <w:widowControl w:val="false"/>
            <w:suppressAutoHyphens w:val="true"/>
            <w:spacing w:before="0" w:after="0"/>
            <w:jc w:val="left"/>
            <w:rPr>
              <w:lang w:val="fr-FR"/>
            </w:rPr>
          </w:pPr>
          <w:r>
            <w:rPr>
              <w:lang w:val="fr-FR"/>
            </w:rPr>
          </w:r>
        </w:p>
      </w:tc>
      <w:tc>
        <w:tcPr>
          <w:tcW w:w="3440" w:type="dxa"/>
          <w:tcBorders>
            <w:right w:val="nil"/>
          </w:tcBorders>
        </w:tcPr>
        <w:p>
          <w:pPr>
            <w:pStyle w:val="Normal"/>
            <w:widowControl w:val="false"/>
            <w:suppressAutoHyphens w:val="true"/>
            <w:spacing w:before="0" w:after="0"/>
            <w:jc w:val="left"/>
            <w:rPr>
              <w:sz w:val="4"/>
              <w:szCs w:val="4"/>
              <w:lang w:val="fr-FR"/>
            </w:rPr>
          </w:pPr>
          <w:r>
            <w:rPr>
              <w:sz w:val="4"/>
              <w:szCs w:val="4"/>
              <w:lang w:val="fr-FR"/>
            </w:rPr>
          </w:r>
        </w:p>
        <w:p>
          <w:pPr>
            <w:pStyle w:val="Normal"/>
            <w:widowControl w:val="false"/>
            <w:suppressAutoHyphens w:val="true"/>
            <w:spacing w:before="0" w:after="0"/>
            <w:jc w:val="left"/>
            <w:rPr>
              <w:sz w:val="20"/>
              <w:szCs w:val="20"/>
              <w:lang w:val="fr-FR"/>
            </w:rPr>
          </w:pPr>
          <w:r>
            <w:rPr>
              <w:rFonts w:eastAsia="Times New Roman" w:cs="Times New Roman"/>
              <w:kern w:val="0"/>
              <w:sz w:val="20"/>
              <w:szCs w:val="20"/>
              <w:lang w:val="fr-FR" w:eastAsia="en-GB" w:bidi="ar-SA"/>
            </w:rPr>
            <w:t>DATE</w:t>
          </w:r>
        </w:p>
        <w:p>
          <w:pPr>
            <w:pStyle w:val="Normal"/>
            <w:widowControl w:val="false"/>
            <w:suppressAutoHyphens w:val="true"/>
            <w:spacing w:before="0" w:after="0"/>
            <w:jc w:val="left"/>
            <w:rPr>
              <w:sz w:val="20"/>
              <w:szCs w:val="20"/>
              <w:lang w:val="fr-FR"/>
            </w:rPr>
          </w:pPr>
          <w:r>
            <w:rPr>
              <w:sz w:val="20"/>
              <w:szCs w:val="20"/>
              <w:lang w:val="fr-FR"/>
            </w:rPr>
          </w:r>
        </w:p>
        <w:p>
          <w:pPr>
            <w:pStyle w:val="Normal"/>
            <w:widowControl w:val="false"/>
            <w:suppressAutoHyphens w:val="true"/>
            <w:spacing w:before="0" w:after="0"/>
            <w:jc w:val="left"/>
            <w:rPr>
              <w:sz w:val="20"/>
              <w:szCs w:val="20"/>
              <w:lang w:val="fr-FR"/>
            </w:rPr>
          </w:pPr>
          <w:r>
            <w:rPr>
              <w:sz w:val="20"/>
              <w:szCs w:val="20"/>
              <w:lang w:val="fr-FR"/>
            </w:rPr>
          </w:r>
        </w:p>
        <w:p>
          <w:pPr>
            <w:pStyle w:val="Normal"/>
            <w:widowControl w:val="false"/>
            <w:suppressAutoHyphens w:val="true"/>
            <w:spacing w:before="0" w:after="0"/>
            <w:jc w:val="left"/>
            <w:rPr>
              <w:sz w:val="20"/>
              <w:szCs w:val="20"/>
              <w:lang w:val="fr-FR"/>
            </w:rPr>
          </w:pPr>
          <w:r>
            <w:rPr>
              <w:rFonts w:eastAsia="Times New Roman" w:cs="Times New Roman"/>
              <w:kern w:val="0"/>
              <w:sz w:val="20"/>
              <w:szCs w:val="20"/>
              <w:lang w:val="fr-FR" w:eastAsia="en-GB" w:bidi="ar-SA"/>
            </w:rPr>
            <w:t>VOL                      N°</w:t>
          </w:r>
        </w:p>
      </w:tc>
    </w:tr>
    <w:tr>
      <w:trPr/>
      <w:tc>
        <w:tcPr>
          <w:tcW w:w="2937" w:type="dxa"/>
          <w:tcBorders>
            <w:left w:val="nil"/>
          </w:tcBorders>
        </w:tcPr>
        <w:p>
          <w:pPr>
            <w:pStyle w:val="Normal"/>
            <w:widowControl w:val="false"/>
            <w:suppressAutoHyphens w:val="true"/>
            <w:spacing w:before="0" w:after="0"/>
            <w:jc w:val="left"/>
            <w:rPr>
              <w:rFonts w:ascii="Times New Roman" w:hAnsi="Times New Roman" w:eastAsia="Times New Roman" w:cs="Times New Roman"/>
              <w:kern w:val="0"/>
              <w:lang w:val="en-FR" w:eastAsia="en-GB" w:bidi="ar-SA"/>
            </w:rPr>
          </w:pPr>
          <w:r>
            <w:rPr>
              <w:rFonts w:eastAsia="Times New Roman" w:cs="Times New Roman"/>
              <w:kern w:val="0"/>
              <w:lang w:val="en-FR" w:eastAsia="en-GB" w:bidi="ar-SA"/>
            </w:rPr>
          </w:r>
        </w:p>
      </w:tc>
      <w:tc>
        <w:tcPr>
          <w:tcW w:w="5523" w:type="dxa"/>
          <w:gridSpan w:val="2"/>
          <w:tcBorders>
            <w:right w:val="nil"/>
          </w:tcBorders>
        </w:tcPr>
        <w:p>
          <w:pPr>
            <w:pStyle w:val="Normal"/>
            <w:widowControl w:val="false"/>
            <w:suppressAutoHyphens w:val="true"/>
            <w:spacing w:before="0" w:after="0"/>
            <w:jc w:val="left"/>
            <w:rPr>
              <w:sz w:val="10"/>
            </w:rPr>
          </w:pPr>
          <w:r>
            <w:rPr>
              <w:sz w:val="10"/>
            </w:rPr>
          </w:r>
        </w:p>
        <w:p>
          <w:pPr>
            <w:pStyle w:val="Form10J"/>
            <w:widowControl w:val="false"/>
            <w:spacing w:before="0" w:after="0"/>
            <w:jc w:val="left"/>
            <w:rPr>
              <w:rFonts w:ascii="Times New Roman" w:hAnsi="Times New Roman" w:cs="Times New Roman"/>
              <w:kern w:val="0"/>
              <w:sz w:val="20"/>
              <w:szCs w:val="20"/>
              <w:lang w:bidi="ar-SA"/>
            </w:rPr>
          </w:pPr>
          <w:r>
            <w:rPr>
              <w:rFonts w:eastAsia="Times New Roman" w:cs="Times New Roman"/>
              <w:kern w:val="0"/>
              <w:sz w:val="20"/>
              <w:szCs w:val="20"/>
              <w:lang w:bidi="ar-SA"/>
            </w:rPr>
            <w:t xml:space="preserve"> </w:t>
          </w:r>
          <w:r>
            <w:rPr>
              <w:rFonts w:cs="Times New Roman"/>
              <w:kern w:val="0"/>
              <w:sz w:val="20"/>
              <w:szCs w:val="20"/>
              <w:lang w:bidi="ar-SA"/>
            </w:rPr>
            <w:t>TAXES:</w:t>
          </w:r>
        </w:p>
        <w:p>
          <w:pPr>
            <w:pStyle w:val="Form10J"/>
            <w:widowControl w:val="false"/>
            <w:spacing w:before="0" w:after="0"/>
            <w:jc w:val="left"/>
            <w:rPr>
              <w:rFonts w:ascii="Times New Roman" w:hAnsi="Times New Roman" w:cs="Times New Roman"/>
              <w:kern w:val="0"/>
              <w:sz w:val="20"/>
              <w:szCs w:val="20"/>
              <w:lang w:bidi="ar-SA"/>
            </w:rPr>
          </w:pPr>
          <w:r>
            <w:rPr>
              <w:rFonts w:cs="Times New Roman"/>
              <w:kern w:val="0"/>
              <w:sz w:val="20"/>
              <w:szCs w:val="20"/>
              <w:lang w:bidi="ar-SA"/>
            </w:rPr>
          </w:r>
        </w:p>
        <w:p>
          <w:pPr>
            <w:pStyle w:val="Form10J"/>
            <w:widowControl w:val="false"/>
            <w:spacing w:before="0" w:after="0"/>
            <w:jc w:val="left"/>
            <w:rPr>
              <w:sz w:val="22"/>
            </w:rPr>
          </w:pPr>
          <w:r>
            <w:rPr>
              <w:sz w:val="22"/>
            </w:rPr>
          </w:r>
        </w:p>
        <w:p>
          <w:pPr>
            <w:pStyle w:val="Form10J"/>
            <w:widowControl w:val="false"/>
            <w:spacing w:before="0" w:after="0"/>
            <w:jc w:val="left"/>
            <w:rPr>
              <w:rFonts w:ascii="Times New Roman" w:hAnsi="Times New Roman" w:cs="Times New Roman"/>
              <w:kern w:val="0"/>
              <w:sz w:val="20"/>
              <w:szCs w:val="20"/>
              <w:lang w:bidi="ar-SA"/>
            </w:rPr>
          </w:pPr>
          <w:r>
            <w:rPr>
              <w:rFonts w:cs="Times New Roman"/>
              <w:kern w:val="0"/>
              <w:sz w:val="20"/>
              <w:szCs w:val="20"/>
              <w:lang w:bidi="ar-SA"/>
            </w:rPr>
            <w:t>CSI:</w:t>
          </w:r>
        </w:p>
        <w:p>
          <w:pPr>
            <w:pStyle w:val="Form10J"/>
            <w:widowControl w:val="false"/>
            <w:spacing w:before="0" w:after="0"/>
            <w:jc w:val="left"/>
            <w:rPr>
              <w:rFonts w:ascii="Times New Roman" w:hAnsi="Times New Roman" w:cs="Times New Roman"/>
              <w:kern w:val="0"/>
              <w:sz w:val="20"/>
              <w:szCs w:val="20"/>
              <w:lang w:bidi="ar-SA"/>
            </w:rPr>
          </w:pPr>
          <w:r>
            <w:rPr>
              <w:rFonts w:cs="Times New Roman"/>
              <w:kern w:val="0"/>
              <w:sz w:val="20"/>
              <w:szCs w:val="20"/>
              <w:lang w:bidi="ar-SA"/>
            </w:rPr>
          </w:r>
        </w:p>
        <w:p>
          <w:pPr>
            <w:pStyle w:val="Form10J"/>
            <w:widowControl w:val="false"/>
            <w:spacing w:before="0" w:after="0"/>
            <w:jc w:val="left"/>
            <w:rPr>
              <w:rFonts w:ascii="Times New Roman" w:hAnsi="Times New Roman" w:cs="Times New Roman"/>
              <w:kern w:val="0"/>
              <w:sz w:val="20"/>
              <w:szCs w:val="20"/>
              <w:lang w:bidi="ar-SA"/>
            </w:rPr>
          </w:pPr>
          <w:r>
            <w:rPr>
              <w:rFonts w:cs="Times New Roman"/>
              <w:kern w:val="0"/>
              <w:sz w:val="20"/>
              <w:szCs w:val="20"/>
              <w:lang w:bidi="ar-SA"/>
            </w:rPr>
            <w:tab/>
            <w:tab/>
            <w:tab/>
            <w:tab/>
          </w:r>
        </w:p>
        <w:p>
          <w:pPr>
            <w:pStyle w:val="Form10J"/>
            <w:widowControl w:val="false"/>
            <w:spacing w:before="0" w:after="0"/>
            <w:jc w:val="left"/>
            <w:rPr>
              <w:sz w:val="2"/>
            </w:rPr>
          </w:pPr>
          <w:r>
            <w:rPr>
              <w:sz w:val="2"/>
            </w:rPr>
          </w:r>
        </w:p>
        <w:p>
          <w:pPr>
            <w:pStyle w:val="Form10J"/>
            <w:widowControl w:val="false"/>
            <w:spacing w:before="0" w:after="0"/>
            <w:jc w:val="left"/>
            <w:rPr>
              <w:sz w:val="2"/>
            </w:rPr>
          </w:pPr>
          <w:r>
            <w:rPr>
              <w:sz w:val="2"/>
            </w:rPr>
          </w:r>
        </w:p>
        <w:p>
          <w:pPr>
            <w:pStyle w:val="Form10J"/>
            <w:widowControl w:val="false"/>
            <w:spacing w:before="0" w:after="0"/>
            <w:jc w:val="left"/>
            <w:rPr>
              <w:rFonts w:ascii="Times New Roman" w:hAnsi="Times New Roman" w:cs="Times New Roman"/>
              <w:kern w:val="0"/>
              <w:sz w:val="20"/>
              <w:szCs w:val="20"/>
              <w:lang w:bidi="ar-SA"/>
            </w:rPr>
          </w:pPr>
          <w:r>
            <w:rPr>
              <w:rFonts w:eastAsia="Times New Roman" w:cs="Times New Roman"/>
              <w:kern w:val="0"/>
              <w:sz w:val="20"/>
              <w:szCs w:val="20"/>
              <w:lang w:bidi="ar-SA"/>
            </w:rPr>
            <w:t xml:space="preserve">                                                         </w:t>
          </w:r>
          <w:r>
            <w:rPr>
              <w:rFonts w:cs="Times New Roman"/>
              <w:kern w:val="0"/>
              <w:sz w:val="20"/>
              <w:szCs w:val="20"/>
              <w:lang w:bidi="ar-SA"/>
            </w:rPr>
            <w:t>TOTAL</w:t>
          </w:r>
        </w:p>
        <w:p>
          <w:pPr>
            <w:pStyle w:val="Normal"/>
            <w:widowControl w:val="false"/>
            <w:suppressAutoHyphens w:val="true"/>
            <w:spacing w:before="0" w:after="0"/>
            <w:jc w:val="left"/>
            <w:rPr>
              <w:rFonts w:ascii="Times New Roman" w:hAnsi="Times New Roman" w:eastAsia="Times New Roman" w:cs="Times New Roman"/>
              <w:kern w:val="0"/>
              <w:lang w:val="en-FR" w:eastAsia="en-GB" w:bidi="ar-SA"/>
            </w:rPr>
          </w:pPr>
          <w:r>
            <w:rPr>
              <w:rFonts w:eastAsia="Times New Roman" w:cs="Times New Roman"/>
              <w:kern w:val="0"/>
              <w:lang w:val="en-FR" w:eastAsia="en-GB" w:bidi="ar-SA"/>
            </w:rPr>
          </w:r>
        </w:p>
      </w:tc>
    </w:tr>
  </w:tbl>
  <w:p>
    <w:pPr>
      <w:pStyle w:val="Entte"/>
      <w:tabs>
        <w:tab w:val="clear" w:pos="4536"/>
        <w:tab w:val="clear" w:pos="9072"/>
      </w:tabs>
      <w:rPr/>
    </w:pPr>
    <w:r>
      <w:rPr/>
      <mc:AlternateContent>
        <mc:Choice Requires="wps">
          <w:drawing>
            <wp:anchor behindDoc="1" distT="0" distB="0" distL="0" distR="0" simplePos="0" locked="0" layoutInCell="0" allowOverlap="1" relativeHeight="3" wp14:anchorId="314566BD">
              <wp:simplePos x="0" y="0"/>
              <wp:positionH relativeFrom="page">
                <wp:posOffset>5577840</wp:posOffset>
              </wp:positionH>
              <wp:positionV relativeFrom="page">
                <wp:posOffset>2743200</wp:posOffset>
              </wp:positionV>
              <wp:extent cx="1373505" cy="1905"/>
              <wp:effectExtent l="12700" t="12700" r="12065" b="12065"/>
              <wp:wrapNone/>
              <wp:docPr id="14" name="Line 8"/>
              <a:graphic xmlns:a="http://schemas.openxmlformats.org/drawingml/2006/main">
                <a:graphicData uri="http://schemas.microsoft.com/office/word/2010/wordprocessingShape">
                  <wps:wsp>
                    <wps:cNvSpPr/>
                    <wps:spPr>
                      <a:xfrm>
                        <a:off x="0" y="0"/>
                        <a:ext cx="1373040" cy="1440"/>
                      </a:xfrm>
                      <a:prstGeom prst="line">
                        <a:avLst/>
                      </a:prstGeom>
                      <a:ln cap="sq" w="9360">
                        <a:solidFill>
                          <a:srgbClr val="000000"/>
                        </a:solidFill>
                        <a:miter/>
                      </a:ln>
                    </wps:spPr>
                    <wps:style>
                      <a:lnRef idx="0"/>
                      <a:fillRef idx="0"/>
                      <a:effectRef idx="0"/>
                      <a:fontRef idx="minor"/>
                    </wps:style>
                    <wps:bodyPr/>
                  </wps:wsp>
                </a:graphicData>
              </a:graphic>
            </wp:anchor>
          </w:drawing>
        </mc:Choice>
        <mc:Fallback>
          <w:pict>
            <v:line id="shape_0" from="439.2pt,216pt" to="547.25pt,216.05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mc:AlternateContent>
        <mc:Choice Requires="wpg">
          <w:drawing>
            <wp:anchor behindDoc="1" distT="0" distB="0" distL="0" distR="0" simplePos="0" locked="0" layoutInCell="0" allowOverlap="1" relativeHeight="22" wp14:anchorId="0664A23D">
              <wp:simplePos x="0" y="0"/>
              <wp:positionH relativeFrom="page">
                <wp:posOffset>6884035</wp:posOffset>
              </wp:positionH>
              <wp:positionV relativeFrom="page">
                <wp:posOffset>196215</wp:posOffset>
              </wp:positionV>
              <wp:extent cx="273050" cy="181610"/>
              <wp:effectExtent l="0" t="0" r="0" b="0"/>
              <wp:wrapNone/>
              <wp:docPr id="15" name="Group 14"/>
              <a:graphic xmlns:a="http://schemas.openxmlformats.org/drawingml/2006/main">
                <a:graphicData uri="http://schemas.microsoft.com/office/word/2010/wordprocessingGroup">
                  <wpg:wgp>
                    <wpg:cNvGrpSpPr/>
                    <wpg:grpSpPr>
                      <a:xfrm>
                        <a:off x="0" y="0"/>
                        <a:ext cx="272520" cy="181080"/>
                        <a:chOff x="6883920" y="196200"/>
                        <a:chExt cx="272520" cy="181080"/>
                      </a:xfrm>
                    </wpg:grpSpPr>
                    <wps:wsp>
                      <wps:cNvSpPr/>
                      <wps:spPr>
                        <a:xfrm>
                          <a:off x="4320" y="4320"/>
                          <a:ext cx="267840" cy="176400"/>
                        </a:xfrm>
                        <a:prstGeom prst="roundRect">
                          <a:avLst>
                            <a:gd name="adj" fmla="val 16667"/>
                          </a:avLst>
                        </a:prstGeom>
                        <a:noFill/>
                        <a:ln w="0">
                          <a:noFill/>
                        </a:ln>
                      </wps:spPr>
                      <wps:style>
                        <a:lnRef idx="0"/>
                        <a:fillRef idx="0"/>
                        <a:effectRef idx="0"/>
                        <a:fontRef idx="minor"/>
                      </wps:style>
                      <wps:bodyPr/>
                    </wps:wsp>
                    <wps:wsp>
                      <wps:cNvSpPr/>
                      <wps:spPr>
                        <a:xfrm>
                          <a:off x="0" y="0"/>
                          <a:ext cx="267840" cy="17640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A"/>
                              </w:rPr>
                              <w:t xml:space="preserve">  1</w:t>
                            </w:r>
                            <w:r>
                              <w:rPr>
                                <w:b w:val="false"/>
                                <w:u w:val="none"/>
                                <w:dstrike w:val="false"/>
                                <w:strike w:val="false"/>
                                <w:i w:val="false"/>
                                <w:vertAlign w:val="baseline"/>
                                <w:position w:val="0"/>
                                <w:sz w:val="20"/>
                                <w:spacing w:val="0"/>
                                <w:bCs w:val="false"/>
                                <w:iCs w:val="false"/>
                                <w:smallCaps w:val="false"/>
                                <w:caps w:val="false"/>
                                <w:sz w:val="20"/>
                                <w:szCs w:val="20"/>
                                <w:rFonts w:ascii="Calibri" w:hAnsi="Calibri"/>
                                <w:color w:val="00000A"/>
                              </w:rPr>
                              <w:t>1- 1 -- 1 -</w:t>
                            </w:r>
                          </w:p>
                        </w:txbxContent>
                      </wps:txbx>
                      <wps:bodyPr lIns="12600" rIns="12600" tIns="12600" bIns="12600" anchor="ctr">
                        <a:noAutofit/>
                      </wps:bodyPr>
                    </wps:wsp>
                  </wpg:wgp>
                </a:graphicData>
              </a:graphic>
            </wp:anchor>
          </w:drawing>
        </mc:Choice>
        <mc:Fallback>
          <w:pict>
            <v:group id="shape_0" alt="Group 14" style="position:absolute;margin-left:542.05pt;margin-top:15.45pt;width:21.4pt;height:14.25pt" coordorigin="10841,309" coordsize="428,285">
              <v:rect id="shape_0" path="m0,0l-2147483645,0l-2147483645,-2147483646l0,-2147483646xe" stroked="f" o:allowincell="f" style="position:absolute;left:10841;top:309;width:421;height:277;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A"/>
                        </w:rPr>
                        <w:t xml:space="preserve">  1</w:t>
                      </w:r>
                      <w:r>
                        <w:rPr>
                          <w:b w:val="false"/>
                          <w:u w:val="none"/>
                          <w:dstrike w:val="false"/>
                          <w:strike w:val="false"/>
                          <w:i w:val="false"/>
                          <w:vertAlign w:val="baseline"/>
                          <w:position w:val="0"/>
                          <w:sz w:val="20"/>
                          <w:spacing w:val="0"/>
                          <w:bCs w:val="false"/>
                          <w:iCs w:val="false"/>
                          <w:smallCaps w:val="false"/>
                          <w:caps w:val="false"/>
                          <w:sz w:val="20"/>
                          <w:szCs w:val="20"/>
                          <w:rFonts w:ascii="Calibri" w:hAnsi="Calibri"/>
                          <w:color w:val="00000A"/>
                        </w:rPr>
                        <w:t>1- 1 -- 1 -</w:t>
                      </w:r>
                    </w:p>
                  </w:txbxContent>
                </v:textbox>
                <v:fill o:detectmouseclick="t" on="false"/>
                <v:stroke color="#3465a4" joinstyle="round" endcap="flat"/>
                <w10:wrap type="none"/>
              </v:rect>
            </v:group>
          </w:pict>
        </mc:Fallback>
      </mc:AlternateContent>
      <mc:AlternateContent>
        <mc:Choice Requires="wps">
          <w:drawing>
            <wp:anchor behindDoc="1" distT="0" distB="0" distL="0" distR="0" simplePos="0" locked="0" layoutInCell="0" allowOverlap="1" relativeHeight="25" wp14:anchorId="20DB70F0">
              <wp:simplePos x="0" y="0"/>
              <wp:positionH relativeFrom="page">
                <wp:posOffset>474345</wp:posOffset>
              </wp:positionH>
              <wp:positionV relativeFrom="page">
                <wp:posOffset>268605</wp:posOffset>
              </wp:positionV>
              <wp:extent cx="998220" cy="632460"/>
              <wp:effectExtent l="0" t="0" r="0" b="0"/>
              <wp:wrapNone/>
              <wp:docPr id="16" name="Text Box 17"/>
              <a:graphic xmlns:a="http://schemas.openxmlformats.org/drawingml/2006/main">
                <a:graphicData uri="http://schemas.microsoft.com/office/word/2010/wordprocessingShape">
                  <wps:wsp>
                    <wps:cNvSpPr/>
                    <wps:spPr>
                      <a:xfrm>
                        <a:off x="0" y="0"/>
                        <a:ext cx="997560" cy="631800"/>
                      </a:xfrm>
                      <a:prstGeom prst="rect">
                        <a:avLst/>
                      </a:prstGeom>
                      <a:noFill/>
                      <a:ln w="0">
                        <a:noFill/>
                      </a:ln>
                    </wps:spPr>
                    <wps:style>
                      <a:lnRef idx="0"/>
                      <a:fillRef idx="0"/>
                      <a:effectRef idx="0"/>
                      <a:fontRef idx="minor"/>
                    </wps:style>
                    <wps:txbx>
                      <w:txbxContent>
                        <w:p>
                          <w:pPr>
                            <w:pStyle w:val="Contenudecadre"/>
                            <w:jc w:val="center"/>
                            <w:rPr>
                              <w:sz w:val="16"/>
                            </w:rPr>
                          </w:pPr>
                          <w:r>
                            <w:rPr>
                              <w:sz w:val="16"/>
                            </w:rPr>
                          </w:r>
                        </w:p>
                        <w:p>
                          <w:pPr>
                            <w:pStyle w:val="Cerfa"/>
                            <w:rPr>
                              <w:sz w:val="16"/>
                              <w:szCs w:val="16"/>
                            </w:rPr>
                          </w:pPr>
                          <w:r>
                            <w:rPr/>
                            <w:object w:dxaOrig="401" w:dyaOrig="461">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9.35pt;height:26pt;mso-wrap-distance-right:0pt" filled="t" fillcolor="#FFFFFF" o:ole="">
                                <v:imagedata r:id="rId3" o:title=""/>
                              </v:shape>
                              <o:OLEObject Type="Embed" ProgID="Word.Picture.8" ShapeID="ole_rId2" DrawAspect="Content" ObjectID="_1190193518" r:id="rId2"/>
                            </w:object>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wps:txbx>
                    <wps:bodyPr lIns="90000" rIns="90000" tIns="45000" bIns="45000" anchor="t">
                      <a:noAutofit/>
                    </wps:bodyPr>
                  </wps:wsp>
                </a:graphicData>
              </a:graphic>
            </wp:anchor>
          </w:drawing>
        </mc:Choice>
        <mc:Fallback>
          <w:pict>
            <v:rect id="shape_0" ID="Text Box 17" path="m0,0l-2147483645,0l-2147483645,-2147483646l0,-2147483646xe" stroked="f" o:allowincell="f" style="position:absolute;margin-left:37.35pt;margin-top:21.15pt;width:78.5pt;height:49.7pt;mso-wrap-style:square;v-text-anchor:top;mso-position-horizontal-relative:page;mso-position-vertical-relative:page" wp14:anchorId="20DB70F0">
              <v:fill o:detectmouseclick="t" on="false"/>
              <v:stroke color="#3465a4" joinstyle="round" endcap="flat"/>
              <v:textbox>
                <w:txbxContent>
                  <w:p>
                    <w:pPr>
                      <w:pStyle w:val="Contenudecadre"/>
                      <w:jc w:val="center"/>
                      <w:rPr>
                        <w:sz w:val="16"/>
                      </w:rPr>
                    </w:pPr>
                    <w:r>
                      <w:rPr>
                        <w:sz w:val="16"/>
                      </w:rPr>
                    </w:r>
                  </w:p>
                  <w:p>
                    <w:pPr>
                      <w:pStyle w:val="Cerfa"/>
                      <w:rPr>
                        <w:sz w:val="16"/>
                        <w:szCs w:val="16"/>
                      </w:rPr>
                    </w:pPr>
                    <w:r>
                      <w:rPr/>
                      <w:object w:dxaOrig="401" w:dyaOrig="461">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9.35pt;height:26pt;mso-wrap-distance-right:0pt" filled="t" fillcolor="#FFFFFF" o:ole="">
                          <v:imagedata r:id="rId5" o:title=""/>
                        </v:shape>
                        <o:OLEObject Type="Embed" ProgID="Word.Picture.8" ShapeID="ole_rId4" DrawAspect="Content" ObjectID="_1457756404" r:id="rId4"/>
                      </w:object>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pict>
        <v:shape id="PowerPlusWaterMarkObject" o:spid="shape_0" fillcolor="silver" stroked="f" o:allowincell="f" style="position:absolute;margin-left:-4.55pt;margin-top:144.4pt;width:422.75pt;height:217.45pt;mso-wrap-style:none;v-text-anchor:middle;rotation:315;mso-position-horizontal:center;mso-position-horizontal-relative:margin;mso-position-vertical:center;mso-position-vertical-relative:margin" type="_x0000_t136">
          <v:path textpathok="t"/>
          <v:textpath on="t" fitshape="t" string="SEM" trim="t" style="font-family:&quot;Liberation Sans&quot;;font-size:1pt"/>
          <v:fill o:detectmouseclick="t" type="solid" color2="#3f3f3f" opacity="0.5"/>
          <v:stroke color="#3465a4" joinstyle="round" endcap="flat"/>
          <w10:wrap type="none"/>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432" w:hanging="432"/>
      </w:pPr>
    </w:lvl>
    <w:lvl w:ilvl="1">
      <w:start w:val="1"/>
      <w:pStyle w:val="Titre2"/>
      <w:numFmt w:val="none"/>
      <w:suff w:val="nothing"/>
      <w:lvlText w:val=""/>
      <w:lvlJc w:val="left"/>
      <w:pPr>
        <w:tabs>
          <w:tab w:val="num" w:pos="0"/>
        </w:tabs>
        <w:ind w:left="576" w:hanging="576"/>
      </w:pPr>
    </w:lvl>
    <w:lvl w:ilvl="2">
      <w:start w:val="1"/>
      <w:pStyle w:val="Titre3"/>
      <w:numFmt w:val="none"/>
      <w:suff w:val="nothing"/>
      <w:lvlText w:val=""/>
      <w:lvlJc w:val="left"/>
      <w:pPr>
        <w:tabs>
          <w:tab w:val="num" w:pos="0"/>
        </w:tabs>
        <w:ind w:left="720" w:hanging="720"/>
      </w:pPr>
    </w:lvl>
    <w:lvl w:ilvl="3">
      <w:start w:val="1"/>
      <w:pStyle w:val="Titre4"/>
      <w:numFmt w:val="none"/>
      <w:suff w:val="nothing"/>
      <w:lvlText w:val=""/>
      <w:lvlJc w:val="left"/>
      <w:pPr>
        <w:tabs>
          <w:tab w:val="num" w:pos="0"/>
        </w:tabs>
        <w:ind w:left="864" w:hanging="864"/>
      </w:pPr>
    </w:lvl>
    <w:lvl w:ilvl="4">
      <w:start w:val="1"/>
      <w:pStyle w:val="Titre5"/>
      <w:numFmt w:val="none"/>
      <w:suff w:val="nothing"/>
      <w:lvlText w:val=""/>
      <w:lvlJc w:val="left"/>
      <w:pPr>
        <w:tabs>
          <w:tab w:val="num" w:pos="0"/>
        </w:tabs>
        <w:ind w:left="1008" w:hanging="1008"/>
      </w:pPr>
    </w:lvl>
    <w:lvl w:ilvl="5">
      <w:start w:val="1"/>
      <w:pStyle w:val="Titre6"/>
      <w:numFmt w:val="none"/>
      <w:suff w:val="nothing"/>
      <w:lvlText w:val=""/>
      <w:lvlJc w:val="left"/>
      <w:pPr>
        <w:tabs>
          <w:tab w:val="num" w:pos="0"/>
        </w:tabs>
        <w:ind w:left="1152" w:hanging="1152"/>
      </w:pPr>
    </w:lvl>
    <w:lvl w:ilvl="6">
      <w:start w:val="1"/>
      <w:pStyle w:val="Titre7"/>
      <w:numFmt w:val="none"/>
      <w:suff w:val="nothing"/>
      <w:lvlText w:val=""/>
      <w:lvlJc w:val="left"/>
      <w:pPr>
        <w:tabs>
          <w:tab w:val="num" w:pos="0"/>
        </w:tabs>
        <w:ind w:left="1296" w:hanging="1296"/>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7"/>
        </w:tabs>
        <w:ind w:left="0" w:hanging="0"/>
      </w:pPr>
      <w:rPr>
        <w:u w:val="single"/>
      </w:rPr>
    </w:lvl>
    <w:lvl w:ilvl="1">
      <w:start w:val="1"/>
      <w:numFmt w:val="decimal"/>
      <w:lvlText w:val="%1.%2."/>
      <w:lvlJc w:val="left"/>
      <w:pPr>
        <w:tabs>
          <w:tab w:val="num" w:pos="224"/>
        </w:tabs>
        <w:ind w:left="0" w:hanging="0"/>
      </w:pPr>
    </w:lvl>
    <w:lvl w:ilvl="2">
      <w:start w:val="1"/>
      <w:numFmt w:val="decimal"/>
      <w:lvlText w:val="%1.%2.%3."/>
      <w:lvlJc w:val="left"/>
      <w:pPr>
        <w:tabs>
          <w:tab w:val="num" w:pos="1088"/>
        </w:tabs>
        <w:ind w:left="0" w:hanging="0"/>
      </w:pPr>
    </w:lvl>
    <w:lvl w:ilvl="3">
      <w:start w:val="1"/>
      <w:numFmt w:val="decimal"/>
      <w:lvlText w:val="%1.%2.%3.%4."/>
      <w:lvlJc w:val="left"/>
      <w:pPr>
        <w:tabs>
          <w:tab w:val="num" w:pos="944"/>
        </w:tabs>
        <w:ind w:left="0" w:hanging="0"/>
      </w:pPr>
    </w:lvl>
    <w:lvl w:ilvl="4">
      <w:start w:val="1"/>
      <w:numFmt w:val="decimal"/>
      <w:lvlText w:val="%1.%2.%3.%4.%5. "/>
      <w:lvlJc w:val="left"/>
      <w:pPr>
        <w:tabs>
          <w:tab w:val="num" w:pos="1418"/>
        </w:tabs>
        <w:ind w:left="0" w:hanging="0"/>
      </w:pPr>
    </w:lvl>
    <w:lvl w:ilvl="5">
      <w:start w:val="1"/>
      <w:numFmt w:val="decimal"/>
      <w:lvlText w:val="%1.%2.%3.%4.%5.%6."/>
      <w:lvlJc w:val="left"/>
      <w:pPr>
        <w:tabs>
          <w:tab w:val="num" w:pos="2600"/>
        </w:tabs>
        <w:ind w:left="0" w:hanging="0"/>
      </w:pPr>
    </w:lvl>
    <w:lvl w:ilvl="6">
      <w:start w:val="1"/>
      <w:numFmt w:val="decimal"/>
      <w:lvlText w:val="%1.%2.%3.%4.%5.%6.%7."/>
      <w:lvlJc w:val="left"/>
      <w:pPr>
        <w:tabs>
          <w:tab w:val="num" w:pos="3104"/>
        </w:tabs>
        <w:ind w:left="0" w:hanging="0"/>
      </w:pPr>
    </w:lvl>
    <w:lvl w:ilvl="7">
      <w:start w:val="1"/>
      <w:numFmt w:val="decimal"/>
      <w:lvlText w:val="%1.%2.%3.%4.%5.%6.%7.%8."/>
      <w:lvlJc w:val="left"/>
      <w:pPr>
        <w:tabs>
          <w:tab w:val="num" w:pos="3608"/>
        </w:tabs>
        <w:ind w:left="0" w:hanging="0"/>
      </w:pPr>
    </w:lvl>
    <w:lvl w:ilvl="8">
      <w:start w:val="1"/>
      <w:numFmt w:val="decimal"/>
      <w:lvlText w:val="%1.%2.%3.%4.%5.%6.%7.%8.%9."/>
      <w:lvlJc w:val="left"/>
      <w:pPr>
        <w:tabs>
          <w:tab w:val="num" w:pos="4184"/>
        </w:tabs>
        <w:ind w:left="0" w:hanging="0"/>
      </w:pPr>
    </w:lvl>
  </w:abstractNum>
  <w:abstractNum w:abstractNumId="3">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isplayBackgroundShape/>
  <w:embedSystemFonts/>
  <w:defaultTabStop w:val="708"/>
  <w:autoHyphenation w:val="true"/>
  <w:evenAndOddHeader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FR"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9d7"/>
    <w:pPr>
      <w:widowControl/>
      <w:suppressAutoHyphens w:val="true"/>
      <w:bidi w:val="0"/>
      <w:spacing w:before="0" w:after="0"/>
      <w:jc w:val="left"/>
    </w:pPr>
    <w:rPr>
      <w:rFonts w:ascii="Times New Roman" w:hAnsi="Times New Roman" w:eastAsia="Times New Roman" w:cs="Times New Roman"/>
      <w:color w:val="auto"/>
      <w:kern w:val="0"/>
      <w:sz w:val="24"/>
      <w:szCs w:val="24"/>
      <w:lang w:val="en-FR" w:eastAsia="en-GB" w:bidi="ar-SA"/>
    </w:rPr>
  </w:style>
  <w:style w:type="paragraph" w:styleId="Titre1">
    <w:name w:val="Heading 1"/>
    <w:basedOn w:val="Normal"/>
    <w:next w:val="Normal"/>
    <w:qFormat/>
    <w:pPr>
      <w:keepNext w:val="true"/>
      <w:keepLines/>
      <w:numPr>
        <w:ilvl w:val="0"/>
        <w:numId w:val="1"/>
      </w:numPr>
      <w:pBdr>
        <w:top w:val="single" w:sz="2" w:space="1" w:color="000000" w:shadow="1"/>
        <w:left w:val="single" w:sz="2" w:space="1" w:color="000000" w:shadow="1"/>
        <w:bottom w:val="single" w:sz="2" w:space="1" w:color="000000" w:shadow="1"/>
        <w:right w:val="single" w:sz="2" w:space="1" w:color="000000" w:shadow="1"/>
      </w:pBdr>
      <w:suppressAutoHyphens w:val="true"/>
      <w:overflowPunct w:val="false"/>
      <w:jc w:val="center"/>
      <w:textAlignment w:val="baseline"/>
      <w:outlineLvl w:val="0"/>
    </w:pPr>
    <w:rPr>
      <w:rFonts w:ascii="Arial" w:hAnsi="Arial" w:cs="Arial"/>
      <w:b/>
      <w:color w:val="FF0000"/>
      <w:sz w:val="28"/>
      <w:szCs w:val="20"/>
      <w:lang w:val="fr-FR" w:eastAsia="zh-CN"/>
    </w:rPr>
  </w:style>
  <w:style w:type="paragraph" w:styleId="Titre2">
    <w:name w:val="Heading 2"/>
    <w:basedOn w:val="Normal"/>
    <w:next w:val="Normal"/>
    <w:qFormat/>
    <w:pPr>
      <w:keepNext w:val="true"/>
      <w:keepLines/>
      <w:numPr>
        <w:ilvl w:val="1"/>
        <w:numId w:val="1"/>
      </w:numPr>
      <w:suppressAutoHyphens w:val="true"/>
      <w:overflowPunct w:val="false"/>
      <w:jc w:val="both"/>
      <w:textAlignment w:val="baseline"/>
      <w:outlineLvl w:val="1"/>
    </w:pPr>
    <w:rPr>
      <w:rFonts w:ascii="Arial" w:hAnsi="Arial" w:cs="Arial"/>
      <w:b/>
      <w:color w:val="FF00FF"/>
      <w:szCs w:val="20"/>
      <w:lang w:val="fr-FR" w:eastAsia="zh-CN"/>
    </w:rPr>
  </w:style>
  <w:style w:type="paragraph" w:styleId="Titre3">
    <w:name w:val="Heading 3"/>
    <w:basedOn w:val="Titre2"/>
    <w:next w:val="Normal"/>
    <w:qFormat/>
    <w:pPr>
      <w:numPr>
        <w:ilvl w:val="2"/>
        <w:numId w:val="1"/>
      </w:numPr>
      <w:outlineLvl w:val="2"/>
    </w:pPr>
    <w:rPr>
      <w:color w:val="800080"/>
    </w:rPr>
  </w:style>
  <w:style w:type="paragraph" w:styleId="Titre4">
    <w:name w:val="Heading 4"/>
    <w:basedOn w:val="Normal"/>
    <w:next w:val="Normal"/>
    <w:qFormat/>
    <w:pPr>
      <w:keepNext w:val="true"/>
      <w:numPr>
        <w:ilvl w:val="3"/>
        <w:numId w:val="1"/>
      </w:numPr>
      <w:suppressAutoHyphens w:val="true"/>
      <w:overflowPunct w:val="false"/>
      <w:jc w:val="center"/>
      <w:textAlignment w:val="baseline"/>
      <w:outlineLvl w:val="3"/>
    </w:pPr>
    <w:rPr>
      <w:i/>
      <w:szCs w:val="20"/>
      <w:lang w:val="fr-FR" w:eastAsia="zh-CN"/>
    </w:rPr>
  </w:style>
  <w:style w:type="paragraph" w:styleId="Titre5">
    <w:name w:val="Heading 5"/>
    <w:basedOn w:val="Normal"/>
    <w:next w:val="Normal"/>
    <w:qFormat/>
    <w:pPr>
      <w:keepNext w:val="true"/>
      <w:numPr>
        <w:ilvl w:val="4"/>
        <w:numId w:val="1"/>
      </w:numPr>
      <w:suppressAutoHyphens w:val="true"/>
      <w:overflowPunct w:val="false"/>
      <w:jc w:val="center"/>
      <w:textAlignment w:val="baseline"/>
      <w:outlineLvl w:val="4"/>
    </w:pPr>
    <w:rPr>
      <w:b/>
      <w:szCs w:val="20"/>
      <w:lang w:val="fr-FR" w:eastAsia="zh-CN"/>
    </w:rPr>
  </w:style>
  <w:style w:type="paragraph" w:styleId="Titre6">
    <w:name w:val="Heading 6"/>
    <w:basedOn w:val="Normal"/>
    <w:next w:val="Normal"/>
    <w:qFormat/>
    <w:pPr>
      <w:keepNext w:val="true"/>
      <w:numPr>
        <w:ilvl w:val="5"/>
        <w:numId w:val="1"/>
      </w:numPr>
      <w:suppressAutoHyphens w:val="true"/>
      <w:overflowPunct w:val="false"/>
      <w:jc w:val="center"/>
      <w:textAlignment w:val="baseline"/>
      <w:outlineLvl w:val="5"/>
    </w:pPr>
    <w:rPr>
      <w:b/>
      <w:sz w:val="20"/>
      <w:szCs w:val="20"/>
      <w:lang w:val="fr-FR" w:eastAsia="zh-CN"/>
    </w:rPr>
  </w:style>
  <w:style w:type="paragraph" w:styleId="Titre7">
    <w:name w:val="Heading 7"/>
    <w:basedOn w:val="Normal"/>
    <w:next w:val="Normal"/>
    <w:qFormat/>
    <w:pPr>
      <w:keepNext w:val="true"/>
      <w:numPr>
        <w:ilvl w:val="6"/>
        <w:numId w:val="1"/>
      </w:numPr>
      <w:suppressAutoHyphens w:val="true"/>
      <w:overflowPunct w:val="false"/>
      <w:ind w:left="1418" w:right="280" w:hanging="0"/>
      <w:jc w:val="center"/>
      <w:textAlignment w:val="baseline"/>
      <w:outlineLvl w:val="6"/>
    </w:pPr>
    <w:rPr>
      <w:b/>
      <w:iCs/>
      <w:szCs w:val="20"/>
      <w:lang w:val="fr-FR" w:eastAsia="zh-C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u w:val="single"/>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Policepardfaut2" w:customStyle="1">
    <w:name w:val="Police par défaut2"/>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10z0" w:customStyle="1">
    <w:name w:val="WW8Num10z0"/>
    <w:qFormat/>
    <w:rPr>
      <w:rFonts w:ascii="Symbol" w:hAnsi="Symbol" w:cs="Symbol"/>
    </w:rPr>
  </w:style>
  <w:style w:type="character" w:styleId="WW8Num12z0" w:customStyle="1">
    <w:name w:val="WW8Num12z0"/>
    <w:qFormat/>
    <w:rPr>
      <w:u w:val="single"/>
    </w:rPr>
  </w:style>
  <w:style w:type="character" w:styleId="WW8Num13z0" w:customStyle="1">
    <w:name w:val="WW8Num13z0"/>
    <w:qFormat/>
    <w:rPr>
      <w:rFonts w:ascii="Wingdings" w:hAnsi="Wingdings" w:cs="Wingdings"/>
    </w:rPr>
  </w:style>
  <w:style w:type="character" w:styleId="WW8Num13z1" w:customStyle="1">
    <w:name w:val="WW8Num13z1"/>
    <w:qFormat/>
    <w:rPr>
      <w:rFonts w:ascii="Courier New" w:hAnsi="Courier New" w:cs="Courier New"/>
    </w:rPr>
  </w:style>
  <w:style w:type="character" w:styleId="WW8Num13z3" w:customStyle="1">
    <w:name w:val="WW8Num13z3"/>
    <w:qFormat/>
    <w:rPr>
      <w:rFonts w:ascii="Symbol" w:hAnsi="Symbol" w:cs="Symbol"/>
    </w:rPr>
  </w:style>
  <w:style w:type="character" w:styleId="WW8Num15z0" w:customStyle="1">
    <w:name w:val="WW8Num15z0"/>
    <w:qFormat/>
    <w:rPr>
      <w:rFonts w:ascii="Wingdings" w:hAnsi="Wingdings" w:cs="Wingdings"/>
    </w:rPr>
  </w:style>
  <w:style w:type="character" w:styleId="WW8Num15z1" w:customStyle="1">
    <w:name w:val="WW8Num15z1"/>
    <w:qFormat/>
    <w:rPr>
      <w:rFonts w:ascii="Courier New" w:hAnsi="Courier New" w:cs="Courier New"/>
    </w:rPr>
  </w:style>
  <w:style w:type="character" w:styleId="WW8Num15z3" w:customStyle="1">
    <w:name w:val="WW8Num15z3"/>
    <w:qFormat/>
    <w:rPr>
      <w:rFonts w:ascii="Symbol" w:hAnsi="Symbol" w:cs="Symbol"/>
    </w:rPr>
  </w:style>
  <w:style w:type="character" w:styleId="WW8Num16z0" w:customStyle="1">
    <w:name w:val="WW8Num16z0"/>
    <w:qFormat/>
    <w:rPr>
      <w:rFonts w:ascii="Wingdings" w:hAnsi="Wingdings" w:cs="Wingdings"/>
    </w:rPr>
  </w:style>
  <w:style w:type="character" w:styleId="WW8Num16z1" w:customStyle="1">
    <w:name w:val="WW8Num16z1"/>
    <w:qFormat/>
    <w:rPr>
      <w:rFonts w:ascii="Courier New" w:hAnsi="Courier New" w:cs="Courier New"/>
    </w:rPr>
  </w:style>
  <w:style w:type="character" w:styleId="WW8Num16z3" w:customStyle="1">
    <w:name w:val="WW8Num16z3"/>
    <w:qFormat/>
    <w:rPr>
      <w:rFonts w:ascii="Symbol" w:hAnsi="Symbol" w:cs="Symbol"/>
    </w:rPr>
  </w:style>
  <w:style w:type="character" w:styleId="WW8Num17z0" w:customStyle="1">
    <w:name w:val="WW8Num17z0"/>
    <w:qFormat/>
    <w:rPr>
      <w:rFonts w:ascii="Wingdings" w:hAnsi="Wingdings" w:cs="Wingdings"/>
    </w:rPr>
  </w:style>
  <w:style w:type="character" w:styleId="WW8Num17z1" w:customStyle="1">
    <w:name w:val="WW8Num17z1"/>
    <w:qFormat/>
    <w:rPr>
      <w:rFonts w:ascii="Courier New" w:hAnsi="Courier New" w:cs="Courier New"/>
    </w:rPr>
  </w:style>
  <w:style w:type="character" w:styleId="WW8Num17z3" w:customStyle="1">
    <w:name w:val="WW8Num17z3"/>
    <w:qFormat/>
    <w:rPr>
      <w:rFonts w:ascii="Symbol" w:hAnsi="Symbol" w:cs="Symbol"/>
    </w:rPr>
  </w:style>
  <w:style w:type="character" w:styleId="WWPolicepardfaut" w:customStyle="1">
    <w:name w:val="WW-Police par défaut"/>
    <w:qFormat/>
    <w:rPr/>
  </w:style>
  <w:style w:type="character" w:styleId="Pagenumber">
    <w:name w:val="page number"/>
    <w:basedOn w:val="WWPolicepardfaut"/>
    <w:qFormat/>
    <w:rPr/>
  </w:style>
  <w:style w:type="character" w:styleId="Caractredenotedebasdepage" w:customStyle="1">
    <w:name w:val="Caractère de note de bas de page"/>
    <w:basedOn w:val="WWPolicepardfaut"/>
    <w:qFormat/>
    <w:rPr>
      <w:vertAlign w:val="superscript"/>
    </w:rPr>
  </w:style>
  <w:style w:type="character" w:styleId="Caractredenotedefin" w:customStyle="1">
    <w:name w:val="Caractère de note de fin"/>
    <w:qFormat/>
    <w:rPr>
      <w:vertAlign w:val="superscript"/>
    </w:rPr>
  </w:style>
  <w:style w:type="character" w:styleId="Caractresdenotedebasdepage" w:customStyle="1">
    <w:name w:val="Caractères de note de bas de page"/>
    <w:qFormat/>
    <w:rPr>
      <w:vertAlign w:val="superscript"/>
    </w:rPr>
  </w:style>
  <w:style w:type="character" w:styleId="WWCaractredenotedefin" w:customStyle="1">
    <w:name w:val="WW-Caractère de note de fin"/>
    <w:qFormat/>
    <w:rPr/>
  </w:style>
  <w:style w:type="character" w:styleId="WWPolicepardfaut1" w:customStyle="1">
    <w:name w:val="WW-Police par défaut1"/>
    <w:qFormat/>
    <w:rPr/>
  </w:style>
  <w:style w:type="character" w:styleId="WW8Num3z1" w:customStyle="1">
    <w:name w:val="WW8Num3z1"/>
    <w:qFormat/>
    <w:rPr>
      <w:rFonts w:ascii="Courier New" w:hAnsi="Courier New" w:cs="Courier New"/>
    </w:rPr>
  </w:style>
  <w:style w:type="character" w:styleId="WW8Num4z0" w:customStyle="1">
    <w:name w:val="WW8Num4z0"/>
    <w:qFormat/>
    <w:rPr>
      <w:rFonts w:ascii="Times New Roman" w:hAnsi="Times New Roman" w:eastAsia="Times New Roman" w:cs="Times New Roman"/>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Policepardfaut1" w:customStyle="1">
    <w:name w:val="Police par défaut1"/>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uppressAutoHyphens w:val="true"/>
      <w:overflowPunct w:val="false"/>
      <w:jc w:val="center"/>
      <w:textAlignment w:val="baseline"/>
    </w:pPr>
    <w:rPr>
      <w:b/>
      <w:szCs w:val="20"/>
      <w:lang w:val="fr-FR" w:eastAsia="zh-CN"/>
    </w:rPr>
  </w:style>
  <w:style w:type="paragraph" w:styleId="Liste">
    <w:name w:val="List"/>
    <w:basedOn w:val="Corpsdetexte"/>
    <w:pPr/>
    <w:rPr>
      <w:rFonts w:cs="Tahoma"/>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suppressAutoHyphens w:val="true"/>
    </w:pPr>
    <w:rPr>
      <w:rFonts w:ascii="Liberation Sans" w:hAnsi="Liberation Sans" w:cs="Tahoma"/>
      <w:lang w:val="fr-FR" w:eastAsia="zh-CN"/>
    </w:rPr>
  </w:style>
  <w:style w:type="paragraph" w:styleId="Titre21" w:customStyle="1">
    <w:name w:val="Titre2"/>
    <w:basedOn w:val="Normal"/>
    <w:next w:val="Corpsdetexte"/>
    <w:qFormat/>
    <w:pPr>
      <w:keepNext w:val="true"/>
      <w:suppressAutoHyphens w:val="true"/>
      <w:overflowPunct w:val="false"/>
      <w:spacing w:before="240" w:after="120"/>
      <w:jc w:val="both"/>
      <w:textAlignment w:val="baseline"/>
    </w:pPr>
    <w:rPr>
      <w:rFonts w:ascii="Arial" w:hAnsi="Arial" w:eastAsia="Lucida Sans Unicode" w:cs="Tahoma"/>
      <w:sz w:val="28"/>
      <w:szCs w:val="28"/>
      <w:lang w:val="fr-FR" w:eastAsia="zh-CN"/>
    </w:rPr>
  </w:style>
  <w:style w:type="paragraph" w:styleId="Caption">
    <w:name w:val="caption"/>
    <w:basedOn w:val="Normal"/>
    <w:qFormat/>
    <w:pPr>
      <w:suppressLineNumbers/>
      <w:suppressAutoHyphens w:val="true"/>
      <w:overflowPunct w:val="false"/>
      <w:spacing w:before="120" w:after="120"/>
      <w:jc w:val="both"/>
      <w:textAlignment w:val="baseline"/>
    </w:pPr>
    <w:rPr>
      <w:rFonts w:cs="Tahoma"/>
      <w:i/>
      <w:iCs/>
      <w:sz w:val="20"/>
      <w:szCs w:val="20"/>
      <w:lang w:val="fr-FR" w:eastAsia="zh-CN"/>
    </w:rPr>
  </w:style>
  <w:style w:type="paragraph" w:styleId="Rpertoire" w:customStyle="1">
    <w:name w:val="Répertoire"/>
    <w:basedOn w:val="Normal"/>
    <w:qFormat/>
    <w:pPr>
      <w:suppressLineNumbers/>
      <w:suppressAutoHyphens w:val="true"/>
      <w:overflowPunct w:val="false"/>
      <w:jc w:val="both"/>
      <w:textAlignment w:val="baseline"/>
    </w:pPr>
    <w:rPr>
      <w:rFonts w:cs="Tahoma"/>
      <w:szCs w:val="20"/>
      <w:lang w:val="fr-FR" w:eastAsia="zh-CN"/>
    </w:rPr>
  </w:style>
  <w:style w:type="paragraph" w:styleId="WWTitre" w:customStyle="1">
    <w:name w:val="WW-Titre"/>
    <w:basedOn w:val="Normal"/>
    <w:next w:val="Corpsdetexte"/>
    <w:qFormat/>
    <w:pPr>
      <w:keepNext w:val="true"/>
      <w:suppressAutoHyphens w:val="true"/>
      <w:overflowPunct w:val="false"/>
      <w:spacing w:before="240" w:after="120"/>
      <w:jc w:val="both"/>
      <w:textAlignment w:val="baseline"/>
    </w:pPr>
    <w:rPr>
      <w:rFonts w:ascii="Arial" w:hAnsi="Arial" w:eastAsia="MS Mincho" w:cs="Tahoma"/>
      <w:sz w:val="28"/>
      <w:szCs w:val="28"/>
      <w:lang w:val="fr-FR" w:eastAsia="zh-CN"/>
    </w:rPr>
  </w:style>
  <w:style w:type="paragraph" w:styleId="Soustitre">
    <w:name w:val="Subtitle"/>
    <w:basedOn w:val="Titre21"/>
    <w:next w:val="Corpsdetexte"/>
    <w:qFormat/>
    <w:pPr>
      <w:jc w:val="center"/>
    </w:pPr>
    <w:rPr>
      <w:i/>
      <w:iCs/>
    </w:rPr>
  </w:style>
  <w:style w:type="paragraph" w:styleId="Toto" w:customStyle="1">
    <w:name w:val="toto"/>
    <w:basedOn w:val="Normal"/>
    <w:qFormat/>
    <w:pPr>
      <w:suppressAutoHyphens w:val="true"/>
      <w:overflowPunct w:val="false"/>
      <w:jc w:val="both"/>
      <w:textAlignment w:val="baseline"/>
    </w:pPr>
    <w:rPr>
      <w:color w:val="0000FF"/>
      <w:sz w:val="52"/>
      <w:szCs w:val="20"/>
      <w:lang w:val="fr-FR" w:eastAsia="zh-CN"/>
    </w:rPr>
  </w:style>
  <w:style w:type="paragraph" w:styleId="Entteetpieddepage">
    <w:name w:val="En-tête et pied de page"/>
    <w:basedOn w:val="Normal"/>
    <w:qFormat/>
    <w:pPr/>
    <w:rPr/>
  </w:style>
  <w:style w:type="paragraph" w:styleId="Entte">
    <w:name w:val="Header"/>
    <w:basedOn w:val="Normal"/>
    <w:pPr>
      <w:tabs>
        <w:tab w:val="clear" w:pos="708"/>
        <w:tab w:val="center" w:pos="4536" w:leader="none"/>
        <w:tab w:val="right" w:pos="9072" w:leader="none"/>
      </w:tabs>
      <w:suppressAutoHyphens w:val="true"/>
      <w:overflowPunct w:val="false"/>
      <w:jc w:val="both"/>
      <w:textAlignment w:val="baseline"/>
    </w:pPr>
    <w:rPr>
      <w:szCs w:val="20"/>
      <w:lang w:val="fr-FR" w:eastAsia="zh-CN"/>
    </w:rPr>
  </w:style>
  <w:style w:type="paragraph" w:styleId="Pieddepage">
    <w:name w:val="Footer"/>
    <w:basedOn w:val="Normal"/>
    <w:pPr>
      <w:tabs>
        <w:tab w:val="clear" w:pos="708"/>
        <w:tab w:val="center" w:pos="4536" w:leader="none"/>
        <w:tab w:val="right" w:pos="9072" w:leader="none"/>
      </w:tabs>
      <w:suppressAutoHyphens w:val="true"/>
      <w:overflowPunct w:val="false"/>
      <w:jc w:val="both"/>
      <w:textAlignment w:val="baseline"/>
    </w:pPr>
    <w:rPr>
      <w:szCs w:val="20"/>
      <w:lang w:val="fr-FR" w:eastAsia="zh-CN"/>
    </w:rPr>
  </w:style>
  <w:style w:type="paragraph" w:styleId="Form12" w:customStyle="1">
    <w:name w:val="Form12"/>
    <w:qFormat/>
    <w:pPr>
      <w:widowControl/>
      <w:suppressAutoHyphens w:val="true"/>
      <w:bidi w:val="0"/>
      <w:spacing w:before="0" w:after="0"/>
      <w:jc w:val="both"/>
    </w:pPr>
    <w:rPr>
      <w:rFonts w:ascii="Times New Roman" w:hAnsi="Times New Roman" w:eastAsia="Arial" w:cs="Times New Roman"/>
      <w:b/>
      <w:color w:val="auto"/>
      <w:kern w:val="0"/>
      <w:sz w:val="24"/>
      <w:szCs w:val="20"/>
      <w:lang w:val="fr-FR" w:eastAsia="zh-CN" w:bidi="ar-SA"/>
    </w:rPr>
  </w:style>
  <w:style w:type="paragraph" w:styleId="Form16" w:customStyle="1">
    <w:name w:val="Form16"/>
    <w:qFormat/>
    <w:pPr>
      <w:widowControl/>
      <w:suppressAutoHyphens w:val="true"/>
      <w:bidi w:val="0"/>
      <w:spacing w:before="0" w:after="0"/>
      <w:jc w:val="center"/>
    </w:pPr>
    <w:rPr>
      <w:rFonts w:ascii="Times New Roman" w:hAnsi="Times New Roman" w:eastAsia="Arial" w:cs="Times New Roman"/>
      <w:b/>
      <w:color w:val="auto"/>
      <w:kern w:val="0"/>
      <w:sz w:val="32"/>
      <w:szCs w:val="20"/>
      <w:lang w:val="fr-FR" w:eastAsia="zh-CN" w:bidi="ar-SA"/>
    </w:rPr>
  </w:style>
  <w:style w:type="paragraph" w:styleId="Form9" w:customStyle="1">
    <w:name w:val="Form9"/>
    <w:qFormat/>
    <w:pPr>
      <w:widowControl/>
      <w:suppressAutoHyphens w:val="true"/>
      <w:bidi w:val="0"/>
      <w:spacing w:before="0" w:after="0"/>
      <w:jc w:val="center"/>
    </w:pPr>
    <w:rPr>
      <w:rFonts w:ascii="Times New Roman" w:hAnsi="Times New Roman" w:eastAsia="Arial" w:cs="Times New Roman"/>
      <w:color w:val="auto"/>
      <w:kern w:val="0"/>
      <w:sz w:val="18"/>
      <w:szCs w:val="20"/>
      <w:lang w:val="fr-FR" w:eastAsia="zh-CN" w:bidi="ar-SA"/>
    </w:rPr>
  </w:style>
  <w:style w:type="paragraph" w:styleId="Form10C" w:customStyle="1">
    <w:name w:val="Form10C"/>
    <w:qFormat/>
    <w:pPr>
      <w:widowControl/>
      <w:suppressAutoHyphens w:val="true"/>
      <w:bidi w:val="0"/>
      <w:spacing w:before="0" w:after="0"/>
      <w:jc w:val="center"/>
    </w:pPr>
    <w:rPr>
      <w:rFonts w:ascii="Times New Roman" w:hAnsi="Times New Roman" w:eastAsia="Arial" w:cs="Times New Roman"/>
      <w:color w:val="auto"/>
      <w:kern w:val="0"/>
      <w:sz w:val="20"/>
      <w:szCs w:val="20"/>
      <w:lang w:val="fr-FR" w:eastAsia="zh-CN" w:bidi="ar-SA"/>
    </w:rPr>
  </w:style>
  <w:style w:type="paragraph" w:styleId="Form10J" w:customStyle="1">
    <w:name w:val="Form10J"/>
    <w:qFormat/>
    <w:pPr>
      <w:widowControl/>
      <w:suppressAutoHyphens w:val="true"/>
      <w:bidi w:val="0"/>
      <w:spacing w:before="0" w:after="0"/>
      <w:jc w:val="left"/>
    </w:pPr>
    <w:rPr>
      <w:rFonts w:ascii="Times New Roman" w:hAnsi="Times New Roman" w:eastAsia="Arial" w:cs="Times New Roman"/>
      <w:color w:val="auto"/>
      <w:kern w:val="0"/>
      <w:sz w:val="20"/>
      <w:szCs w:val="20"/>
      <w:lang w:val="fr-FR" w:eastAsia="zh-CN" w:bidi="ar-SA"/>
    </w:rPr>
  </w:style>
  <w:style w:type="paragraph" w:styleId="Form6" w:customStyle="1">
    <w:name w:val="Form6"/>
    <w:qFormat/>
    <w:pPr>
      <w:widowControl/>
      <w:suppressAutoHyphens w:val="true"/>
      <w:bidi w:val="0"/>
      <w:spacing w:before="0" w:after="0"/>
      <w:jc w:val="center"/>
    </w:pPr>
    <w:rPr>
      <w:rFonts w:ascii="Arial" w:hAnsi="Arial" w:eastAsia="Arial" w:cs="Times New Roman"/>
      <w:color w:val="auto"/>
      <w:kern w:val="0"/>
      <w:sz w:val="12"/>
      <w:szCs w:val="20"/>
      <w:lang w:val="fr-FR" w:eastAsia="zh-CN" w:bidi="ar-SA"/>
    </w:rPr>
  </w:style>
  <w:style w:type="paragraph" w:styleId="Marianne" w:customStyle="1">
    <w:name w:val="Marianne"/>
    <w:qFormat/>
    <w:pPr>
      <w:widowControl/>
      <w:suppressAutoHyphens w:val="true"/>
      <w:bidi w:val="0"/>
      <w:spacing w:before="0" w:after="0"/>
      <w:jc w:val="center"/>
    </w:pPr>
    <w:rPr>
      <w:rFonts w:ascii="Arial" w:hAnsi="Arial" w:eastAsia="Arial" w:cs="Times New Roman"/>
      <w:i/>
      <w:color w:val="auto"/>
      <w:kern w:val="0"/>
      <w:sz w:val="28"/>
      <w:szCs w:val="20"/>
      <w:lang w:val="fr-FR" w:eastAsia="zh-CN" w:bidi="ar-SA"/>
    </w:rPr>
  </w:style>
  <w:style w:type="paragraph" w:styleId="Cerfa" w:customStyle="1">
    <w:name w:val="Cerfa"/>
    <w:qFormat/>
    <w:pPr>
      <w:widowControl/>
      <w:suppressAutoHyphens w:val="true"/>
      <w:bidi w:val="0"/>
      <w:spacing w:before="0" w:after="0"/>
      <w:jc w:val="center"/>
    </w:pPr>
    <w:rPr>
      <w:rFonts w:ascii="Times New Roman" w:hAnsi="Times New Roman" w:eastAsia="Arial" w:cs="Times New Roman"/>
      <w:color w:val="auto"/>
      <w:kern w:val="0"/>
      <w:sz w:val="36"/>
      <w:szCs w:val="20"/>
      <w:lang w:val="fr-FR" w:eastAsia="zh-CN" w:bidi="ar-SA"/>
    </w:rPr>
  </w:style>
  <w:style w:type="paragraph" w:styleId="Notedebasdepage">
    <w:name w:val="Footnote Text"/>
    <w:basedOn w:val="Normal"/>
    <w:pPr>
      <w:suppressAutoHyphens w:val="true"/>
      <w:overflowPunct w:val="false"/>
      <w:textAlignment w:val="baseline"/>
    </w:pPr>
    <w:rPr>
      <w:sz w:val="20"/>
      <w:szCs w:val="20"/>
      <w:lang w:val="fr-FR" w:eastAsia="zh-CN"/>
    </w:rPr>
  </w:style>
  <w:style w:type="paragraph" w:styleId="WWCorpsdetexte2" w:customStyle="1">
    <w:name w:val="WW-Corps de texte 2"/>
    <w:basedOn w:val="Normal"/>
    <w:qFormat/>
    <w:pPr>
      <w:suppressAutoHyphens w:val="true"/>
      <w:overflowPunct w:val="false"/>
      <w:jc w:val="center"/>
      <w:textAlignment w:val="baseline"/>
    </w:pPr>
    <w:rPr>
      <w:i/>
      <w:szCs w:val="20"/>
      <w:lang w:val="fr-FR" w:eastAsia="zh-CN"/>
    </w:rPr>
  </w:style>
  <w:style w:type="paragraph" w:styleId="Retraitcorpsdetexte21" w:customStyle="1">
    <w:name w:val="Retrait corps de texte 21"/>
    <w:basedOn w:val="Normal"/>
    <w:qFormat/>
    <w:pPr>
      <w:suppressAutoHyphens w:val="true"/>
      <w:overflowPunct w:val="false"/>
      <w:spacing w:lineRule="auto" w:line="480" w:before="0" w:after="120"/>
      <w:ind w:left="283" w:hanging="0"/>
      <w:jc w:val="both"/>
      <w:textAlignment w:val="baseline"/>
    </w:pPr>
    <w:rPr>
      <w:szCs w:val="20"/>
      <w:lang w:val="fr-FR" w:eastAsia="zh-CN"/>
    </w:rPr>
  </w:style>
  <w:style w:type="paragraph" w:styleId="Retraitcorpsdetexte31" w:customStyle="1">
    <w:name w:val="Retrait corps de texte 31"/>
    <w:basedOn w:val="Normal"/>
    <w:qFormat/>
    <w:pPr>
      <w:suppressAutoHyphens w:val="true"/>
      <w:overflowPunct w:val="false"/>
      <w:spacing w:before="0" w:after="120"/>
      <w:ind w:left="283" w:hanging="0"/>
      <w:jc w:val="both"/>
      <w:textAlignment w:val="baseline"/>
    </w:pPr>
    <w:rPr>
      <w:sz w:val="16"/>
      <w:szCs w:val="16"/>
      <w:lang w:val="fr-FR" w:eastAsia="zh-CN"/>
    </w:rPr>
  </w:style>
  <w:style w:type="paragraph" w:styleId="Niv1" w:customStyle="1">
    <w:name w:val="Niv1"/>
    <w:basedOn w:val="Normal"/>
    <w:next w:val="Normal"/>
    <w:qFormat/>
    <w:pPr>
      <w:keepNext w:val="true"/>
      <w:numPr>
        <w:ilvl w:val="0"/>
        <w:numId w:val="2"/>
      </w:numPr>
      <w:ind w:left="1560" w:hanging="0"/>
      <w:jc w:val="both"/>
    </w:pPr>
    <w:rPr>
      <w:b/>
      <w:caps/>
      <w:sz w:val="22"/>
      <w:szCs w:val="26"/>
      <w:u w:val="single"/>
      <w:lang w:val="fr-FR" w:eastAsia="zh-CN"/>
    </w:rPr>
  </w:style>
  <w:style w:type="paragraph" w:styleId="Niv2" w:customStyle="1">
    <w:name w:val="Niv2"/>
    <w:basedOn w:val="Normal"/>
    <w:next w:val="Normal"/>
    <w:qFormat/>
    <w:pPr>
      <w:spacing w:before="480" w:after="240"/>
      <w:ind w:left="1560" w:hanging="0"/>
    </w:pPr>
    <w:rPr>
      <w:rFonts w:cs="Arial"/>
      <w:b/>
      <w:u w:val="single"/>
      <w:lang w:val="fr-FR" w:eastAsia="zh-CN"/>
    </w:rPr>
  </w:style>
  <w:style w:type="paragraph" w:styleId="Niv3" w:customStyle="1">
    <w:name w:val="Niv3"/>
    <w:basedOn w:val="Normal"/>
    <w:next w:val="Normal"/>
    <w:qFormat/>
    <w:pPr>
      <w:tabs>
        <w:tab w:val="clear" w:pos="708"/>
        <w:tab w:val="left" w:pos="17" w:leader="none"/>
      </w:tabs>
      <w:spacing w:before="360" w:after="240"/>
      <w:ind w:left="1088" w:hanging="504"/>
    </w:pPr>
    <w:rPr>
      <w:rFonts w:ascii="Arial" w:hAnsi="Arial" w:cs="Arial"/>
      <w:sz w:val="20"/>
      <w:lang w:val="fr-FR" w:eastAsia="zh-CN"/>
    </w:rPr>
  </w:style>
  <w:style w:type="paragraph" w:styleId="Niv4" w:customStyle="1">
    <w:name w:val="Niv4"/>
    <w:basedOn w:val="Normal"/>
    <w:next w:val="Normal"/>
    <w:qFormat/>
    <w:pPr>
      <w:tabs>
        <w:tab w:val="clear" w:pos="708"/>
        <w:tab w:val="left" w:pos="17" w:leader="none"/>
      </w:tabs>
      <w:spacing w:before="120" w:after="0"/>
      <w:ind w:left="944" w:hanging="0"/>
    </w:pPr>
    <w:rPr>
      <w:rFonts w:ascii="Arial" w:hAnsi="Arial" w:cs="Arial"/>
      <w:sz w:val="20"/>
      <w:lang w:val="fr-FR" w:eastAsia="zh-CN"/>
    </w:rPr>
  </w:style>
  <w:style w:type="paragraph" w:styleId="Niv5" w:customStyle="1">
    <w:name w:val="Niv5"/>
    <w:basedOn w:val="Normal"/>
    <w:next w:val="Normal"/>
    <w:qFormat/>
    <w:pPr>
      <w:tabs>
        <w:tab w:val="clear" w:pos="708"/>
        <w:tab w:val="left" w:pos="17" w:leader="none"/>
      </w:tabs>
      <w:spacing w:before="120" w:after="0"/>
      <w:ind w:left="1418" w:hanging="0"/>
    </w:pPr>
    <w:rPr>
      <w:rFonts w:ascii="Arial" w:hAnsi="Arial" w:cs="Arial"/>
      <w:sz w:val="20"/>
      <w:lang w:val="fr-FR" w:eastAsia="zh-CN"/>
    </w:rPr>
  </w:style>
  <w:style w:type="paragraph" w:styleId="BodyText21" w:customStyle="1">
    <w:name w:val="Body Text 21"/>
    <w:basedOn w:val="Normal"/>
    <w:qFormat/>
    <w:pPr>
      <w:suppressAutoHyphens w:val="true"/>
      <w:overflowPunct w:val="false"/>
      <w:jc w:val="both"/>
      <w:textAlignment w:val="baseline"/>
    </w:pPr>
    <w:rPr>
      <w:szCs w:val="20"/>
      <w:lang w:val="fr-FR" w:eastAsia="zh-CN"/>
    </w:rPr>
  </w:style>
  <w:style w:type="paragraph" w:styleId="Contenudetableau" w:customStyle="1">
    <w:name w:val="Contenu de tableau"/>
    <w:basedOn w:val="Corpsdetexte"/>
    <w:qFormat/>
    <w:pPr>
      <w:suppressLineNumbers/>
    </w:pPr>
    <w:rPr/>
  </w:style>
  <w:style w:type="paragraph" w:styleId="Normalcentr1" w:customStyle="1">
    <w:name w:val="Normal centré1"/>
    <w:basedOn w:val="Normal"/>
    <w:qFormat/>
    <w:pPr>
      <w:suppressAutoHyphens w:val="true"/>
      <w:overflowPunct w:val="false"/>
      <w:ind w:left="1560" w:right="-409" w:hanging="0"/>
      <w:jc w:val="both"/>
      <w:textAlignment w:val="baseline"/>
    </w:pPr>
    <w:rPr>
      <w:b/>
      <w:bCs/>
      <w:color w:val="FF0000"/>
      <w:sz w:val="22"/>
      <w:szCs w:val="22"/>
      <w:lang w:val="fr-FR" w:eastAsia="zh-CN"/>
    </w:rPr>
  </w:style>
  <w:style w:type="paragraph" w:styleId="Niv6" w:customStyle="1">
    <w:name w:val="Niv6"/>
    <w:basedOn w:val="Normal"/>
    <w:next w:val="Normal"/>
    <w:qFormat/>
    <w:pPr/>
    <w:rPr>
      <w:rFonts w:ascii="Arial" w:hAnsi="Arial" w:cs="Arial"/>
      <w:sz w:val="20"/>
      <w:lang w:val="fr-FR" w:eastAsia="zh-CN"/>
    </w:rPr>
  </w:style>
  <w:style w:type="paragraph" w:styleId="Style11" w:customStyle="1">
    <w:name w:val="Style1"/>
    <w:basedOn w:val="Normal"/>
    <w:qFormat/>
    <w:pPr>
      <w:shd w:val="clear" w:color="auto" w:fill="E5E5E5"/>
      <w:suppressAutoHyphens w:val="true"/>
      <w:overflowPunct w:val="false"/>
      <w:jc w:val="center"/>
      <w:textAlignment w:val="baseline"/>
    </w:pPr>
    <w:rPr>
      <w:b/>
      <w:spacing w:val="20"/>
      <w:szCs w:val="20"/>
      <w:lang w:val="fr-FR" w:eastAsia="zh-CN"/>
    </w:rPr>
  </w:style>
  <w:style w:type="paragraph" w:styleId="Style21" w:customStyle="1">
    <w:name w:val="Style2"/>
    <w:basedOn w:val="Normal"/>
    <w:qFormat/>
    <w:pPr>
      <w:pBdr>
        <w:top w:val="single" w:sz="2" w:space="1" w:color="000000"/>
        <w:left w:val="single" w:sz="2" w:space="1" w:color="000000"/>
        <w:bottom w:val="single" w:sz="2" w:space="1" w:color="000000"/>
        <w:right w:val="single" w:sz="2" w:space="1" w:color="000000"/>
      </w:pBdr>
      <w:suppressAutoHyphens w:val="true"/>
      <w:overflowPunct w:val="false"/>
      <w:jc w:val="center"/>
      <w:textAlignment w:val="baseline"/>
    </w:pPr>
    <w:rPr>
      <w:szCs w:val="20"/>
      <w:lang w:val="fr-FR" w:eastAsia="zh-CN"/>
    </w:rPr>
  </w:style>
  <w:style w:type="paragraph" w:styleId="Titredetableau" w:customStyle="1">
    <w:name w:val="Titre de tableau"/>
    <w:basedOn w:val="Contenudetableau"/>
    <w:qFormat/>
    <w:pPr/>
    <w:rPr>
      <w:bCs/>
      <w:i/>
      <w:iCs/>
    </w:rPr>
  </w:style>
  <w:style w:type="paragraph" w:styleId="TITRE41" w:customStyle="1">
    <w:name w:val="TITRE4"/>
    <w:basedOn w:val="Normal"/>
    <w:qFormat/>
    <w:pPr>
      <w:suppressAutoHyphens w:val="true"/>
      <w:overflowPunct w:val="false"/>
      <w:jc w:val="both"/>
      <w:textAlignment w:val="baseline"/>
    </w:pPr>
    <w:rPr>
      <w:i/>
      <w:szCs w:val="20"/>
      <w:u w:val="single"/>
      <w:lang w:val="fr-FR" w:eastAsia="zh-CN"/>
    </w:rPr>
  </w:style>
  <w:style w:type="paragraph" w:styleId="TITRE51" w:customStyle="1">
    <w:name w:val="TITRE5"/>
    <w:basedOn w:val="Normal"/>
    <w:qFormat/>
    <w:pPr>
      <w:suppressAutoHyphens w:val="true"/>
      <w:overflowPunct w:val="false"/>
      <w:jc w:val="both"/>
      <w:textAlignment w:val="baseline"/>
    </w:pPr>
    <w:rPr>
      <w:szCs w:val="20"/>
      <w:u w:val="single"/>
      <w:lang w:val="fr-FR" w:eastAsia="zh-CN"/>
    </w:rPr>
  </w:style>
  <w:style w:type="paragraph" w:styleId="TxBrp6" w:customStyle="1">
    <w:name w:val="TxBr_p6"/>
    <w:basedOn w:val="Normal"/>
    <w:qFormat/>
    <w:pPr>
      <w:widowControl w:val="false"/>
      <w:tabs>
        <w:tab w:val="clear" w:pos="708"/>
        <w:tab w:val="left" w:pos="2239" w:leader="none"/>
      </w:tabs>
      <w:spacing w:lineRule="atLeast" w:line="240"/>
      <w:ind w:left="1430" w:hanging="2239"/>
    </w:pPr>
    <w:rPr>
      <w:lang w:val="en-US" w:eastAsia="zh-CN"/>
    </w:rPr>
  </w:style>
  <w:style w:type="paragraph" w:styleId="WWCorpsdetexte3" w:customStyle="1">
    <w:name w:val="WW-Corps de texte 3"/>
    <w:basedOn w:val="Normal"/>
    <w:qFormat/>
    <w:pPr>
      <w:keepNext w:val="true"/>
      <w:suppressAutoHyphens w:val="true"/>
      <w:overflowPunct w:val="false"/>
      <w:jc w:val="center"/>
      <w:textAlignment w:val="baseline"/>
    </w:pPr>
    <w:rPr>
      <w:b/>
      <w:sz w:val="20"/>
      <w:szCs w:val="20"/>
      <w:lang w:val="fr-FR" w:eastAsia="zh-CN"/>
    </w:rPr>
  </w:style>
  <w:style w:type="paragraph" w:styleId="Contenuducadre" w:customStyle="1">
    <w:name w:val="Contenu du cadre"/>
    <w:basedOn w:val="Corpsdetexte"/>
    <w:qFormat/>
    <w:pPr/>
    <w:rPr/>
  </w:style>
  <w:style w:type="paragraph" w:styleId="Titre11" w:customStyle="1">
    <w:name w:val="Titre1"/>
    <w:basedOn w:val="Normal"/>
    <w:next w:val="Corpsdetexte"/>
    <w:qFormat/>
    <w:pPr>
      <w:keepNext w:val="true"/>
      <w:suppressAutoHyphens w:val="true"/>
      <w:spacing w:before="240" w:after="120"/>
    </w:pPr>
    <w:rPr>
      <w:rFonts w:ascii="Liberation Sans" w:hAnsi="Liberation Sans" w:eastAsia="Lucida Sans Unicode" w:cs="Tahoma"/>
      <w:sz w:val="28"/>
      <w:szCs w:val="28"/>
      <w:lang w:val="fr-FR" w:eastAsia="zh-CN"/>
    </w:rPr>
  </w:style>
  <w:style w:type="paragraph" w:styleId="Lgende1" w:customStyle="1">
    <w:name w:val="Légende1"/>
    <w:basedOn w:val="Normal"/>
    <w:qFormat/>
    <w:pPr>
      <w:suppressLineNumbers/>
      <w:suppressAutoHyphens w:val="true"/>
      <w:spacing w:before="120" w:after="120"/>
    </w:pPr>
    <w:rPr>
      <w:rFonts w:ascii="Liberation Sans" w:hAnsi="Liberation Sans" w:cs="Tahoma"/>
      <w:i/>
      <w:iCs/>
      <w:lang w:val="fr-FR" w:eastAsia="zh-CN"/>
    </w:rPr>
  </w:style>
  <w:style w:type="paragraph" w:styleId="NormalWeb">
    <w:name w:val="Normal (Web)"/>
    <w:basedOn w:val="Normal"/>
    <w:uiPriority w:val="99"/>
    <w:qFormat/>
    <w:pPr>
      <w:suppressAutoHyphens w:val="true"/>
      <w:spacing w:before="280" w:after="280"/>
    </w:pPr>
    <w:rPr>
      <w:rFonts w:ascii="Arial Unicode MS" w:hAnsi="Arial Unicode MS" w:eastAsia="Arial Unicode MS" w:cs="Arial Unicode MS"/>
      <w:lang w:val="fr-FR" w:eastAsia="zh-CN"/>
    </w:rPr>
  </w:style>
  <w:style w:type="paragraph" w:styleId="Corpsdetexte21" w:customStyle="1">
    <w:name w:val="Corps de texte 21"/>
    <w:basedOn w:val="Normal"/>
    <w:qFormat/>
    <w:pPr>
      <w:suppressAutoHyphens w:val="true"/>
    </w:pPr>
    <w:rPr>
      <w:sz w:val="20"/>
      <w:szCs w:val="20"/>
      <w:lang w:val="fr-FR" w:eastAsia="zh-CN"/>
    </w:rPr>
  </w:style>
  <w:style w:type="paragraph" w:styleId="Interligne" w:customStyle="1">
    <w:name w:val="interligne"/>
    <w:basedOn w:val="Normal"/>
    <w:qFormat/>
    <w:pPr>
      <w:suppressAutoHyphens w:val="true"/>
      <w:spacing w:before="0" w:after="120"/>
      <w:ind w:firstLine="284"/>
      <w:jc w:val="both"/>
    </w:pPr>
    <w:rPr>
      <w:sz w:val="22"/>
      <w:szCs w:val="20"/>
      <w:lang w:val="fr-FR" w:eastAsia="zh-CN"/>
    </w:rPr>
  </w:style>
  <w:style w:type="paragraph" w:styleId="Contenudecadre" w:customStyle="1">
    <w:name w:val="Contenu de cadre"/>
    <w:basedOn w:val="Normal"/>
    <w:qFormat/>
    <w:pPr>
      <w:suppressAutoHyphens w:val="true"/>
      <w:overflowPunct w:val="false"/>
      <w:jc w:val="both"/>
      <w:textAlignment w:val="baseline"/>
    </w:pPr>
    <w:rPr>
      <w:szCs w:val="20"/>
      <w:lang w:val="fr-FR" w:eastAsia="zh-CN"/>
    </w:rPr>
  </w:style>
  <w:style w:type="paragraph" w:styleId="ListParagraph">
    <w:name w:val="List Paragraph"/>
    <w:basedOn w:val="Normal"/>
    <w:uiPriority w:val="34"/>
    <w:qFormat/>
    <w:rsid w:val="00c81995"/>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d02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5" Type="http://schemas.openxmlformats.org/officeDocument/2006/relationships/image" Target="media/image3.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LibreOffice/7.2.6.2$Windows_X86_64 LibreOffice_project/b0ec3a565991f7569a5a7f5d24fed7f52653d754</Application>
  <AppVersion>15.0000</AppVersion>
  <Pages>20</Pages>
  <Words>7122</Words>
  <Characters>37946</Characters>
  <CharactersWithSpaces>44788</CharactersWithSpaces>
  <Paragraphs>410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2022-04-11T08:45:00Z</dcterms:created>
  <dc:creator>Etude Cheuvreux</dc:creator>
  <dc:description/>
  <dc:language>fr-FR</dc:language>
  <cp:lastModifiedBy>Marjolaine Le Bon</cp:lastModifiedBy>
  <cp:lastPrinted>2021-11-30T08:37:00Z</cp:lastPrinted>
  <dcterms:modified xsi:type="dcterms:W3CDTF">2022-05-20T15:03:03Z</dcterms:modified>
  <cp:revision>18</cp:revision>
  <dc:subject/>
  <dc:title>   </dc:title>
</cp:coreProperties>
</file>

<file path=docProps/custom.xml><?xml version="1.0" encoding="utf-8"?>
<Properties xmlns="http://schemas.openxmlformats.org/officeDocument/2006/custom-properties" xmlns:vt="http://schemas.openxmlformats.org/officeDocument/2006/docPropsVTypes"/>
</file>