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TimesNewRomanPS-BoldMT" w:hAnsi="TimesNewRomanPS-BoldMT" w:cs="TimesNewRomanPS-BoldMT"/>
          <w:b/>
          <w:b/>
        </w:rPr>
      </w:pPr>
      <w:r>
        <w:rPr>
          <w:rFonts w:cs="TimesNewRomanPS-BoldMT" w:ascii="TimesNewRomanPS-BoldMT" w:hAnsi="TimesNewRomanPS-BoldMT"/>
          <w:b/>
        </w:rPr>
        <w:t xml:space="preserve">Convention n° </w:t>
      </w:r>
      <w:r>
        <w:rPr>
          <w:rFonts w:cs="TimesNewRomanPSMT" w:ascii="TimesNewRomanPSMT" w:hAnsi="TimesNewRomanPSMT"/>
          <w:b/>
        </w:rPr>
        <w:t xml:space="preserve">{% if </w:t>
      </w:r>
      <w:r>
        <w:rPr>
          <w:rFonts w:cs="TimesNewRomanPS-BoldMT" w:ascii="TimesNewRomanPS-BoldMT" w:hAnsi="TimesNewRomanPS-BoldMT"/>
          <w:b/>
        </w:rPr>
        <w:t>convention.numero</w:t>
      </w:r>
      <w:r>
        <w:rPr>
          <w:rFonts w:cs="TimesNewRomanPSMT" w:ascii="TimesNewRomanPSMT" w:hAnsi="TimesNewRomanPSMT"/>
          <w:b/>
        </w:rPr>
        <w:t xml:space="preserve"> %}</w:t>
      </w:r>
      <w:r>
        <w:rPr>
          <w:rFonts w:cs="TimesNewRomanPS-BoldMT" w:ascii="TimesNewRomanPS-BoldMT" w:hAnsi="TimesNewRomanPS-BoldMT"/>
          <w:b/>
        </w:rPr>
        <w:t>{{convention.numero}}{% else %}</w:t>
      </w:r>
      <w:r>
        <w:rPr>
          <w:rFonts w:cs="TimesNewRomanPS-BoldMT" w:ascii="TimesNewRomanPS-BoldMT" w:hAnsi="TimesNewRomanPS-BoldMT"/>
          <w:bCs/>
          <w:i/>
          <w:iCs/>
          <w:sz w:val="16"/>
          <w:szCs w:val="16"/>
        </w:rPr>
        <w:t>Le numéro de la convention sera défini et ajouté ici une fois la convention validée</w:t>
      </w:r>
      <w:r>
        <w:rPr>
          <w:rFonts w:cs="TimesNewRomanPS-BoldMT" w:ascii="TimesNewRomanPS-BoldMT" w:hAnsi="TimesNewRomanPS-BoldMT"/>
          <w:b/>
        </w:rPr>
        <w:t>{% endif %}</w:t>
      </w:r>
    </w:p>
    <w:p>
      <w:pPr>
        <w:pStyle w:val="Normal"/>
        <w:jc w:val="center"/>
        <w:rPr>
          <w:rFonts w:ascii="TimesNewRomanPS-BoldMT" w:hAnsi="TimesNewRomanPS-BoldMT" w:cs="TimesNewRomanPS-BoldMT"/>
          <w:b/>
          <w:b/>
        </w:rPr>
      </w:pPr>
      <w:r>
        <w:rPr>
          <w:rFonts w:cs="TimesNewRomanPS-BoldMT" w:ascii="TimesNewRomanPS-BoldMT" w:hAnsi="TimesNewRomanPS-BoldMT"/>
          <w:b/>
        </w:rPr>
      </w:r>
    </w:p>
    <w:p>
      <w:pPr>
        <w:pStyle w:val="Normal"/>
        <w:jc w:val="center"/>
        <w:rPr>
          <w:sz w:val="16"/>
          <w:szCs w:val="16"/>
        </w:rPr>
      </w:pPr>
      <w:r>
        <w:rPr>
          <w:rFonts w:ascii="TimesNewRomanPS" w:hAnsi="TimesNewRomanPS"/>
          <w:b/>
          <w:bCs/>
        </w:rPr>
        <w:t>A</w:t>
      </w:r>
      <w:r>
        <w:rPr>
          <w:rFonts w:ascii="TimesNewRomanPS" w:hAnsi="TimesNewRomanPS"/>
          <w:b/>
          <w:bCs/>
          <w:sz w:val="16"/>
          <w:szCs w:val="16"/>
        </w:rPr>
        <w:t>NNEXE À L</w:t>
      </w:r>
      <w:r>
        <w:rPr>
          <w:rFonts w:ascii="TimesNewRomanPS" w:hAnsi="TimesNewRomanPS"/>
          <w:b/>
          <w:bCs/>
        </w:rPr>
        <w:t>'</w:t>
      </w:r>
      <w:r>
        <w:rPr>
          <w:rFonts w:ascii="TimesNewRomanPS" w:hAnsi="TimesNewRomanPS"/>
          <w:b/>
          <w:bCs/>
          <w:sz w:val="16"/>
          <w:szCs w:val="16"/>
        </w:rPr>
        <w:t xml:space="preserve">ARTICLE </w:t>
      </w:r>
      <w:r>
        <w:rPr>
          <w:rFonts w:ascii="TimesNewRomanPS" w:hAnsi="TimesNewRomanPS"/>
          <w:b/>
          <w:bCs/>
        </w:rPr>
        <w:t xml:space="preserve">D. 353-59 </w:t>
      </w:r>
      <w:r>
        <w:rPr>
          <w:rFonts w:ascii="TimesNewRomanPS" w:hAnsi="TimesNewRomanPS"/>
          <w:b/>
          <w:bCs/>
          <w:sz w:val="16"/>
          <w:szCs w:val="16"/>
        </w:rPr>
        <w:t>DU CODE DE LA CONSTRUCTION ET DE L</w:t>
      </w:r>
      <w:r>
        <w:rPr>
          <w:rFonts w:ascii="TimesNewRomanPS" w:hAnsi="TimesNewRomanPS"/>
          <w:b/>
          <w:bCs/>
        </w:rPr>
        <w:t>’</w:t>
      </w:r>
      <w:r>
        <w:rPr>
          <w:rFonts w:ascii="TimesNewRomanPS" w:hAnsi="TimesNewRomanPS"/>
          <w:b/>
          <w:bCs/>
          <w:sz w:val="16"/>
          <w:szCs w:val="16"/>
        </w:rPr>
        <w:t>HABITATION</w:t>
      </w:r>
      <w:r>
        <w:rPr/>
        <w:br/>
      </w:r>
    </w:p>
    <w:p>
      <w:pPr>
        <w:pStyle w:val="NormalWeb"/>
        <w:spacing w:before="0" w:after="0"/>
        <w:jc w:val="center"/>
        <w:rPr>
          <w:rFonts w:ascii="TimesNewRomanPS-BoldMT" w:hAnsi="TimesNewRomanPS-BoldMT" w:cs="TimesNewRomanPS-BoldMT"/>
          <w:b/>
          <w:b/>
        </w:rPr>
      </w:pPr>
      <w:r>
        <w:rPr>
          <w:rFonts w:cs="TimesNewRomanPS-BoldMT" w:ascii="TimesNewRomanPS-BoldMT" w:hAnsi="TimesNewRomanPS-BoldMT"/>
          <w:b/>
        </w:rPr>
        <w:t>Convention type conclue en application des articles L. 353-1 et L. 831-1</w:t>
        <w:br/>
        <w:t xml:space="preserve">(2° ou 3°) du code de la construction et de l'habitation entre l'ETAT </w:t>
      </w:r>
      <w:r>
        <w:rPr>
          <w:rFonts w:eastAsia="Times New Roman" w:cs="Times New Roman" w:ascii="TimesNewRomanPS" w:hAnsi="TimesNewRomanPS"/>
          <w:b/>
          <w:bCs/>
          <w:lang w:eastAsia="en-GB"/>
        </w:rPr>
        <w:t>et la société d'économie mixte de construction et de gestion de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 xml:space="preserve">Convention type conclue entre l'ETAT et </w:t>
      </w:r>
      <w:bookmarkStart w:id="0" w:name="NomBailleur1"/>
      <w:bookmarkEnd w:id="0"/>
      <w:r>
        <w:rPr>
          <w:rFonts w:cs="TimesNewRomanPSMT" w:ascii="Times New Roman" w:hAnsi="Times New Roman"/>
        </w:rPr>
        <w:t xml:space="preserve">{{ bailleur.nom|upper }} (1) (2) en application des articles L. 353-1 et L. 831-1 (2° ou 3°) du code de la construction et de l'habitation pour l'opération </w:t>
      </w:r>
      <w:bookmarkStart w:id="1" w:name="NomProgramme1"/>
      <w:bookmarkEnd w:id="1"/>
      <w:r>
        <w:rPr>
          <w:rFonts w:cs="TimesNewRomanPSMT" w:ascii="Times New Roman" w:hAnsi="Times New Roman"/>
        </w:rPr>
        <w:t xml:space="preserve">{{ programme.nom }}, de </w:t>
      </w:r>
      <w:bookmarkStart w:id="2" w:name="NbLogement1"/>
      <w:bookmarkEnd w:id="2"/>
      <w:r>
        <w:rPr>
          <w:rFonts w:cs="TimesNewRomanPSMT" w:ascii="Times New Roman" w:hAnsi="Times New Roman"/>
        </w:rPr>
        <w:t>{{ lot.nb_logements }} logement</w:t>
      </w:r>
      <w:bookmarkStart w:id="3" w:name="Type"/>
      <w:bookmarkEnd w:id="3"/>
      <w:r>
        <w:rPr>
          <w:rFonts w:cs="TimesNewRomanPSMT" w:ascii="Times New Roman" w:hAnsi="Times New Roman"/>
        </w:rPr>
        <w:t xml:space="preserve">{{lot.nb_logements|pl}} {{ lot.financement }}, </w:t>
      </w:r>
      <w:bookmarkStart w:id="4" w:name="Adresse1"/>
      <w:bookmarkEnd w:id="4"/>
      <w:r>
        <w:rPr>
          <w:rFonts w:cs="TimesNewRomanPSMT" w:ascii="Times New Roman" w:hAnsi="Times New Roman"/>
        </w:rPr>
        <w:t xml:space="preserve">{{ adresse|inline_text_multiline }} à </w:t>
      </w:r>
      <w:bookmarkStart w:id="5" w:name="CodePostal1"/>
      <w:bookmarkEnd w:id="5"/>
      <w:r>
        <w:rPr>
          <w:rFonts w:cs="TimesNewRomanPSMT" w:ascii="Times New Roman" w:hAnsi="Times New Roman"/>
        </w:rPr>
        <w:t xml:space="preserve">{{ code_postal }},  </w:t>
      </w:r>
      <w:bookmarkStart w:id="6" w:name="Ville1"/>
      <w:bookmarkEnd w:id="6"/>
      <w:r>
        <w:rPr>
          <w:rFonts w:cs="TimesNewRomanPSMT" w:ascii="Times New Roman" w:hAnsi="Times New Roman"/>
        </w:rPr>
        <w:t>{{ ville }} (3).</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d'une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et {{ bailleur.nom|upper }} (2), représenté (e) par{%  if convention.signataire_nom %} {{ convention.signataire_nom }}, {{ convention.signataire_fonction }}{% else %} {{ bailleur.signataire_nom }}, {{ bailleur.signataire_fonction }}{% endif %} (4) agissant en vertu de la délibération du Conseil d’Administration en date du {%  if convention.signataire_date_deliberation %}{{ convention.signataire_date_deliberation|d }}{% else %}{{ bailleur.signataire_date_deliberation|d }}{% endif %}, inscrit sous le numéro {{ bailleur.siret }}{% if bailleur.capital_social %}, au capital de {{ bailleur.capital_social|f }} € {% endif %} dont le siège est {{ bailleur.adresse }}, {{ bailleur.code_postal }} {{ bailleur.ville }} dénommé (e) ci-après, le bailleur,</w:t>
      </w:r>
    </w:p>
    <w:p>
      <w:pPr>
        <w:pStyle w:val="Normal"/>
        <w:jc w:val="both"/>
        <w:rPr>
          <w:rFonts w:ascii="Times New Roman" w:hAnsi="Times New Roman"/>
        </w:rPr>
      </w:pPr>
      <w:r>
        <w:rPr>
          <w:rFonts w:cs="TimesNewRomanPSMT" w:ascii="Times New Roman" w:hAnsi="Times New Roman"/>
        </w:rPr>
        <w:t>d'autre part,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BoldMT" w:ascii="Times New Roman" w:hAnsi="Times New Roman"/>
          <w:b/>
        </w:rPr>
        <w:t>I.-Dispositions générales.</w:t>
      </w:r>
    </w:p>
    <w:p>
      <w:pPr>
        <w:pStyle w:val="Normal"/>
        <w:jc w:val="both"/>
        <w:rPr>
          <w:rFonts w:ascii="Times New Roman" w:hAnsi="Times New Roman" w:cs="TimesNewRomanPS-BoldMT"/>
          <w:b/>
          <w:b/>
        </w:rPr>
      </w:pPr>
      <w:r>
        <w:rPr>
          <w:rFonts w:cs="TimesNewRomanPS-BoldMT" w:ascii="Times New Roman" w:hAnsi="Times New Roman"/>
          <w:b/>
        </w:rPr>
      </w:r>
    </w:p>
    <w:p>
      <w:pPr>
        <w:pStyle w:val="Normal"/>
        <w:jc w:val="both"/>
        <w:rPr>
          <w:rFonts w:ascii="Times New Roman" w:hAnsi="Times New Roman"/>
        </w:rPr>
      </w:pPr>
      <w:r>
        <w:rPr>
          <w:rFonts w:cs="TimesNewRomanPSMT" w:ascii="Times New Roman" w:hAnsi="Times New Roman"/>
        </w:rPr>
        <w:t>Article 1er.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i/>
          <w:iCs/>
        </w:rPr>
        <w:t>Objet de la convention.</w:t>
      </w:r>
    </w:p>
    <w:p>
      <w:pPr>
        <w:pStyle w:val="Normal"/>
        <w:jc w:val="both"/>
        <w:rPr>
          <w:rFonts w:ascii="Times New Roman" w:hAnsi="Times New Roman" w:cs="TimesNewRomanPSMT"/>
        </w:rPr>
      </w:pPr>
      <w:r>
        <w:rPr>
          <w:rFonts w:cs="TimesNewRomanPSMT" w:ascii="Times New Roman" w:hAnsi="Times New Roman"/>
        </w:rPr>
      </w:r>
    </w:p>
    <w:p>
      <w:pPr>
        <w:pStyle w:val="NormalWeb"/>
        <w:jc w:val="both"/>
        <w:rPr>
          <w:rFonts w:ascii="Times New Roman" w:hAnsi="Times New Roman"/>
        </w:rPr>
      </w:pPr>
      <w:r>
        <w:rPr>
          <w:rFonts w:cs="TimesNewRomanPSMT" w:ascii="Times New Roman" w:hAnsi="Times New Roman"/>
        </w:rPr>
        <w:t>La présente convention a pour objet de fixer les droits et les obligations des parties prévus par les articles L. 353-1 à L. 353-21</w:t>
      </w:r>
      <w:r>
        <w:rPr>
          <w:rFonts w:eastAsia="Times New Roman" w:cs="Times New Roman" w:ascii="Times New Roman" w:hAnsi="Times New Roman"/>
          <w:lang w:eastAsia="en-GB"/>
        </w:rPr>
        <w:t>, L. 443-15-2 et L. 481-2</w:t>
      </w:r>
      <w:r>
        <w:rPr>
          <w:rFonts w:cs="TimesNewRomanPSMT" w:ascii="Times New Roman" w:hAnsi="Times New Roman"/>
        </w:rPr>
        <w:t xml:space="preserve"> du code de la construction et de l'habitation pour l'opération de </w:t>
      </w:r>
      <w:bookmarkStart w:id="7" w:name="NomProgramme2"/>
      <w:bookmarkEnd w:id="7"/>
      <w:r>
        <w:rPr>
          <w:rFonts w:cs="TimesNewRomanPSMT" w:ascii="Times New Roman" w:hAnsi="Times New Roman"/>
        </w:rPr>
        <w:t xml:space="preserve">{{ programme.nom }} de </w:t>
      </w:r>
      <w:bookmarkStart w:id="8" w:name="NbLogement2"/>
      <w:bookmarkEnd w:id="8"/>
      <w:r>
        <w:rPr>
          <w:rFonts w:cs="TimesNewRomanPSMT" w:ascii="Times New Roman" w:hAnsi="Times New Roman"/>
        </w:rPr>
        <w:t xml:space="preserve">{{ lot.nb_logements }} logement{{lot.nb_logements|pl }} </w:t>
      </w:r>
      <w:bookmarkStart w:id="9" w:name="Fi2"/>
      <w:bookmarkEnd w:id="9"/>
      <w:r>
        <w:rPr>
          <w:rFonts w:cs="TimesNewRomanPSMT" w:ascii="Times New Roman" w:hAnsi="Times New Roman"/>
        </w:rPr>
        <w:t xml:space="preserve">{{ lot.financement }} à </w:t>
      </w:r>
      <w:bookmarkStart w:id="10" w:name="Adresse2"/>
      <w:bookmarkEnd w:id="10"/>
      <w:r>
        <w:rPr>
          <w:rFonts w:cs="TimesNewRomanPSMT" w:ascii="Times New Roman" w:hAnsi="Times New Roman"/>
        </w:rPr>
        <w:t xml:space="preserve">{{ adresse|inline_text_multiline }} à </w:t>
      </w:r>
      <w:bookmarkStart w:id="11" w:name="CodePostal2"/>
      <w:bookmarkEnd w:id="11"/>
      <w:r>
        <w:rPr>
          <w:rFonts w:cs="TimesNewRomanPSMT" w:ascii="Times New Roman" w:hAnsi="Times New Roman"/>
        </w:rPr>
        <w:t xml:space="preserve">{{ code_postal }}, </w:t>
      </w:r>
      <w:bookmarkStart w:id="12" w:name="Ville2"/>
      <w:bookmarkEnd w:id="12"/>
      <w:r>
        <w:rPr>
          <w:rFonts w:cs="TimesNewRomanPSMT" w:ascii="Times New Roman" w:hAnsi="Times New Roman"/>
        </w:rPr>
        <w:t>{{ ville }} décrite plus précisément dans le document joint à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ouvre, pendant sa durée, le droit à l'aide personnalisée au logement (APL) dans les conditions définies par le livre VIII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Article 2.</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i/>
          <w:iCs/>
        </w:rPr>
        <w:t>Prise d'effet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ainsi que ses avenants éventuels prennent effet à la date de leur signature.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Article 3.</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i/>
          <w:iCs/>
        </w:rPr>
        <w:t>Date d'expiration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 xml:space="preserve">Elle expire le </w:t>
      </w:r>
      <w:bookmarkStart w:id="13" w:name="DateExpir1"/>
      <w:bookmarkEnd w:id="13"/>
      <w:r>
        <w:rPr>
          <w:rFonts w:cs="TimesNewRomanPSMT" w:ascii="Times New Roman" w:hAnsi="Times New Roman"/>
        </w:rPr>
        <w:t>{{ convention.date_fin_conventionnement|d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A défaut de résiliation expresse notifiée au moins six mois avant cette date, la convention est renouvelée par tacite reconduction par périodes triennales.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4.</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Changement de propriétaire.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est jointe à l'acte de mutation. Le changement de propriétaire donne lieu à la signature d’un avenant, publié dans les conditions de l’article 25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5.</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Régime des rapports locatifs applicables aux logements conventionnés.</w:t>
      </w:r>
    </w:p>
    <w:p>
      <w:pPr>
        <w:pStyle w:val="Normal"/>
        <w:jc w:val="both"/>
        <w:rPr>
          <w:rFonts w:ascii="Times New Roman" w:hAnsi="Times New Roman" w:cs="TimesNewRomanPSMT"/>
          <w:i/>
          <w:i/>
          <w:iCs/>
        </w:rPr>
      </w:pPr>
      <w:r>
        <w:rPr>
          <w:rFonts w:cs="TimesNewRomanPSMT" w:ascii="Times New Roman" w:hAnsi="Times New Roman"/>
          <w:i/>
          <w:iCs/>
        </w:rPr>
      </w:r>
    </w:p>
    <w:p>
      <w:pPr>
        <w:pStyle w:val="Normal"/>
        <w:jc w:val="both"/>
        <w:rPr>
          <w:rFonts w:ascii="Times New Roman" w:hAnsi="Times New Roman"/>
        </w:rPr>
      </w:pPr>
      <w:r>
        <w:rPr>
          <w:rFonts w:cs="TimesNewRomanPSMT" w:ascii="Times New Roman" w:hAnsi="Times New Roman"/>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6.</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Aide personnalisée au logement (APL).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BoldMT" w:ascii="Times New Roman" w:hAnsi="Times New Roman"/>
          <w:b/>
        </w:rPr>
        <w:t xml:space="preserve">II.-Engagements du bailleur à l'égard de l'ETAT relatifs </w:t>
      </w:r>
    </w:p>
    <w:p>
      <w:pPr>
        <w:pStyle w:val="Normal"/>
        <w:jc w:val="center"/>
        <w:rPr>
          <w:rFonts w:ascii="Times New Roman" w:hAnsi="Times New Roman"/>
        </w:rPr>
      </w:pPr>
      <w:r>
        <w:rPr>
          <w:rFonts w:cs="TimesNewRomanPS-BoldMT" w:ascii="Times New Roman" w:hAnsi="Times New Roman"/>
          <w:b/>
        </w:rPr>
        <w:t>aux conditions de location des logements.</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7.</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Maintien des logements à usage locatif et conditions d'occupation des logements.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faisant l'objet de la présente convention sont maintenus à usage locatif jusqu'à la date fixée pour son expiration, sous réserve des dispositions de l'article L. 443-15-2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1°-Conditions de location.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Pr>
          <w:rFonts w:ascii="Times New Roman" w:hAnsi="Times New Roman"/>
        </w:rPr>
        <w:t xml:space="preserve">L. 353-20 et L. 353-21 </w:t>
      </w:r>
      <w:r>
        <w:rPr>
          <w:rFonts w:cs="TimesNewRomanPSMT" w:ascii="Times New Roman" w:hAnsi="Times New Roman"/>
        </w:rPr>
        <w:t>du code de la construction et de l'habitation</w:t>
      </w:r>
      <w:r>
        <w:rPr>
          <w:rFonts w:ascii="Times New Roman" w:hAnsi="Times New Roman"/>
        </w:rPr>
        <w:t>ainsi qu'au profit de personnes ayant passé avec le locataire un contrat conforme à l'article L. 442-1 du code de l'action sociale et des familles.</w:t>
        <w:br/>
      </w:r>
    </w:p>
    <w:p>
      <w:pPr>
        <w:pStyle w:val="Normal"/>
        <w:jc w:val="both"/>
        <w:rPr>
          <w:rFonts w:ascii="Times New Roman" w:hAnsi="Times New Roman"/>
        </w:rPr>
      </w:pPr>
      <w:r>
        <w:rPr>
          <w:rFonts w:cs="TimesNewRomanPSMT" w:ascii="Times New Roman" w:hAnsi="Times New Roman"/>
        </w:rPr>
        <w:t>2°-Ressources.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3°-Mixité sociale.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ascii="Times New Roman" w:hAnsi="Times New Roman"/>
          <w:b/>
        </w:rPr>
        <w:t xml:space="preserve"> </w:t>
      </w:r>
      <w:bookmarkStart w:id="14" w:name="Mix3091"/>
      <w:bookmarkEnd w:id="14"/>
      <w:r>
        <w:rPr>
          <w:rFonts w:cs="TimesNewRomanPSMT" w:ascii="Times New Roman" w:hAnsi="Times New Roman"/>
          <w:b/>
        </w:rPr>
        <w:t xml:space="preserve">{{ mixPLUSsup10_30pc }} </w:t>
      </w:r>
      <w:r>
        <w:rPr>
          <w:rFonts w:cs="TimesNewRomanPSMT" w:ascii="Times New Roman" w:hAnsi="Times New Roman"/>
        </w:rPr>
        <w:t>(5) logement{{</w:t>
      </w:r>
      <w:r>
        <w:rPr>
          <w:rFonts w:cs="TimesNewRomanPSMT" w:ascii="Times New Roman" w:hAnsi="Times New Roman"/>
          <w:bCs/>
        </w:rPr>
        <w:t>mixPLUSsup10_30pc</w:t>
      </w:r>
      <w:r>
        <w:rPr>
          <w:rFonts w:cs="TimesNewRomanPSMT" w:ascii="Times New Roman" w:hAnsi="Times New Roman"/>
        </w:rPr>
        <w:t>|pl}}, doivent être attribués à des ménages dont les ressources n'excèdent pas le plafond fixé au I de l'article D. 331-12 précité pour l'attribution des logements</w:t>
      </w:r>
      <w:r>
        <w:rPr>
          <w:rFonts w:ascii="Times New Roman" w:hAnsi="Times New Roman"/>
        </w:rPr>
        <w:t xml:space="preserve"> </w:t>
      </w:r>
      <w:r>
        <w:rPr>
          <w:rFonts w:cs="TimesNewRomanPSMT" w:ascii="Times New Roman" w:hAnsi="Times New Roman"/>
        </w:rPr>
        <w:t xml:space="preserve">sociaux. Toutefois, lorsque l'opération ainsi financée comporte moins de 10 logements, au moins 30 % des logements, soit </w:t>
      </w:r>
      <w:bookmarkStart w:id="15" w:name="Mix3092"/>
      <w:bookmarkEnd w:id="15"/>
      <w:r>
        <w:rPr>
          <w:rFonts w:cs="TimesNewRomanPSMT" w:ascii="Times New Roman" w:hAnsi="Times New Roman"/>
          <w:b/>
          <w:bCs/>
        </w:rPr>
        <w:t xml:space="preserve">{{ </w:t>
      </w:r>
      <w:r>
        <w:rPr>
          <w:rFonts w:cs="TimesNewRomanPSMT" w:ascii="Times New Roman" w:hAnsi="Times New Roman"/>
          <w:b/>
        </w:rPr>
        <w:t xml:space="preserve">mixPLUSinf10_30pc </w:t>
      </w:r>
      <w:r>
        <w:rPr>
          <w:rFonts w:cs="TimesNewRomanPSMT" w:ascii="Times New Roman" w:hAnsi="Times New Roman"/>
          <w:b/>
          <w:bCs/>
        </w:rPr>
        <w:t>}}</w:t>
      </w:r>
      <w:r>
        <w:rPr>
          <w:rFonts w:cs="TimesNewRomanPSMT" w:ascii="Times New Roman" w:hAnsi="Times New Roman"/>
        </w:rPr>
        <w:t xml:space="preserve"> logement{{</w:t>
      </w:r>
      <w:r>
        <w:rPr>
          <w:rFonts w:cs="TimesNewRomanPSMT" w:ascii="Times New Roman" w:hAnsi="Times New Roman"/>
          <w:bCs/>
        </w:rPr>
        <w:t>mixPLUSinf10_30pc</w:t>
      </w:r>
      <w:r>
        <w:rPr>
          <w:rFonts w:cs="TimesNewRomanPSMT" w:ascii="Times New Roman" w:hAnsi="Times New Roman"/>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Pr>
          <w:rFonts w:cs="TimesNewRomanPSMT" w:ascii="Times New Roman" w:hAnsi="Times New Roman"/>
          <w:b/>
        </w:rPr>
        <w:t xml:space="preserve"> {{ lot.lgts_mixite_sociale_negocies_display() }} </w:t>
      </w:r>
      <w:r>
        <w:rPr>
          <w:rFonts w:cs="TimesNewRomanPSMT" w:ascii="Times New Roman" w:hAnsi="Times New Roman"/>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pPr>
        <w:pStyle w:val="Normal"/>
        <w:jc w:val="both"/>
        <w:rPr>
          <w:rFonts w:ascii="Times New Roman" w:hAnsi="Times New Roman"/>
        </w:rPr>
      </w:pPr>
      <w:r>
        <w:rPr>
          <w:rFonts w:cs="TimesNewRomanPSMT" w:ascii="Times New Roman" w:hAnsi="Times New Roman"/>
        </w:rPr>
        <w:t>D. 331-12 précité pour l'attribution des logements sociaux, jusqu'à ce que le bailleur établisse que l'engagement est respecté à nouveau.</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ascii="Times New Roman" w:hAnsi="Times New Roman"/>
          <w:b/>
        </w:rPr>
        <w:t xml:space="preserve"> </w:t>
      </w:r>
      <w:bookmarkStart w:id="16" w:name="Mix1091"/>
      <w:bookmarkEnd w:id="16"/>
      <w:r>
        <w:rPr>
          <w:rFonts w:cs="TimesNewRomanPSMT" w:ascii="Times New Roman" w:hAnsi="Times New Roman"/>
          <w:b/>
        </w:rPr>
        <w:t xml:space="preserve">{{ mixPLUSinf10_10pc }} </w:t>
      </w:r>
      <w:r>
        <w:rPr>
          <w:rFonts w:cs="TimesNewRomanPSMT" w:ascii="Times New Roman" w:hAnsi="Times New Roman"/>
        </w:rPr>
        <w:t>logement{{</w:t>
      </w:r>
      <w:r>
        <w:rPr>
          <w:rFonts w:cs="TimesNewRomanPSMT" w:ascii="Times New Roman" w:hAnsi="Times New Roman"/>
          <w:bCs/>
        </w:rPr>
        <w:t>mixPLUSinf10_10pc</w:t>
      </w:r>
      <w:r>
        <w:rPr>
          <w:rFonts w:cs="TimesNewRomanPSMT" w:ascii="Times New Roman" w:hAnsi="Times New Roman"/>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8.</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Montants des loyers maximums et modalités de révision.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montant du loyer maximum mentionné à l'article D. 353-70 du code de la construction et de l’habitation est fixé à</w:t>
      </w:r>
      <w:r>
        <w:rPr>
          <w:rFonts w:cs="TimesNewRomanPSMT" w:ascii="Times New Roman" w:hAnsi="Times New Roman"/>
          <w:b/>
        </w:rPr>
        <w:t xml:space="preserve"> </w:t>
      </w:r>
      <w:bookmarkStart w:id="17" w:name="Loyer1"/>
      <w:bookmarkEnd w:id="17"/>
      <w:r>
        <w:rPr>
          <w:rFonts w:cs="TimesNewRomanPSMT" w:ascii="Times New Roman" w:hAnsi="Times New Roman"/>
          <w:b/>
        </w:rPr>
        <w:t>{{ loyer_m2</w:t>
      </w:r>
      <w:r>
        <w:rPr>
          <w:rFonts w:cs="TimesNewRomanPSMT" w:ascii="Times New Roman" w:hAnsi="Times New Roman"/>
          <w:b/>
          <w:bCs/>
        </w:rPr>
        <w:t>|f</w:t>
      </w:r>
      <w:r>
        <w:rPr>
          <w:rFonts w:cs="TimesNewRomanPSMT" w:ascii="Times New Roman" w:hAnsi="Times New Roman"/>
          <w:b/>
        </w:rPr>
        <w:t xml:space="preserve"> }} € le mètre carré par mois.</w:t>
      </w:r>
      <w:r>
        <w:rPr>
          <w:rFonts w:cs="TimesNewRomanPSMT" w:ascii="Times New Roman" w:hAnsi="Times New Roman"/>
        </w:rPr>
        <w:t xml:space="preserve">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Ce montant est majoré de 33 % pour les logements qui ont été attribués dans les conditions du b du 3° de l'article 7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annexes qui n'entrent pas dans le calcul de la surface utile peuvent donner lieu à la perception d'un loyer accessoire, dans les conditions définies dans le document intitulé « Composition de l'opération » annexé à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loyers maximums sont révisés chaque année, le 1er janvier, dans les conditions prévues à l’article L. 353-9-2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8 bis.</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ascii="Times New Roman" w:hAnsi="Times New Roman"/>
          <w:b/>
          <w:bCs/>
        </w:rPr>
        <w:t>{{ lot.loyer_derogatoire|f }}</w:t>
      </w:r>
      <w:r>
        <w:rPr>
          <w:rFonts w:cs="TimesNewRomanPSMT" w:ascii="Times New Roman" w:hAnsi="Times New Roman"/>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8 ter.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Conformément à l'arrêté préfectoral prévu au 5° de l'article D. 353-16 du code de la construction et de l'habitation, le loyer maximum peut être majoré dans les conditions de ce même article, sans dépasser ... € par mètre carré et par mois.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Cette majoration de loyer s'applique pendant une durée de ... mois et concerne ... mètres carrés de logements. Le nombre de mètres carrés peut varier de plus ou moins 20 %.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la majoration de loyer prévue aux alinéas précédents est appliquée, les stipulations du 3° de l'article 8 de la présente convention ne s'appliquent pas.</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9.</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Modalités de fixation et de révision du loyer pratiqué.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loyer pratiqué pour chaque logement conventionné, dont la valeur est fixée au mètre carré, ne peut excéder le loyer maximum défini dans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Dans la limite de ce loyer maximum, le loyer pratiqué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est révisé chaque année le 1er janvier en cours de contrat de location, dans les conditions prévues à l’article L. 353-9-3 du code de la construction et de l’habitation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peut être réévalué dans les conditions prévues par le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9 bis.</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cs="TimesNewRomanPSMT" w:ascii="Times New Roman" w:hAnsi="Times New Roman"/>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rFonts w:ascii="Times New Roman" w:hAnsi="Times New Roman"/>
        </w:rPr>
        <w:t xml:space="preserve"> </w:t>
      </w:r>
      <w:r>
        <w:rPr>
          <w:rFonts w:cs="TimesNewRomanPSMT" w:ascii="Times New Roman" w:hAnsi="Times New Roman"/>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locataire ou occupant de bonne foi peut également présenter ces justificatifs à tout moment et bénéficier de la même mesure dès le mois qui suit la présentation de ces justificatifs.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BoldMT" w:ascii="Times New Roman" w:hAnsi="Times New Roman"/>
          <w:b/>
        </w:rPr>
        <w:t>III.-Engagements du bailleur à l'égard des locataires.</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10.</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Établissement d'un bail conforme à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11.</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Travaux.</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l'exécution des travaux nécessite l'évacuation temporaire des lieux, le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cs="TimesNewRomanPSMT" w:ascii="Times New Roman" w:hAnsi="Times New Roman"/>
        </w:rPr>
        <w:t>- dans le même arrondissement ou les arrondissements limitrophes ou les communes limitrophes de l'arrondissement où se trouve le local, objet de la reprise, si celui-ci est situé dans une commune divisée en arrondissements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dans le même canton ou dans les cantons limitrophes de ce canton inclus dans la même commune ou dans les communes limitrophes de ce canton, si la commune est divisée en cantons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dans les autres cas, sur le territoire de la même commune ou d'une commune limitrophe, sans pouvoir être éloigné de plus de cinq kilomètres.</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12.</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Information des locataires en cas de changement de propriétaire.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pPr>
        <w:pStyle w:val="Normal"/>
        <w:jc w:val="both"/>
        <w:rPr>
          <w:rFonts w:ascii="Times New Roman" w:hAnsi="Times New Roman"/>
        </w:rPr>
      </w:pPr>
      <w:r>
        <w:rPr>
          <w:rFonts w:cs="TimesNewRomanPSMT" w:ascii="Times New Roman" w:hAnsi="Times New Roman"/>
        </w:rPr>
        <w:t>4 janvier 1955 modifié, par acte extrajudiciaire, lettre recommandée avec demande d'avis de réception ou remise contre décharge dans un délai d'un mois à compter de ladite mutation.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13.</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Information des locataires en cas de modification ou de résiliation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bailleur informe les locataires de toute modification apportée à la convention ayant des incidences sur leurs relations contractuelles.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14.</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Maintien dans les lieux et congé donné par le locataire.</w:t>
      </w:r>
    </w:p>
    <w:p>
      <w:pPr>
        <w:pStyle w:val="Normal"/>
        <w:jc w:val="both"/>
        <w:rPr>
          <w:rFonts w:ascii="Times New Roman" w:hAnsi="Times New Roman" w:cs="TimesNewRomanPSMT"/>
        </w:rPr>
      </w:pPr>
      <w:r>
        <w:rPr>
          <w:rFonts w:cs="TimesNewRomanPSMT" w:ascii="Times New Roman" w:hAnsi="Times New Roman"/>
        </w:rPr>
      </w:r>
    </w:p>
    <w:p>
      <w:pPr>
        <w:pStyle w:val="Normal"/>
        <w:spacing w:beforeAutospacing="1" w:afterAutospacing="1"/>
        <w:jc w:val="both"/>
        <w:rPr>
          <w:rFonts w:ascii="Times New Roman" w:hAnsi="Times New Roman"/>
        </w:rPr>
      </w:pPr>
      <w:r>
        <w:rPr>
          <w:rFonts w:ascii="Times New Roman" w:hAnsi="Times New Roman"/>
        </w:rPr>
        <w:t>Le contrat de location est conclu pour une durée de trois ans.</w:t>
        <w:br/>
        <w:br/>
        <w:t>Pendant la durée de la convention, le contrat de location est reconduit tacitement pour des périodes de trois ans, dans la mesure où le locataire se conforme aux obligations de l'article 7 de la loi du 6 juillet 1989 précitée.</w:t>
        <w:br/>
        <w:b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br/>
      </w:r>
    </w:p>
    <w:p>
      <w:pPr>
        <w:pStyle w:val="Normal"/>
        <w:jc w:val="center"/>
        <w:rPr>
          <w:rFonts w:ascii="Times New Roman" w:hAnsi="Times New Roman"/>
        </w:rPr>
      </w:pPr>
      <w:r>
        <w:rPr>
          <w:rFonts w:cs="TimesNewRomanPSMT" w:ascii="Times New Roman" w:hAnsi="Times New Roman"/>
        </w:rPr>
        <w:t>Article 15.</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Modalités du paiement du loyer.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loyer est payé mensuellement à terme échu.</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cas de retard du locataire dans le paiement du loyer et des charges locatives, le bailleur doit prendre toutes dispositions en vue de recouvrer sa créance.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16.</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Dépôt de garantie.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BoldMT" w:ascii="Times New Roman" w:hAnsi="Times New Roman"/>
          <w:b/>
        </w:rPr>
        <w:t>IV.-Dispositions spécifiques au statut de résidence universitaire.</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17.</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Régime des rapports locatifs applicables aux logements.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stipulations particulières suivantes s’appliquent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cs="TimesNewRomanPSMT" w:ascii="Times New Roman" w:hAnsi="Times New Roman"/>
        </w:rPr>
        <w:t>1°- Conditions de location des logements de la résidence universitaire.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peuvent également être loués dans les conditions prévues aux quatrième et cinquième alinéas du I de l’article L. 442-8-1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Modalités de fixation et de révision du loyer pratiqué des logements de la résidence universitaire.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loyer pratiqué pour chaque logement est fixé dans la limite du loyer maximum prévu par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Il ne peut donner lieu à révision en cours de bail.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Si le contrat de location est renouvelé dans les conditions prévues au 3° ci-dessous, le loyer peut être réévalué conformément aux dispositions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Durée du contrat et congé donné par le locataire.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4°- Forfait de charges.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rFonts w:ascii="Times New Roman" w:hAnsi="Times New Roman"/>
        </w:rPr>
        <w:t xml:space="preserve"> </w:t>
      </w:r>
      <w:r>
        <w:rPr>
          <w:rFonts w:cs="TimesNewRomanPSMT" w:ascii="Times New Roman" w:hAnsi="Times New Roman"/>
        </w:rPr>
        <w:t>ne doit pas être manifestement disproportionné au regard des charges dont le locataire ou, le cas échéant, le précédent locataire se serait acquitté.</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cs="TimesNewRomanPSMT" w:ascii="Times New Roman" w:hAnsi="Times New Roman"/>
        </w:rPr>
        <w:t>Si le bailleur a opté pour cette modalité de récupération des charges, il indique sur la quittance le montant du forfait.</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18.</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Renonciation au statut de résidence universitaire.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BoldMT" w:ascii="Times New Roman" w:hAnsi="Times New Roman"/>
          <w:b/>
        </w:rPr>
        <w:t>V.-Engagements du bailleur à l'égard des organismes chargés de la liquidation et du paiement de l'APL.</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19.</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Obligations générales.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une attestation concernant le montant du loyer applicable à chaque logement concerné par la présente convention, à compter du 1er juillet de l’année en cours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Ces transmissions peuvent s’effectuer grâce à un dispositif de collecte dématérialisé.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20.</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Obligations en cas d’impayé.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CCAPEX est réputée avoir été régulièrement saisie lorsque le bailleur a préalablement signalé l’impayé à l’organisme payeur des APL selon les modalités définies à l’article R. 824-4 précité.</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cs="TimesNewRomanPS-BoldMT" w:ascii="Times New Roman" w:hAnsi="Times New Roman"/>
          <w:b/>
        </w:rPr>
        <w:t>VI.-Dispositions relatives à l’application de la convention.</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21.</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Contrôle.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22.</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Révision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pourra être révisée à la demande de l'une ou l'autre des parties par voie d'avenant.</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23.</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Inexécution de la convention par le bailleur.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En application de l'article L. 353-2 du code de la construction et de l'habitation, des sanctions administratives peuvent être mises en œuvre.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le préfet écarte ces observations, sa décision doit être motivée.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Dans ce cas, il est fait application des dispositions prévues à l'article L. 353-6 du code de la construction et de l'habitation.</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24.</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Publication.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pPr>
        <w:pStyle w:val="Normal"/>
        <w:jc w:val="both"/>
        <w:rPr>
          <w:rFonts w:ascii="Times New Roman" w:hAnsi="Times New Roman"/>
        </w:rPr>
      </w:pPr>
      <w:r>
        <w:rPr>
          <w:rFonts w:cs="TimesNewRomanPSMT" w:ascii="Times New Roman" w:hAnsi="Times New Roman"/>
        </w:rPr>
        <w:t>paiement de l'APL une copie de la présente convention, de ses avenants éventuels ainsi que l'état prouvant qu'elle (ou ils) a (ont) bien fait l'objet d'une publication au fichier immobilier (ou d'une inscription au livre foncier).</w:t>
      </w:r>
    </w:p>
    <w:p>
      <w:pPr>
        <w:pStyle w:val="Normal"/>
        <w:jc w:val="both"/>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ascii="Times New Roman" w:hAnsi="Times New Roman"/>
        </w:rPr>
        <mc:AlternateContent>
          <mc:Choice Requires="wps">
            <w:drawing>
              <wp:inline distT="0" distB="0" distL="0" distR="0" wp14:anchorId="38CE4ED7">
                <wp:extent cx="5231765" cy="2715895"/>
                <wp:effectExtent l="0" t="0" r="635" b="1905"/>
                <wp:docPr id="1" name="Shap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bailleur (6),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38CE4ED7">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bailleur (6),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r>
        <w:br w:type="page"/>
      </w:r>
    </w:p>
    <w:p>
      <w:pPr>
        <w:pStyle w:val="Normal"/>
        <w:jc w:val="center"/>
        <w:rPr>
          <w:rFonts w:ascii="Times New Roman" w:hAnsi="Times New Roman"/>
        </w:rPr>
      </w:pPr>
      <w:r>
        <w:rPr>
          <w:rFonts w:cs="TimesNewRomanPS-BoldMT" w:ascii="Times New Roman" w:hAnsi="Times New Roman"/>
          <w:b/>
        </w:rPr>
        <w:t>Document prévu par l'article 1er de l’annexes à l'article D. 353-59 du code de la construction et de l’habitation lorsque le loyer maximum des logements est exprimé en surface utile.</w:t>
      </w:r>
    </w:p>
    <w:p>
      <w:pPr>
        <w:pStyle w:val="Normal"/>
        <w:jc w:val="both"/>
        <w:rPr>
          <w:rFonts w:ascii="Times New Roman" w:hAnsi="Times New Roman" w:cs="TimesNewRomanPS-BoldMT"/>
          <w:b/>
          <w:b/>
        </w:rPr>
      </w:pPr>
      <w:r>
        <w:rPr>
          <w:rFonts w:cs="TimesNewRomanPS-BoldMT" w:ascii="Times New Roman" w:hAnsi="Times New Roman"/>
          <w:b/>
        </w:rPr>
      </w:r>
    </w:p>
    <w:p>
      <w:pPr>
        <w:pStyle w:val="Normal"/>
        <w:jc w:val="both"/>
        <w:rPr>
          <w:rFonts w:ascii="Times New Roman" w:hAnsi="Times New Roman"/>
        </w:rPr>
      </w:pPr>
      <w:r>
        <w:rPr>
          <w:rFonts w:cs="TimesNewRomanPSMT" w:ascii="Times New Roman" w:hAnsi="Times New Roman"/>
        </w:rPr>
        <w:t xml:space="preserve">Description de l'opération </w:t>
      </w:r>
      <w:bookmarkStart w:id="18" w:name="NomProgramme3"/>
      <w:bookmarkEnd w:id="18"/>
      <w:r>
        <w:rPr>
          <w:rFonts w:cs="TimesNewRomanPSMT" w:ascii="Times New Roman" w:hAnsi="Times New Roman"/>
        </w:rPr>
        <w:t xml:space="preserve">{{ programme.nom }}, pour </w:t>
      </w:r>
      <w:bookmarkStart w:id="19" w:name="NbLogement3"/>
      <w:bookmarkEnd w:id="19"/>
      <w:r>
        <w:rPr>
          <w:rFonts w:cs="TimesNewRomanPSMT" w:ascii="Times New Roman" w:hAnsi="Times New Roman"/>
        </w:rPr>
        <w:t xml:space="preserve">{{ lot.nb_logements }} logement{{lot.nb_logements|pl }} </w:t>
      </w:r>
      <w:bookmarkStart w:id="20" w:name="Fi3"/>
      <w:bookmarkEnd w:id="20"/>
      <w:r>
        <w:rPr>
          <w:rFonts w:cs="TimesNewRomanPSMT" w:ascii="Times New Roman" w:hAnsi="Times New Roman"/>
        </w:rPr>
        <w:t xml:space="preserve">{{ lot.financement }}, </w:t>
      </w:r>
      <w:bookmarkStart w:id="21" w:name="Adresse3"/>
      <w:bookmarkEnd w:id="21"/>
      <w:r>
        <w:rPr>
          <w:rFonts w:cs="TimesNewRomanPSMT" w:ascii="Times New Roman" w:hAnsi="Times New Roman"/>
        </w:rPr>
        <w:t xml:space="preserve">{{ adresse|inline_text_multiline }} à </w:t>
      </w:r>
      <w:bookmarkStart w:id="22" w:name="CodePostal3"/>
      <w:bookmarkEnd w:id="22"/>
      <w:r>
        <w:rPr>
          <w:rFonts w:cs="TimesNewRomanPSMT" w:ascii="Times New Roman" w:hAnsi="Times New Roman"/>
        </w:rPr>
        <w:t xml:space="preserve">{{ code_postal }}, </w:t>
      </w:r>
      <w:bookmarkStart w:id="23" w:name="Ville3"/>
      <w:bookmarkEnd w:id="23"/>
      <w:r>
        <w:rPr>
          <w:rFonts w:cs="TimesNewRomanPSMT" w:ascii="Times New Roman" w:hAnsi="Times New Roman"/>
        </w:rPr>
        <w:t>{{ ville }} (3).</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Désignation du ou des immeubles (8).</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Figurant au cadastre</w:t>
      </w:r>
    </w:p>
    <w:p>
      <w:pPr>
        <w:pStyle w:val="Normal"/>
        <w:jc w:val="both"/>
        <w:rPr>
          <w:rFonts w:ascii="Times New Roman" w:hAnsi="Times New Roman"/>
        </w:rPr>
      </w:pPr>
      <w:bookmarkStart w:id="24" w:name="S3"/>
      <w:bookmarkEnd w:id="24"/>
      <w:r>
        <w:rPr>
          <w:rFonts w:cs="TimesNewRomanPSMT" w:ascii="Times New Roman" w:hAnsi="Times New Roman"/>
        </w:rPr>
        <w:t>{% for image in reference_cadastrale_images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lang w:val="en-US"/>
        </w:rPr>
        <w:t>{% endfor %}{% if references_cadastrales|len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7"/>
        <w:gridCol w:w="2136"/>
        <w:gridCol w:w="2110"/>
        <w:gridCol w:w="2494"/>
      </w:tblGrid>
      <w:tr>
        <w:trPr/>
        <w:tc>
          <w:tcPr>
            <w:tcW w:w="1527" w:type="dxa"/>
            <w:tcBorders/>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Section</w:t>
            </w:r>
          </w:p>
        </w:tc>
        <w:tc>
          <w:tcPr>
            <w:tcW w:w="2136"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Numéro</w:t>
            </w:r>
          </w:p>
        </w:tc>
        <w:tc>
          <w:tcPr>
            <w:tcW w:w="2110"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Lieudit</w:t>
            </w:r>
          </w:p>
        </w:tc>
        <w:tc>
          <w:tcPr>
            <w:tcW w:w="2494"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Surface</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for rc in references_cadastrales %}</w:t>
            </w:r>
          </w:p>
        </w:tc>
      </w:tr>
      <w:tr>
        <w:trPr/>
        <w:tc>
          <w:tcPr>
            <w:tcW w:w="1527"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rc.section }}</w:t>
            </w:r>
          </w:p>
        </w:tc>
        <w:tc>
          <w:tcPr>
            <w:tcW w:w="2136"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rc.numero }}</w:t>
            </w:r>
          </w:p>
        </w:tc>
        <w:tc>
          <w:tcPr>
            <w:tcW w:w="2110"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rc.lieudit }}</w:t>
            </w:r>
          </w:p>
        </w:tc>
        <w:tc>
          <w:tcPr>
            <w:tcW w:w="249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 rc.surface }}</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endfor %}</w:t>
            </w:r>
          </w:p>
        </w:tc>
      </w:tr>
    </w:tbl>
    <w:p>
      <w:pPr>
        <w:pStyle w:val="Normal"/>
        <w:jc w:val="both"/>
        <w:rPr>
          <w:rFonts w:ascii="Times New Roman" w:hAnsi="Times New Roman"/>
        </w:rPr>
      </w:pPr>
      <w:r>
        <w:rPr>
          <w:rFonts w:cs="TimesNewRomanPSMT" w:ascii="Times New Roman" w:hAnsi="Times New Roman"/>
        </w:rPr>
        <w:t>{% endif %}{% for image in effet_relatif_images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lang w:val="en-US"/>
        </w:rPr>
        <w:t>{% endfor %}{% if lot.edd_volumetrique_text()|len %}</w:t>
      </w:r>
    </w:p>
    <w:p>
      <w:pPr>
        <w:pStyle w:val="Normal"/>
        <w:jc w:val="both"/>
        <w:rPr>
          <w:rFonts w:ascii="Times New Roman" w:hAnsi="Times New Roman"/>
        </w:rPr>
      </w:pPr>
      <w:r>
        <w:rPr>
          <w:rFonts w:cs="TimesNewRomanPSMT" w:ascii="Times New Roman" w:hAnsi="Times New Roman"/>
          <w:lang w:val="en-US"/>
        </w:rPr>
        <w:t>{{ lot.edd_volumetrique_text() }}</w:t>
      </w:r>
      <w:bookmarkStart w:id="25" w:name="S4"/>
      <w:bookmarkEnd w:id="25"/>
    </w:p>
    <w:p>
      <w:pPr>
        <w:pStyle w:val="Normal"/>
        <w:jc w:val="both"/>
        <w:rPr>
          <w:rFonts w:ascii="Times New Roman" w:hAnsi="Times New Roman"/>
        </w:rPr>
      </w:pPr>
      <w:r>
        <w:rPr>
          <w:rFonts w:cs="TimesNewRomanPSMT" w:ascii="Times New Roman" w:hAnsi="Times New Roman"/>
          <w:lang w:val="en-US"/>
        </w:rPr>
        <w:t>{% endif %}{% for image in edd_volumetrique_images %}</w:t>
      </w:r>
    </w:p>
    <w:p>
      <w:pPr>
        <w:pStyle w:val="Normal"/>
        <w:jc w:val="both"/>
        <w:rPr>
          <w:rFonts w:ascii="Times New Roman" w:hAnsi="Times New Roman"/>
        </w:rPr>
      </w:pPr>
      <w:r>
        <w:rPr>
          <w:rFonts w:cs="TimesNewRomanPSMT" w:ascii="Times New Roman" w:hAnsi="Times New Roman"/>
          <w:lang w:val="en-US"/>
        </w:rPr>
        <w:t>{{image}}</w:t>
      </w:r>
    </w:p>
    <w:p>
      <w:pPr>
        <w:pStyle w:val="Normal"/>
        <w:jc w:val="both"/>
        <w:rPr>
          <w:rFonts w:ascii="Times New Roman" w:hAnsi="Times New Roman"/>
        </w:rPr>
      </w:pPr>
      <w:r>
        <w:rPr>
          <w:rFonts w:cs="TimesNewRomanPSMT" w:ascii="Times New Roman" w:hAnsi="Times New Roman"/>
          <w:lang w:val="en-US"/>
        </w:rPr>
        <w:t>{% endfor %}{% if programme.mention_publication_edd_volumetrique %}</w:t>
      </w:r>
    </w:p>
    <w:p>
      <w:pPr>
        <w:pStyle w:val="Normal"/>
        <w:jc w:val="both"/>
        <w:rPr>
          <w:rFonts w:ascii="Times New Roman" w:hAnsi="Times New Roman"/>
        </w:rPr>
      </w:pPr>
      <w:r>
        <w:rPr>
          <w:rFonts w:cs="TimesNewRomanPSMT" w:ascii="Times New Roman" w:hAnsi="Times New Roman"/>
          <w:lang w:val="en-US"/>
        </w:rPr>
        <w:t>{{ programme.mention_publication_edd_volumetrique }}</w:t>
      </w:r>
    </w:p>
    <w:p>
      <w:pPr>
        <w:pStyle w:val="Normal"/>
        <w:jc w:val="both"/>
        <w:rPr>
          <w:rFonts w:ascii="Times New Roman" w:hAnsi="Times New Roman"/>
        </w:rPr>
      </w:pPr>
      <w:r>
        <w:rPr>
          <w:rFonts w:cs="TimesNewRomanPSMT" w:ascii="Times New Roman" w:hAnsi="Times New Roman"/>
          <w:lang w:val="en-US"/>
        </w:rPr>
        <w:t>{% endif %}{% if lot.edd_classique_text()|len %}</w:t>
      </w:r>
    </w:p>
    <w:p>
      <w:pPr>
        <w:pStyle w:val="Normal"/>
        <w:jc w:val="both"/>
        <w:rPr>
          <w:rFonts w:ascii="Times New Roman" w:hAnsi="Times New Roman"/>
        </w:rPr>
      </w:pPr>
      <w:r>
        <w:rPr>
          <w:rFonts w:cs="TimesNewRomanPSMT" w:ascii="Times New Roman" w:hAnsi="Times New Roman"/>
        </w:rPr>
        <w:t>{{ lot.edd_classique_text() }}</w:t>
      </w:r>
    </w:p>
    <w:p>
      <w:pPr>
        <w:pStyle w:val="Normal"/>
        <w:jc w:val="both"/>
        <w:rPr>
          <w:rFonts w:ascii="Times New Roman" w:hAnsi="Times New Roman"/>
        </w:rPr>
      </w:pPr>
      <w:r>
        <w:rPr>
          <w:rFonts w:cs="TimesNewRomanPSMT" w:ascii="Times New Roman" w:hAnsi="Times New Roman"/>
        </w:rPr>
        <w:t>{% endif %}{% for image in edd_classique_images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rPr>
        <w:t>{% endfor %}{% if programme.mention_publication_edd_classique %}</w:t>
      </w:r>
    </w:p>
    <w:p>
      <w:pPr>
        <w:pStyle w:val="Normal"/>
        <w:jc w:val="both"/>
        <w:rPr>
          <w:rFonts w:ascii="Times New Roman" w:hAnsi="Times New Roman"/>
        </w:rPr>
      </w:pPr>
      <w:r>
        <w:rPr>
          <w:rFonts w:cs="TimesNewRomanPSMT" w:ascii="Times New Roman" w:hAnsi="Times New Roman"/>
        </w:rPr>
        <w:t>{{ programme.mention_publication_edd_classique }}</w:t>
      </w:r>
    </w:p>
    <w:p>
      <w:pPr>
        <w:pStyle w:val="Normal"/>
        <w:jc w:val="both"/>
        <w:rPr>
          <w:rFonts w:ascii="Times New Roman" w:hAnsi="Times New Roman"/>
        </w:rPr>
      </w:pPr>
      <w:r>
        <w:rPr>
          <w:rFonts w:cs="TimesNewRomanPSMT" w:ascii="Times New Roman" w:hAnsi="Times New Roman"/>
        </w:rPr>
        <w:t>{% endif %}{% if logement_edds|len %}</w:t>
      </w:r>
    </w:p>
    <w:p>
      <w:pPr>
        <w:pStyle w:val="Normal"/>
        <w:jc w:val="both"/>
        <w:rPr>
          <w:rFonts w:ascii="Times New Roman" w:hAnsi="Times New Roman"/>
        </w:rPr>
      </w:pPr>
      <w:r>
        <w:rPr>
          <w:rFonts w:ascii="Times New Roman" w:hAnsi="Times New Roman"/>
          <w:b/>
          <w:sz w:val="22"/>
          <w:szCs w:val="22"/>
          <w:lang w:eastAsia="fr-FR"/>
        </w:rPr>
        <w:t>Pour les besoins de la publication foncière, il y a lieu d’établir un état descriptif de</w:t>
      </w:r>
    </w:p>
    <w:p>
      <w:pPr>
        <w:pStyle w:val="Normal"/>
        <w:jc w:val="both"/>
        <w:rPr>
          <w:rFonts w:ascii="Times New Roman" w:hAnsi="Times New Roman"/>
        </w:rPr>
      </w:pPr>
      <w:r>
        <w:rPr>
          <w:rFonts w:ascii="Times New Roman" w:hAnsi="Times New Roman"/>
          <w:b/>
          <w:sz w:val="22"/>
          <w:szCs w:val="22"/>
          <w:lang w:eastAsia="fr-FR"/>
        </w:rPr>
        <w:t>division simplifié afin de désigner les parties objet du conventionnement :</w:t>
      </w:r>
    </w:p>
    <w:p>
      <w:pPr>
        <w:pStyle w:val="Normal"/>
        <w:jc w:val="both"/>
        <w:rPr>
          <w:rFonts w:ascii="Times New Roman" w:hAnsi="Times New Roman" w:cs="TimesNewRomanPSMT"/>
        </w:rPr>
      </w:pPr>
      <w:r>
        <w:rPr>
          <w:rFonts w:cs="TimesNewRomanPSMT" w:ascii="Times New Roman" w:hAnsi="Times New Roman"/>
        </w:rPr>
      </w:r>
      <w:bookmarkStart w:id="26" w:name="S6"/>
      <w:bookmarkStart w:id="27" w:name="S6"/>
      <w:bookmarkEnd w:id="27"/>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1967"/>
        <w:gridCol w:w="2110"/>
        <w:gridCol w:w="2494"/>
      </w:tblGrid>
      <w:tr>
        <w:trPr/>
        <w:tc>
          <w:tcPr>
            <w:tcW w:w="1696" w:type="dxa"/>
            <w:tcBorders/>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ascii="Times New Roman" w:hAnsi="Times New Roman"/>
                <w:b/>
                <w:bCs/>
                <w:kern w:val="0"/>
                <w:sz w:val="16"/>
                <w:szCs w:val="16"/>
                <w:lang w:val="fr-FR" w:eastAsia="en-GB" w:bidi="ar-SA"/>
              </w:rPr>
              <w:t>Numéro du lot défini automatiquement par l’EDD simplifié</w:t>
            </w:r>
          </w:p>
        </w:tc>
        <w:tc>
          <w:tcPr>
            <w:tcW w:w="1967"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Financement</w:t>
            </w:r>
          </w:p>
        </w:tc>
        <w:tc>
          <w:tcPr>
            <w:tcW w:w="2110"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Désignation</w:t>
            </w:r>
          </w:p>
        </w:tc>
        <w:tc>
          <w:tcPr>
            <w:tcW w:w="2494" w:type="dxa"/>
            <w:tcBorders/>
            <w:vAlign w:val="center"/>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ascii="Times New Roman" w:hAnsi="Times New Roman"/>
                <w:b/>
                <w:bCs/>
                <w:kern w:val="0"/>
                <w:sz w:val="16"/>
                <w:szCs w:val="16"/>
                <w:lang w:val="fr-FR" w:eastAsia="en-GB" w:bidi="ar-SA"/>
              </w:rPr>
              <w:t xml:space="preserve">Numéro de lot des logements </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ascii="Times New Roman" w:hAnsi="Times New Roman"/>
                <w:kern w:val="0"/>
                <w:sz w:val="16"/>
                <w:szCs w:val="16"/>
                <w:lang w:val="fr-FR" w:eastAsia="en-GB" w:bidi="ar-SA"/>
              </w:rPr>
              <w:t>(tel que inscrit dans les actes de vente/propriété…)</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for i in logement_edds %}</w:t>
            </w:r>
          </w:p>
        </w:tc>
      </w:tr>
      <w:tr>
        <w:trPr/>
        <w:tc>
          <w:tcPr>
            <w:tcW w:w="1696"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{{i.lot_num}}</w:t>
            </w:r>
          </w:p>
        </w:tc>
        <w:tc>
          <w:tcPr>
            <w:tcW w:w="1967"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i.financement }}</w:t>
            </w:r>
          </w:p>
        </w:tc>
        <w:tc>
          <w:tcPr>
            <w:tcW w:w="2110"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i.designation }}</w:t>
            </w:r>
          </w:p>
        </w:tc>
        <w:tc>
          <w:tcPr>
            <w:tcW w:w="249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 i.numero_lot}}</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endfor %}</w:t>
            </w:r>
          </w:p>
        </w:tc>
      </w:tr>
    </w:tbl>
    <w:p>
      <w:pPr>
        <w:pStyle w:val="Normal"/>
        <w:jc w:val="both"/>
        <w:rPr>
          <w:rFonts w:ascii="Times New Roman" w:hAnsi="Times New Roman" w:cs="TimesNewRomanPSMT"/>
          <w:lang w:val="en-US"/>
        </w:rPr>
      </w:pPr>
      <w:r>
        <w:rPr>
          <w:rFonts w:cs="TimesNewRomanPSMT" w:ascii="Times New Roman" w:hAnsi="Times New Roman"/>
          <w:lang w:val="en-US"/>
        </w:rPr>
      </w:r>
      <w:bookmarkStart w:id="28" w:name="S7"/>
      <w:bookmarkStart w:id="29" w:name="S7"/>
      <w:bookmarkEnd w:id="29"/>
    </w:p>
    <w:p>
      <w:pPr>
        <w:pStyle w:val="Normal"/>
        <w:jc w:val="both"/>
        <w:rPr>
          <w:rFonts w:ascii="Times New Roman" w:hAnsi="Times New Roman"/>
        </w:rPr>
      </w:pPr>
      <w:r>
        <w:rPr>
          <w:rFonts w:cs="TimesNewRomanPSMT" w:ascii="Times New Roman" w:hAnsi="Times New Roman"/>
          <w:b/>
        </w:rPr>
        <w:t>La convention porte sur le lot n° {{ lot_num }} défini automatiquement par l’état descriptif de division simplifié</w:t>
      </w:r>
    </w:p>
    <w:p>
      <w:pPr>
        <w:pStyle w:val="Normal"/>
        <w:jc w:val="both"/>
        <w:rPr>
          <w:rFonts w:ascii="Times New Roman" w:hAnsi="Times New Roman"/>
        </w:rPr>
      </w:pPr>
      <w:r>
        <w:rPr>
          <w:rFonts w:cs="TimesNewRomanPSMT" w:ascii="Times New Roman" w:hAnsi="Times New Roman"/>
        </w:rPr>
        <w:t>{% endif %}{%  if programme.edd_stationnements_text()|len %}</w:t>
      </w:r>
    </w:p>
    <w:p>
      <w:pPr>
        <w:pStyle w:val="Normal"/>
        <w:jc w:val="both"/>
        <w:rPr>
          <w:rFonts w:ascii="Times New Roman" w:hAnsi="Times New Roman"/>
        </w:rPr>
      </w:pPr>
      <w:r>
        <w:rPr>
          <w:rFonts w:cs="TimesNewRomanPSMT" w:ascii="Times New Roman" w:hAnsi="Times New Roman"/>
        </w:rPr>
        <w:t>{{ programme.edd_stationnements_text() }}</w:t>
      </w:r>
    </w:p>
    <w:p>
      <w:pPr>
        <w:pStyle w:val="Normal"/>
        <w:jc w:val="both"/>
        <w:rPr>
          <w:rFonts w:ascii="Times New Roman" w:hAnsi="Times New Roman"/>
        </w:rPr>
      </w:pPr>
      <w:r>
        <w:rPr>
          <w:rFonts w:cs="TimesNewRomanPSMT" w:ascii="Times New Roman" w:hAnsi="Times New Roman"/>
        </w:rPr>
        <w:t>{% endif %}{% for image in edd_stationnements_images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Nature de l'opération et financement.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ascii="Times New Roman" w:hAnsi="Times New Roman"/>
        </w:rPr>
        <w:t xml:space="preserve">Programme de </w:t>
      </w:r>
      <w:bookmarkStart w:id="30" w:name="NbLogement4"/>
      <w:bookmarkStart w:id="31" w:name="AutreType"/>
      <w:bookmarkStart w:id="32" w:name="Type2"/>
      <w:bookmarkEnd w:id="30"/>
      <w:bookmarkEnd w:id="31"/>
      <w:bookmarkEnd w:id="32"/>
      <w:r>
        <w:rPr>
          <w:rFonts w:ascii="Times New Roman" w:hAnsi="Times New Roman"/>
        </w:rPr>
        <w:t>{{ lot.nb_logements }} logement</w:t>
      </w:r>
      <w:r>
        <w:rPr>
          <w:rFonts w:cs="TimesNewRomanPSMT" w:ascii="Times New Roman" w:hAnsi="Times New Roman"/>
        </w:rPr>
        <w:t>{{lot.nb_logements|pl</w:t>
      </w:r>
      <w:r>
        <w:rPr>
          <w:rFonts w:ascii="Times New Roman" w:hAnsi="Times New Roman"/>
        </w:rPr>
        <w:t xml:space="preserve"> }}{{ lot.get_type_habitat_advanced_display(lot.nb_logements) }}</w:t>
      </w:r>
      <w:bookmarkStart w:id="33" w:name="Fi4"/>
      <w:bookmarkEnd w:id="33"/>
      <w:r>
        <w:rPr>
          <w:rFonts w:ascii="Times New Roman" w:hAnsi="Times New Roman"/>
        </w:rPr>
        <w:t>{{ programme.get_type_operation_advanced_display()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Composition de l'opération.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éléments ci-après sont décrits par immeuble ou ensemble immobilier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A.-Locaux auxquels s'applique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Nombre des logements locatifs par type de logements :</w:t>
      </w:r>
    </w:p>
    <w:p>
      <w:pPr>
        <w:pStyle w:val="Normal"/>
        <w:jc w:val="both"/>
        <w:rPr>
          <w:rFonts w:ascii="Times New Roman" w:hAnsi="Times New Roman" w:cs="TimesNewRomanPSMT"/>
        </w:rPr>
      </w:pPr>
      <w:r>
        <w:rPr>
          <w:rFonts w:cs="TimesNewRomanPSMT" w:ascii="Times New Roman" w:hAnsi="Times New Roman"/>
        </w:rPr>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4133"/>
      </w:tblGrid>
      <w:tr>
        <w:trPr/>
        <w:tc>
          <w:tcPr>
            <w:tcW w:w="4134" w:type="dxa"/>
            <w:tcBorders/>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Type de logements</w:t>
            </w:r>
          </w:p>
        </w:tc>
        <w:tc>
          <w:tcPr>
            <w:tcW w:w="4133" w:type="dxa"/>
            <w:tcBorders/>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Nombre de logements</w:t>
            </w:r>
          </w:p>
        </w:tc>
      </w:tr>
      <w:tr>
        <w:trPr/>
        <w:tc>
          <w:tcPr>
            <w:tcW w:w="8267" w:type="dxa"/>
            <w:gridSpan w:val="2"/>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{%tr for k,v in nb_logements_par_type.items() %}</w:t>
            </w:r>
          </w:p>
        </w:tc>
      </w:tr>
      <w:tr>
        <w:trPr/>
        <w:tc>
          <w:tcPr>
            <w:tcW w:w="4134"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{{k}}</w:t>
            </w:r>
          </w:p>
        </w:tc>
        <w:tc>
          <w:tcPr>
            <w:tcW w:w="4133"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{{v}}</w:t>
            </w:r>
          </w:p>
        </w:tc>
      </w:tr>
      <w:tr>
        <w:trPr/>
        <w:tc>
          <w:tcPr>
            <w:tcW w:w="8267" w:type="dxa"/>
            <w:gridSpan w:val="2"/>
            <w:tcBorders/>
          </w:tcPr>
          <w:p>
            <w:pPr>
              <w:pStyle w:val="Normal"/>
              <w:widowControl/>
              <w:spacing w:before="0" w:after="0"/>
              <w:jc w:val="both"/>
              <w:rPr>
                <w:rFonts w:ascii="Times New Roman" w:hAnsi="Times New Roman" w:eastAsia="Times New Roman" w:cs="Times New Roman"/>
                <w:kern w:val="0"/>
                <w:lang w:val="fr-FR" w:eastAsia="en-GB" w:bidi="ar-SA"/>
              </w:rPr>
            </w:pPr>
            <w:r>
              <w:rPr>
                <w:rFonts w:eastAsia="Times New Roman" w:cs="Times New Roman" w:ascii="Times New Roman" w:hAnsi="Times New Roman"/>
                <w:kern w:val="0"/>
                <w:sz w:val="16"/>
                <w:szCs w:val="16"/>
                <w:lang w:val="fr-FR" w:eastAsia="en-GB" w:bidi="ar-SA"/>
              </w:rPr>
              <w:t>{%tr endfor %}</w:t>
            </w:r>
          </w:p>
        </w:tc>
      </w:tr>
    </w:tbl>
    <w:p>
      <w:pPr>
        <w:pStyle w:val="Normal"/>
        <w:jc w:val="both"/>
        <w:rPr>
          <w:rFonts w:ascii="Times New Roman" w:hAnsi="Times New Roman" w:cs="TimesNewRomanPSMT"/>
          <w:lang w:val="en-US"/>
        </w:rPr>
      </w:pPr>
      <w:r>
        <w:rPr>
          <w:rFonts w:cs="TimesNewRomanPSMT" w:ascii="Times New Roman" w:hAnsi="Times New Roman"/>
          <w:lang w:val="en-US"/>
        </w:rPr>
      </w:r>
    </w:p>
    <w:p>
      <w:pPr>
        <w:pStyle w:val="Normal"/>
        <w:jc w:val="both"/>
        <w:rPr>
          <w:rFonts w:ascii="Times New Roman" w:hAnsi="Times New Roman"/>
        </w:rPr>
      </w:pPr>
      <w:r>
        <w:rPr>
          <w:rFonts w:cs="TimesNewRomanPSMT" w:ascii="Times New Roman" w:hAnsi="Times New Roman"/>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 nombre de logements prévus au premier alinéa du a du 3° de l'article 7 de la présente convention : </w:t>
      </w:r>
      <w:bookmarkStart w:id="34" w:name="Mix30111"/>
      <w:bookmarkEnd w:id="34"/>
      <w:r>
        <w:rPr>
          <w:rFonts w:cs="TimesNewRomanPSMT" w:ascii="Times New Roman" w:hAnsi="Times New Roman"/>
          <w:b/>
        </w:rPr>
        <w:t>{{ mixPLUS_30pc }}</w:t>
      </w:r>
      <w:r>
        <w:rPr>
          <w:rFonts w:cs="TimesNewRomanPSMT" w:ascii="Times New Roman" w:hAnsi="Times New Roman"/>
        </w:rPr>
        <w:t xml:space="preserve"> logement{{</w:t>
      </w:r>
      <w:r>
        <w:rPr>
          <w:rFonts w:cs="TimesNewRomanPSMT" w:ascii="Times New Roman" w:hAnsi="Times New Roman"/>
          <w:bCs/>
        </w:rPr>
        <w:t>mixPLUS_30pc</w:t>
      </w:r>
      <w:r>
        <w:rPr>
          <w:rFonts w:cs="TimesNewRomanPSMT" w:ascii="Times New Roman" w:hAnsi="Times New Roman"/>
        </w:rPr>
        <w:t>|pl</w:t>
      </w:r>
      <w:r>
        <w:rPr>
          <w:rFonts w:ascii="Times New Roman" w:hAnsi="Times New Roman"/>
        </w:rPr>
        <w:t xml:space="preserve"> }}</w:t>
      </w:r>
      <w:r>
        <w:rPr>
          <w:rFonts w:cs="TimesNewRomanPSMT" w:ascii="Times New Roman" w:hAnsi="Times New Roman"/>
        </w:rPr>
        <w: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 nombre de logements prévus au deuxième alinéa du a du 3° de l'article 7 de la présente convention : </w:t>
      </w:r>
      <w:bookmarkStart w:id="35" w:name="Mix30112"/>
      <w:bookmarkEnd w:id="35"/>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36" w:name="Mix1092"/>
      <w:bookmarkEnd w:id="36"/>
      <w:r>
        <w:rPr>
          <w:rFonts w:cs="TimesNewRomanPSMT" w:ascii="Times New Roman" w:hAnsi="Times New Roman"/>
          <w:b/>
          <w:bCs/>
        </w:rPr>
        <w:t>{{ mixPLUS_10pc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2. Surface habitable totale (art. R. 111-2 du code de la construction et de l’habitation) : </w:t>
      </w:r>
      <w:bookmarkStart w:id="37" w:name="SH"/>
      <w:bookmarkEnd w:id="37"/>
      <w:r>
        <w:rPr>
          <w:rFonts w:cs="TimesNewRomanPSMT" w:ascii="Times New Roman" w:hAnsi="Times New Roman"/>
        </w:rPr>
        <w:t>{{ sh_totale|f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3. Surface totale des annexes entrant dans le calcul de la surface utile (art. D. 353-16 (2°) du code de la construction et de l’habitation) : </w:t>
      </w:r>
      <w:bookmarkStart w:id="38" w:name="SA"/>
      <w:bookmarkEnd w:id="38"/>
      <w:r>
        <w:rPr>
          <w:rFonts w:cs="TimesNewRomanPSMT" w:ascii="Times New Roman" w:hAnsi="Times New Roman"/>
        </w:rPr>
        <w:t>{{ sar_totale|f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bis. Liste de ces annexes, conforme à l'arrêté modifié du 9 mai 1995 du ministre du logement pris en application de l'article D. 353-16 précité :</w:t>
      </w:r>
    </w:p>
    <w:p>
      <w:pPr>
        <w:pStyle w:val="Normal"/>
        <w:ind w:firstLine="708"/>
        <w:jc w:val="both"/>
        <w:rPr>
          <w:rFonts w:ascii="Times New Roman" w:hAnsi="Times New Roman"/>
        </w:rPr>
      </w:pPr>
      <w:r>
        <w:rPr>
          <w:rFonts w:cs="TimesNewRomanPSMT" w:ascii="Times New Roman" w:hAnsi="Times New Roman"/>
          <w:sz w:val="16"/>
          <w:szCs w:val="16"/>
        </w:rPr>
        <w:t>{% if lot.annexe_caves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39" w:name="__Fieldmark__732_1963274179"/>
      <w:bookmarkStart w:id="40" w:name="__Fieldmark__732_1963274179"/>
      <w:bookmarkEnd w:id="40"/>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rPr>
        <w:t xml:space="preserve"> Caves</w:t>
      </w:r>
      <w:r>
        <w:rPr>
          <w:rFonts w:cs="TimesNewRomanPSMT" w:ascii="Times New Roman" w:hAnsi="Times New Roman"/>
          <w:sz w:val="16"/>
          <w:szCs w:val="16"/>
        </w:rPr>
        <w:t xml:space="preserve"> </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lot.annexe_soussols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1" w:name="__Fieldmark__745_1963274179"/>
      <w:bookmarkStart w:id="42" w:name="__Fieldmark__745_1963274179"/>
      <w:bookmarkEnd w:id="42"/>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rPr>
        <w:t xml:space="preserve"> Sous-sols</w:t>
      </w:r>
      <w:r>
        <w:rPr>
          <w:rFonts w:cs="TimesNewRomanPSMT" w:ascii="Times New Roman" w:hAnsi="Times New Roman"/>
          <w:sz w:val="16"/>
          <w:szCs w:val="16"/>
        </w:rPr>
        <w:t xml:space="preserve"> </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lot.annexe_remises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3" w:name="__Fieldmark__753_1963274179"/>
      <w:bookmarkStart w:id="44" w:name="__Fieldmark__753_1963274179"/>
      <w:bookmarkEnd w:id="44"/>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Remise</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lot.annexe_ateliers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5" w:name="__Fieldmark__760_1963274179"/>
      <w:bookmarkStart w:id="46" w:name="__Fieldmark__760_1963274179"/>
      <w:bookmarkEnd w:id="46"/>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Ateliers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lot.annexe_sechoirs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7" w:name="__Fieldmark__773_1963274179"/>
      <w:bookmarkStart w:id="48" w:name="__Fieldmark__773_1963274179"/>
      <w:bookmarkEnd w:id="48"/>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Séchoirs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lot.annexe_celliers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9" w:name="__Fieldmark__780_1963274179"/>
      <w:bookmarkStart w:id="50" w:name="__Fieldmark__780_1963274179"/>
      <w:bookmarkEnd w:id="50"/>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Celliers extérieurs au logement</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lot.annexe_resserres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1" w:name="__Fieldmark__787_1963274179"/>
      <w:bookmarkStart w:id="52" w:name="__Fieldmark__787_1963274179"/>
      <w:bookmarkEnd w:id="52"/>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Resserres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lot.annexe_combles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3" w:name="__Fieldmark__794_1963274179"/>
      <w:bookmarkStart w:id="54" w:name="__Fieldmark__794_1963274179"/>
      <w:bookmarkEnd w:id="54"/>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Combles et greniers aménageable</w:t>
      </w:r>
    </w:p>
    <w:p>
      <w:pPr>
        <w:pStyle w:val="Normal"/>
        <w:ind w:firstLine="708"/>
        <w:jc w:val="both"/>
        <w:rPr>
          <w:rFonts w:ascii="Times New Roman" w:hAnsi="Times New Roman"/>
        </w:rPr>
      </w:pPr>
      <w:r>
        <w:rPr>
          <w:rFonts w:cs="TimesNewRomanPSMT" w:ascii="Times New Roman" w:hAnsi="Times New Roman"/>
          <w:sz w:val="16"/>
          <w:szCs w:val="16"/>
          <w:lang w:val="en-US"/>
        </w:rPr>
        <w:t xml:space="preserve">{%- endif %} </w:t>
      </w:r>
    </w:p>
    <w:p>
      <w:pPr>
        <w:pStyle w:val="Normal"/>
        <w:ind w:firstLine="708"/>
        <w:jc w:val="both"/>
        <w:rPr>
          <w:rFonts w:ascii="Times New Roman" w:hAnsi="Times New Roman"/>
        </w:rPr>
      </w:pPr>
      <w:r>
        <w:rPr>
          <w:rFonts w:cs="TimesNewRomanPSMT" w:ascii="Times New Roman" w:hAnsi="Times New Roman"/>
          <w:sz w:val="16"/>
          <w:szCs w:val="16"/>
          <w:lang w:val="en-US"/>
        </w:rPr>
        <w:t>{%- if lot.annexe_balcons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5" w:name="__Fieldmark__805_1963274179"/>
      <w:bookmarkStart w:id="56" w:name="__Fieldmark__805_1963274179"/>
      <w:bookmarkEnd w:id="56"/>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lang w:val="en-US"/>
        </w:rPr>
        <w:t xml:space="preserve"> </w:t>
      </w:r>
      <w:r>
        <w:rPr>
          <w:rFonts w:cs="TimesNewRomanPSMT" w:ascii="Times New Roman" w:hAnsi="Times New Roman"/>
          <w:lang w:val="en-US"/>
        </w:rPr>
        <w:t>Balcons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lot.annexe_loggias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7" w:name="__Fieldmark__812_1963274179"/>
      <w:bookmarkStart w:id="58" w:name="__Fieldmark__812_1963274179"/>
      <w:bookmarkEnd w:id="58"/>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Loggias et Vérandas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left="708" w:hanging="0"/>
        <w:jc w:val="both"/>
        <w:rPr>
          <w:rFonts w:ascii="Times New Roman" w:hAnsi="Times New Roman"/>
        </w:rPr>
      </w:pPr>
      <w:r>
        <w:rPr>
          <w:rFonts w:cs="TimesNewRomanPSMT" w:ascii="Times New Roman" w:hAnsi="Times New Roman"/>
          <w:sz w:val="16"/>
          <w:szCs w:val="16"/>
        </w:rPr>
        <w:t>{%- if lot.annexe_terrasses %}</w:t>
      </w:r>
    </w:p>
    <w:p>
      <w:pPr>
        <w:pStyle w:val="Normal"/>
        <w:ind w:left="708" w:hanging="0"/>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9" w:name="__Fieldmark__825_1963274179"/>
      <w:bookmarkStart w:id="60" w:name="__Fieldmark__825_1963274179"/>
      <w:bookmarkEnd w:id="60"/>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Dans la limite de 9 m2, les parties de terrasses accessibles en étage ou aménagées sur ouvrage enterré ou à moitié enterré</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jc w:val="both"/>
        <w:rPr>
          <w:rFonts w:ascii="Times New Roman" w:hAnsi="Times New Roman" w:cs="Open Sans"/>
          <w:color w:val="3F4350"/>
          <w:sz w:val="20"/>
          <w:szCs w:val="20"/>
        </w:rPr>
      </w:pPr>
      <w:r>
        <w:rPr>
          <w:rFonts w:cs="Open Sans" w:ascii="Times New Roman" w:hAnsi="Times New Roman"/>
          <w:color w:val="3F4350"/>
          <w:sz w:val="20"/>
          <w:szCs w:val="20"/>
        </w:rPr>
      </w:r>
    </w:p>
    <w:p>
      <w:pPr>
        <w:pStyle w:val="Normal"/>
        <w:jc w:val="both"/>
        <w:rPr>
          <w:rFonts w:ascii="Times New Roman" w:hAnsi="Times New Roman"/>
        </w:rPr>
      </w:pPr>
      <w:r>
        <w:rPr>
          <w:rFonts w:cs="TimesNewRomanPSMT" w:ascii="Times New Roman" w:hAnsi="Times New Roman"/>
        </w:rPr>
        <w:t>3 ter. Surface des locaux collectifs résidentiels : {{ lot.surface_locaux_collectifs_residentiels|f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4. Surface utile totale de l'opération (art. D. 353-16 (2°) précité) : </w:t>
      </w:r>
      <w:bookmarkStart w:id="61" w:name="SU"/>
      <w:bookmarkEnd w:id="61"/>
      <w:r>
        <w:rPr>
          <w:rFonts w:cs="TimesNewRomanPSMT" w:ascii="Times New Roman" w:hAnsi="Times New Roman"/>
        </w:rPr>
        <w:t>{{ su_totale|f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5. Décompte des surfaces et des coefficients propres au logement appliqués pour le calcul du loyer :</w:t>
      </w:r>
    </w:p>
    <w:p>
      <w:pPr>
        <w:pStyle w:val="Normal"/>
        <w:jc w:val="both"/>
        <w:rPr>
          <w:rFonts w:ascii="Times New Roman" w:hAnsi="Times New Roman"/>
        </w:rPr>
      </w:pPr>
      <w:bookmarkStart w:id="62" w:name="S1"/>
      <w:bookmarkEnd w:id="62"/>
      <w:r>
        <w:rPr>
          <w:rFonts w:cs="TimesNewRomanPSMT" w:ascii="Times New Roman" w:hAnsi="Times New Roman"/>
          <w:sz w:val="20"/>
          <w:lang w:val="en-US"/>
        </w:rPr>
        <w:t>{% if logements.count() %}</w:t>
      </w:r>
    </w:p>
    <w:p>
      <w:pPr>
        <w:pStyle w:val="Normal"/>
        <w:jc w:val="both"/>
        <w:rPr>
          <w:rFonts w:ascii="Times New Roman" w:hAnsi="Times New Roman" w:cs="TimesNewRomanPSMT"/>
          <w:sz w:val="20"/>
          <w:lang w:val="en-US"/>
        </w:rPr>
      </w:pPr>
      <w:r>
        <w:rPr>
          <w:rFonts w:cs="TimesNewRomanPSMT" w:ascii="Times New Roman" w:hAnsi="Times New Roman"/>
          <w:sz w:val="20"/>
          <w:lang w:val="en-US"/>
        </w:rPr>
      </w:r>
    </w:p>
    <w:tbl>
      <w:tblPr>
        <w:tblStyle w:val="Grilledutableau"/>
        <w:tblW w:w="82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1135"/>
        <w:gridCol w:w="849"/>
        <w:gridCol w:w="1276"/>
        <w:gridCol w:w="1134"/>
        <w:gridCol w:w="1135"/>
        <w:gridCol w:w="1186"/>
      </w:tblGrid>
      <w:tr>
        <w:trPr/>
        <w:tc>
          <w:tcPr>
            <w:tcW w:w="1554"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DÉSIGNATION</w:t>
              <w:br/>
              <w:t>des logements</w:t>
            </w:r>
          </w:p>
        </w:tc>
        <w:tc>
          <w:tcPr>
            <w:tcW w:w="1135"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habitable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(art. R. 111-2)</w:t>
            </w:r>
          </w:p>
        </w:tc>
        <w:tc>
          <w:tcPr>
            <w:tcW w:w="849"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réelle des annexes</w:t>
            </w:r>
          </w:p>
        </w:tc>
        <w:tc>
          <w:tcPr>
            <w:tcW w:w="1276"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 UTILE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 habitable augmentée de 50% de la surface des annexes)</w:t>
            </w:r>
          </w:p>
        </w:tc>
        <w:tc>
          <w:tcPr>
            <w:tcW w:w="1134"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LOYER maxinum du logement en euros par mètre carré de surface utile</w:t>
            </w:r>
          </w:p>
        </w:tc>
        <w:tc>
          <w:tcPr>
            <w:tcW w:w="1135"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COEFFICIENT propre au logement</w:t>
            </w:r>
          </w:p>
        </w:tc>
        <w:tc>
          <w:tcPr>
            <w:tcW w:w="1186"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LOYER MAXIMUM</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du logement</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 xml:space="preserve">(col 4 x col 5 </w:t>
            </w:r>
          </w:p>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x</w:t>
            </w:r>
            <w:r>
              <w:rPr>
                <w:rFonts w:eastAsia="Times New Roman" w:cs="TimesNewRomanPSMT" w:ascii="Times New Roman" w:hAnsi="Times New Roman"/>
                <w:kern w:val="0"/>
                <w:sz w:val="14"/>
                <w:szCs w:val="14"/>
                <w:lang w:val="fr-FR" w:eastAsia="en-GB" w:bidi="ar-SA"/>
              </w:rPr>
              <w:t xml:space="preserve"> col 6)*</w:t>
            </w:r>
          </w:p>
        </w:tc>
      </w:tr>
      <w:tr>
        <w:trPr/>
        <w:tc>
          <w:tcPr>
            <w:tcW w:w="15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1</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2</w:t>
            </w:r>
          </w:p>
        </w:tc>
        <w:tc>
          <w:tcPr>
            <w:tcW w:w="849"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3</w:t>
            </w:r>
          </w:p>
        </w:tc>
        <w:tc>
          <w:tcPr>
            <w:tcW w:w="127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4</w:t>
            </w:r>
          </w:p>
        </w:tc>
        <w:tc>
          <w:tcPr>
            <w:tcW w:w="113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5</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6</w:t>
            </w:r>
          </w:p>
        </w:tc>
        <w:tc>
          <w:tcPr>
            <w:tcW w:w="118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7</w:t>
            </w:r>
          </w:p>
        </w:tc>
      </w:tr>
      <w:tr>
        <w:trPr/>
        <w:tc>
          <w:tcPr>
            <w:tcW w:w="8269" w:type="dxa"/>
            <w:gridSpan w:val="7"/>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for l in logements %}</w:t>
            </w:r>
          </w:p>
        </w:tc>
      </w:tr>
      <w:tr>
        <w:trPr/>
        <w:tc>
          <w:tcPr>
            <w:tcW w:w="15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{{l.d}}</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{{l.sh|f }}</w:t>
            </w:r>
          </w:p>
        </w:tc>
        <w:tc>
          <w:tcPr>
            <w:tcW w:w="849"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{{l.sa|f }}</w:t>
            </w:r>
          </w:p>
        </w:tc>
        <w:tc>
          <w:tcPr>
            <w:tcW w:w="127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{{l.su|f }}</w:t>
            </w:r>
          </w:p>
        </w:tc>
        <w:tc>
          <w:tcPr>
            <w:tcW w:w="113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{{l.lpmc|f }}</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{{l.c|f(d=4)}}</w:t>
            </w:r>
          </w:p>
        </w:tc>
        <w:tc>
          <w:tcPr>
            <w:tcW w:w="118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{{l.l|f}}</w:t>
            </w:r>
          </w:p>
        </w:tc>
      </w:tr>
      <w:tr>
        <w:trPr/>
        <w:tc>
          <w:tcPr>
            <w:tcW w:w="8269" w:type="dxa"/>
            <w:gridSpan w:val="7"/>
            <w:tcBorders/>
          </w:tcPr>
          <w:p>
            <w:pPr>
              <w:pStyle w:val="Normal"/>
              <w:widowControl/>
              <w:spacing w:before="0" w:after="0"/>
              <w:jc w:val="both"/>
              <w:rPr>
                <w:rFonts w:ascii="Times New Roman" w:hAnsi="Times New Roman" w:eastAsia="Times New Roman"/>
                <w:kern w:val="0"/>
                <w:lang w:eastAsia="en-GB" w:bidi="ar-SA"/>
              </w:rPr>
            </w:pPr>
            <w:r>
              <w:rPr>
                <w:rFonts w:eastAsia="Times New Roman" w:ascii="Times New Roman" w:hAnsi="Times New Roman"/>
                <w:kern w:val="0"/>
                <w:sz w:val="16"/>
                <w:szCs w:val="16"/>
                <w:lang w:val="en-US" w:eastAsia="en-GB" w:bidi="ar-SA"/>
              </w:rPr>
              <w:t>{%tr endfor %}</w:t>
            </w:r>
          </w:p>
        </w:tc>
      </w:tr>
      <w:tr>
        <w:trPr/>
        <w:tc>
          <w:tcPr>
            <w:tcW w:w="15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Total</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{{sh_totale|f }}</w:t>
            </w:r>
          </w:p>
        </w:tc>
        <w:tc>
          <w:tcPr>
            <w:tcW w:w="849"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{{sa_totale|f }}</w:t>
            </w:r>
          </w:p>
        </w:tc>
        <w:tc>
          <w:tcPr>
            <w:tcW w:w="127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{{su_totale|f}}</w:t>
            </w:r>
          </w:p>
        </w:tc>
        <w:tc>
          <w:tcPr>
            <w:tcW w:w="1134" w:type="dxa"/>
            <w:tcBorders/>
          </w:tcPr>
          <w:p>
            <w:pPr>
              <w:pStyle w:val="Normal"/>
              <w:widowControl/>
              <w:spacing w:before="0" w:after="0"/>
              <w:jc w:val="both"/>
              <w:rPr>
                <w:rFonts w:ascii="Times New Roman" w:hAnsi="Times New Roman" w:eastAsia="Times New Roman" w:cs="TimesNewRomanPSMT"/>
                <w:kern w:val="0"/>
                <w:sz w:val="16"/>
                <w:szCs w:val="16"/>
                <w:lang w:val="fr-FR" w:eastAsia="en-GB" w:bidi="ar-SA"/>
              </w:rPr>
            </w:pPr>
            <w:r>
              <w:rPr>
                <w:rFonts w:eastAsia="Times New Roman" w:cs="TimesNewRomanPSMT" w:ascii="Times New Roman" w:hAnsi="Times New Roman"/>
                <w:kern w:val="0"/>
                <w:sz w:val="16"/>
                <w:szCs w:val="16"/>
                <w:lang w:val="fr-FR" w:eastAsia="en-GB" w:bidi="ar-SA"/>
              </w:rPr>
            </w:r>
          </w:p>
        </w:tc>
        <w:tc>
          <w:tcPr>
            <w:tcW w:w="1135" w:type="dxa"/>
            <w:tcBorders/>
          </w:tcPr>
          <w:p>
            <w:pPr>
              <w:pStyle w:val="Normal"/>
              <w:widowControl/>
              <w:spacing w:before="0" w:after="0"/>
              <w:jc w:val="both"/>
              <w:rPr>
                <w:rFonts w:ascii="Times New Roman" w:hAnsi="Times New Roman" w:eastAsia="Times New Roman" w:cs="TimesNewRomanPSMT"/>
                <w:kern w:val="0"/>
                <w:sz w:val="16"/>
                <w:szCs w:val="16"/>
                <w:lang w:val="fr-FR" w:eastAsia="en-GB" w:bidi="ar-SA"/>
              </w:rPr>
            </w:pPr>
            <w:r>
              <w:rPr>
                <w:rFonts w:eastAsia="Times New Roman" w:cs="TimesNewRomanPSMT" w:ascii="Times New Roman" w:hAnsi="Times New Roman"/>
                <w:kern w:val="0"/>
                <w:sz w:val="16"/>
                <w:szCs w:val="16"/>
                <w:lang w:val="fr-FR" w:eastAsia="en-GB" w:bidi="ar-SA"/>
              </w:rPr>
            </w:r>
          </w:p>
        </w:tc>
        <w:tc>
          <w:tcPr>
            <w:tcW w:w="118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{{loyer_total|f}}</w:t>
            </w:r>
          </w:p>
        </w:tc>
      </w:tr>
      <w:tr>
        <w:trPr/>
        <w:tc>
          <w:tcPr>
            <w:tcW w:w="8269" w:type="dxa"/>
            <w:gridSpan w:val="7"/>
            <w:tcBorders/>
          </w:tcPr>
          <w:p>
            <w:pPr>
              <w:pStyle w:val="Normal"/>
              <w:widowControl/>
              <w:spacing w:before="0" w:after="0"/>
              <w:jc w:val="both"/>
              <w:rPr>
                <w:rFonts w:ascii="Times New Roman" w:hAnsi="Times New Roman" w:eastAsia="Times New Roman"/>
                <w:kern w:val="0"/>
                <w:lang w:val="fr-FR" w:bidi="ar-SA"/>
              </w:rPr>
            </w:pPr>
            <w:r>
              <w:rPr>
                <w:rFonts w:eastAsia="Times New Roman" w:cs="TimesNewRomanPSMT" w:ascii="Times New Roman" w:hAnsi="Times New Roman"/>
                <w:kern w:val="0"/>
                <w:sz w:val="16"/>
                <w:szCs w:val="16"/>
                <w:lang w:val="fr-FR" w:eastAsia="fr-FR" w:bidi="ar-SA"/>
              </w:rPr>
              <w:t>* La majoration prévue à l’article 8 de la convention est susceptible de s’appliquer à ces loyers.</w:t>
            </w:r>
          </w:p>
        </w:tc>
      </w:tr>
    </w:tbl>
    <w:p>
      <w:pPr>
        <w:pStyle w:val="Normal"/>
        <w:jc w:val="both"/>
        <w:rPr>
          <w:rFonts w:ascii="Times New Roman" w:hAnsi="Times New Roman"/>
        </w:rPr>
      </w:pPr>
      <w:r>
        <w:rPr>
          <w:rFonts w:cs="TimesNewRomanPSMT" w:ascii="Times New Roman" w:hAnsi="Times New Roman"/>
          <w:sz w:val="20"/>
        </w:rPr>
        <w:t>{% endif %}</w:t>
      </w:r>
    </w:p>
    <w:p>
      <w:pPr>
        <w:pStyle w:val="Normal"/>
        <w:jc w:val="both"/>
        <w:rPr>
          <w:rFonts w:ascii="Times New Roman" w:hAnsi="Times New Roman"/>
        </w:rPr>
      </w:pPr>
      <w:r>
        <w:rPr>
          <w:rFonts w:cs="TimesNewRomanPSMT" w:ascii="Times New Roman" w:hAnsi="Times New Roman"/>
        </w:rPr>
        <w:t>6. Nombre et liste des annexes susceptibles de donner lieu à perception d'un loyer accessoire : {{ liste_des_annexes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 New Roman" w:hAnsi="Times New Roman" w:cs="TimesNewRomanPSMT"/>
          <w:sz w:val="20"/>
        </w:rPr>
      </w:pPr>
      <w:r>
        <w:rPr>
          <w:rFonts w:cs="TimesNewRomanPSMT" w:ascii="Times New Roman" w:hAnsi="Times New Roman"/>
          <w:sz w:val="20"/>
        </w:rPr>
      </w:r>
      <w:bookmarkStart w:id="63" w:name="S2"/>
      <w:bookmarkStart w:id="64" w:name="S2"/>
      <w:bookmarkEnd w:id="64"/>
    </w:p>
    <w:p>
      <w:pPr>
        <w:pStyle w:val="Normal"/>
        <w:jc w:val="both"/>
        <w:rPr>
          <w:rFonts w:ascii="Times New Roman" w:hAnsi="Times New Roman"/>
        </w:rPr>
      </w:pPr>
      <w:r>
        <w:rPr>
          <w:rFonts w:cs="TimesNewRomanPSMT" w:ascii="Times New Roman" w:hAnsi="Times New Roman"/>
          <w:sz w:val="20"/>
        </w:rPr>
        <w:t>{% if stationnements.count()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3"/>
        <w:gridCol w:w="3454"/>
      </w:tblGrid>
      <w:tr>
        <w:trPr/>
        <w:tc>
          <w:tcPr>
            <w:tcW w:w="4813"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TYPE D’ANNEXE DÉFINIE</w:t>
              <w:br/>
              <w:t>à l’article D. 353-16</w:t>
              <w:br/>
              <w:t>dernier alinéa du 2°</w:t>
            </w:r>
          </w:p>
        </w:tc>
        <w:tc>
          <w:tcPr>
            <w:tcW w:w="3454"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LOYER MAXIMUM</w:t>
              <w:br/>
              <w:t>conventionné de l’annexe</w:t>
              <w:br/>
              <w:t>en euros par mois</w:t>
            </w:r>
          </w:p>
        </w:tc>
      </w:tr>
      <w:tr>
        <w:trPr/>
        <w:tc>
          <w:tcPr>
            <w:tcW w:w="8267" w:type="dxa"/>
            <w:gridSpan w:val="2"/>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for s in stationnements %}</w:t>
            </w:r>
          </w:p>
        </w:tc>
      </w:tr>
      <w:tr>
        <w:trPr/>
        <w:tc>
          <w:tcPr>
            <w:tcW w:w="4813" w:type="dxa"/>
            <w:tcBorders/>
          </w:tcPr>
          <w:p>
            <w:pPr>
              <w:pStyle w:val="Normal"/>
              <w:widowControl/>
              <w:spacing w:before="0" w:after="0"/>
              <w:jc w:val="both"/>
              <w:rPr>
                <w:rFonts w:ascii="Times New Roman" w:hAnsi="Times New Roman" w:eastAsia="Times New Roman"/>
                <w:kern w:val="0"/>
                <w:lang w:val="fr-FR" w:eastAsia="en-GB" w:bidi="ar-SA"/>
              </w:rPr>
            </w:pPr>
            <w:r>
              <w:rPr>
                <w:rFonts w:eastAsia="Times New Roman" w:cs="TimesNewRomanPSMT" w:ascii="Times New Roman" w:hAnsi="Times New Roman"/>
                <w:kern w:val="0"/>
                <w:sz w:val="16"/>
                <w:szCs w:val="16"/>
                <w:lang w:val="fr-FR" w:eastAsia="en-GB" w:bidi="ar-SA"/>
              </w:rPr>
              <w:t>{{ s.nb }} stationnement{{s.nb|pl}} de type {{ s.t }}</w:t>
            </w:r>
          </w:p>
        </w:tc>
        <w:tc>
          <w:tcPr>
            <w:tcW w:w="34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fr-FR" w:eastAsia="en-GB" w:bidi="ar-SA"/>
              </w:rPr>
              <w:t>{{s.l</w:t>
            </w:r>
            <w:r>
              <w:rPr>
                <w:rFonts w:eastAsia="Times New Roman" w:cs="TimesNewRomanPSMT" w:ascii="Times New Roman" w:hAnsi="Times New Roman"/>
                <w:kern w:val="0"/>
                <w:sz w:val="16"/>
                <w:szCs w:val="16"/>
                <w:lang w:val="en-US" w:eastAsia="en-GB" w:bidi="ar-SA"/>
              </w:rPr>
              <w:t>|f</w:t>
            </w:r>
            <w:r>
              <w:rPr>
                <w:rFonts w:eastAsia="Times New Roman" w:cs="TimesNewRomanPSMT" w:ascii="Times New Roman" w:hAnsi="Times New Roman"/>
                <w:kern w:val="0"/>
                <w:sz w:val="16"/>
                <w:szCs w:val="16"/>
                <w:lang w:val="fr-FR" w:eastAsia="en-GB" w:bidi="ar-SA"/>
              </w:rPr>
              <w:t>}}</w:t>
            </w:r>
          </w:p>
        </w:tc>
      </w:tr>
      <w:tr>
        <w:trPr/>
        <w:tc>
          <w:tcPr>
            <w:tcW w:w="8267" w:type="dxa"/>
            <w:gridSpan w:val="2"/>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endfor %}</w:t>
            </w:r>
          </w:p>
        </w:tc>
      </w:tr>
    </w:tbl>
    <w:p>
      <w:pPr>
        <w:pStyle w:val="Normal"/>
        <w:jc w:val="both"/>
        <w:rPr>
          <w:rFonts w:ascii="Times New Roman" w:hAnsi="Times New Roman"/>
        </w:rPr>
      </w:pPr>
      <w:r>
        <w:rPr>
          <w:rFonts w:cs="TimesNewRomanPSMT" w:ascii="Times New Roman" w:hAnsi="Times New Roman"/>
          <w:sz w:val="20"/>
        </w:rPr>
        <w:t>{% endif %}</w:t>
      </w:r>
    </w:p>
    <w:p>
      <w:pPr>
        <w:pStyle w:val="Normal"/>
        <w:jc w:val="both"/>
        <w:rPr>
          <w:rFonts w:ascii="Times New Roman" w:hAnsi="Times New Roman"/>
        </w:rPr>
      </w:pPr>
      <w:r>
        <w:rPr>
          <w:rFonts w:cs="TimesNewRomanPSMT" w:ascii="Times New Roman" w:hAnsi="Times New Roman"/>
          <w:sz w:val="20"/>
          <w:lang w:val="en-US"/>
        </w:rPr>
        <w:t>{% if annexes.count()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558"/>
        <w:gridCol w:w="1417"/>
        <w:gridCol w:w="1275"/>
        <w:gridCol w:w="1277"/>
        <w:gridCol w:w="1327"/>
      </w:tblGrid>
      <w:tr>
        <w:trPr/>
        <w:tc>
          <w:tcPr>
            <w:tcW w:w="1413" w:type="dxa"/>
            <w:tcBorders/>
            <w:vAlign w:val="center"/>
          </w:tcPr>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Type d’annexe</w:t>
            </w:r>
          </w:p>
        </w:tc>
        <w:tc>
          <w:tcPr>
            <w:tcW w:w="1558" w:type="dxa"/>
            <w:tcBorders/>
            <w:vAlign w:val="center"/>
          </w:tcPr>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Désignation des logement</w:t>
            </w:r>
          </w:p>
        </w:tc>
        <w:tc>
          <w:tcPr>
            <w:tcW w:w="1417" w:type="dxa"/>
            <w:tcBorders/>
            <w:vAlign w:val="center"/>
          </w:tcPr>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Typologie des logements</w:t>
            </w:r>
          </w:p>
        </w:tc>
        <w:tc>
          <w:tcPr>
            <w:tcW w:w="1275" w:type="dxa"/>
            <w:tcBorders/>
            <w:vAlign w:val="center"/>
          </w:tcPr>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Surface de l’annexe</w:t>
            </w:r>
          </w:p>
        </w:tc>
        <w:tc>
          <w:tcPr>
            <w:tcW w:w="1277" w:type="dxa"/>
            <w:tcBorders/>
            <w:vAlign w:val="center"/>
          </w:tcPr>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Loyer unitaire en €</w:t>
            </w:r>
          </w:p>
        </w:tc>
        <w:tc>
          <w:tcPr>
            <w:tcW w:w="1327" w:type="dxa"/>
            <w:tcBorders/>
            <w:vAlign w:val="center"/>
          </w:tcPr>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Loyer maximun en €</w:t>
            </w:r>
          </w:p>
        </w:tc>
      </w:tr>
      <w:tr>
        <w:trPr/>
        <w:tc>
          <w:tcPr>
            <w:tcW w:w="8267" w:type="dxa"/>
            <w:gridSpan w:val="6"/>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for a in annexes %}</w:t>
            </w:r>
          </w:p>
        </w:tc>
      </w:tr>
      <w:tr>
        <w:trPr/>
        <w:tc>
          <w:tcPr>
            <w:tcW w:w="1413"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{{a.t}}</w:t>
            </w:r>
          </w:p>
        </w:tc>
        <w:tc>
          <w:tcPr>
            <w:tcW w:w="1558"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{{a.lgt.d}}</w:t>
            </w:r>
          </w:p>
        </w:tc>
        <w:tc>
          <w:tcPr>
            <w:tcW w:w="1417"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{{a.lgt.t}}</w:t>
            </w:r>
          </w:p>
        </w:tc>
        <w:tc>
          <w:tcPr>
            <w:tcW w:w="127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{{a.shsr|f}}</w:t>
            </w:r>
          </w:p>
        </w:tc>
        <w:tc>
          <w:tcPr>
            <w:tcW w:w="1277"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{{a.lpmc|f }}</w:t>
            </w:r>
          </w:p>
        </w:tc>
        <w:tc>
          <w:tcPr>
            <w:tcW w:w="1327"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{{a.l|f }}</w:t>
            </w:r>
          </w:p>
        </w:tc>
      </w:tr>
      <w:tr>
        <w:trPr/>
        <w:tc>
          <w:tcPr>
            <w:tcW w:w="8267" w:type="dxa"/>
            <w:gridSpan w:val="6"/>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endfor %}</w:t>
            </w:r>
          </w:p>
        </w:tc>
      </w:tr>
    </w:tbl>
    <w:p>
      <w:pPr>
        <w:pStyle w:val="Normal"/>
        <w:jc w:val="both"/>
        <w:rPr>
          <w:rFonts w:ascii="Times New Roman" w:hAnsi="Times New Roman"/>
        </w:rPr>
      </w:pPr>
      <w:r>
        <w:rPr>
          <w:rFonts w:cs="TimesNewRomanPSMT" w:ascii="Times New Roman" w:hAnsi="Times New Roman"/>
          <w:sz w:val="20"/>
          <w:lang w:val="en-US"/>
        </w:rPr>
        <w:t>{% endif %}</w:t>
      </w:r>
      <w:bookmarkStart w:id="65" w:name="S10"/>
      <w:bookmarkStart w:id="66" w:name="S9"/>
      <w:bookmarkEnd w:id="65"/>
      <w:bookmarkEnd w:id="66"/>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rFonts w:ascii="Times New Roman" w:hAnsi="Times New Roman"/>
        </w:rPr>
        <w:t xml:space="preserve"> </w:t>
      </w:r>
      <w:r>
        <w:rPr>
          <w:rFonts w:cs="TimesNewRomanPSMT" w:ascii="Times New Roman" w:hAnsi="Times New Roman"/>
        </w:rPr>
        <w:t>opposable. Cette faculté n'est utilisable que pour autant qu'aucun locataire du patrimoine appartenant ou géré par le bailleur ne manifeste sa volonté de louer les annexes en cause.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B.-Locaux auxquels ne s'applique pas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bookmarkStart w:id="67" w:name="Locaux"/>
      <w:bookmarkEnd w:id="67"/>
      <w:r>
        <w:rPr>
          <w:rFonts w:cs="TimesNewRomanPSMT" w:ascii="Times New Roman" w:hAnsi="Times New Roman"/>
        </w:rPr>
        <w:t xml:space="preserve">Locaux commerciaux (nombre) :  </w:t>
      </w:r>
      <w:bookmarkStart w:id="68" w:name="Commerce"/>
      <w:bookmarkEnd w:id="68"/>
      <w:r>
        <w:rPr>
          <w:rFonts w:cs="TimesNewRomanPSMT" w:ascii="Times New Roman" w:hAnsi="Times New Roman"/>
        </w:rPr>
        <w:t>{{ programme.nb_locaux_commerciaux or 0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Bureaux (nombre) : </w:t>
      </w:r>
      <w:bookmarkStart w:id="69" w:name="Bureau"/>
      <w:bookmarkEnd w:id="69"/>
      <w:r>
        <w:rPr>
          <w:rFonts w:cs="TimesNewRomanPSMT" w:ascii="Times New Roman" w:hAnsi="Times New Roman"/>
        </w:rPr>
        <w:t>{{ programme.nb_bureaux or 0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Autres : </w:t>
      </w:r>
      <w:bookmarkStart w:id="70" w:name="Autre"/>
      <w:bookmarkEnd w:id="70"/>
      <w:r>
        <w:rPr>
          <w:rFonts w:cs="TimesNewRomanPSMT" w:ascii="Times New Roman" w:hAnsi="Times New Roman"/>
        </w:rPr>
        <w:t>{{ programme.autres_locaux_hors_convention or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4° Origine des propriétés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Vendeur : </w:t>
      </w:r>
      <w:bookmarkStart w:id="71" w:name="Vendeur"/>
      <w:bookmarkEnd w:id="71"/>
      <w:r>
        <w:rPr>
          <w:rFonts w:cs="TimesNewRomanPSMT" w:ascii="Times New Roman" w:hAnsi="Times New Roman"/>
        </w:rPr>
        <w:t>{{ programme.vendeur_text()  }}</w:t>
      </w:r>
    </w:p>
    <w:p>
      <w:pPr>
        <w:pStyle w:val="Normal"/>
        <w:jc w:val="both"/>
        <w:rPr>
          <w:rFonts w:ascii="Times New Roman" w:hAnsi="Times New Roman"/>
        </w:rPr>
      </w:pPr>
      <w:r>
        <w:rPr>
          <w:rFonts w:cs="TimesNewRomanPSMT" w:ascii="Times New Roman" w:hAnsi="Times New Roman"/>
        </w:rPr>
        <w:t>{% for image in vendeur_images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cs="TimesNewRomanPSMT" w:ascii="Times New Roman" w:hAnsi="Times New Roman"/>
        </w:rPr>
        <w:t xml:space="preserve">Acquéreur : </w:t>
      </w:r>
      <w:bookmarkStart w:id="72" w:name="Acquereur"/>
      <w:bookmarkEnd w:id="72"/>
      <w:r>
        <w:rPr>
          <w:rFonts w:cs="TimesNewRomanPSMT" w:ascii="Times New Roman" w:hAnsi="Times New Roman"/>
        </w:rPr>
        <w:t>{{ programme.acquereur_text() }}</w:t>
      </w:r>
    </w:p>
    <w:p>
      <w:pPr>
        <w:pStyle w:val="Normal"/>
        <w:jc w:val="both"/>
        <w:rPr>
          <w:rFonts w:ascii="Times New Roman" w:hAnsi="Times New Roman"/>
        </w:rPr>
      </w:pPr>
      <w:r>
        <w:rPr>
          <w:rFonts w:cs="TimesNewRomanPSMT" w:ascii="Times New Roman" w:hAnsi="Times New Roman"/>
        </w:rPr>
        <w:t>{% for image in acquereur_images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ascii="Times New Roman" w:hAnsi="Times New Roman"/>
        </w:rPr>
        <w:t xml:space="preserve">Acte notarié : </w:t>
      </w:r>
      <w:bookmarkStart w:id="73" w:name="ActeNotaire"/>
      <w:bookmarkEnd w:id="73"/>
      <w:r>
        <w:rPr>
          <w:rFonts w:cs="TimesNewRomanPSMT" w:ascii="Times New Roman" w:hAnsi="Times New Roman"/>
        </w:rPr>
        <w:t>{{ programme.date_acte_notarie|d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lang w:val="en-US"/>
        </w:rPr>
        <w:t xml:space="preserve">Notaire : </w:t>
      </w:r>
      <w:bookmarkStart w:id="74" w:name="Notaire"/>
      <w:bookmarkEnd w:id="74"/>
      <w:r>
        <w:rPr>
          <w:rFonts w:cs="TimesNewRomanPSMT" w:ascii="Times New Roman" w:hAnsi="Times New Roman"/>
          <w:lang w:val="en-US"/>
        </w:rPr>
        <w:t>{{ programme.reference_notaire_text()  }}</w:t>
      </w:r>
    </w:p>
    <w:p>
      <w:pPr>
        <w:pStyle w:val="Normal"/>
        <w:jc w:val="both"/>
        <w:rPr>
          <w:rFonts w:ascii="Times New Roman" w:hAnsi="Times New Roman"/>
        </w:rPr>
      </w:pPr>
      <w:r>
        <w:rPr>
          <w:rFonts w:cs="TimesNewRomanPSMT" w:ascii="Times New Roman" w:hAnsi="Times New Roman"/>
          <w:lang w:val="en-US"/>
        </w:rPr>
        <w:t>{% for image in reference_notaire_images %}</w:t>
      </w:r>
    </w:p>
    <w:p>
      <w:pPr>
        <w:pStyle w:val="Normal"/>
        <w:jc w:val="both"/>
        <w:rPr>
          <w:rFonts w:ascii="Times New Roman" w:hAnsi="Times New Roman"/>
        </w:rPr>
      </w:pPr>
      <w:r>
        <w:rPr>
          <w:rFonts w:cs="TimesNewRomanPSMT" w:ascii="Times New Roman" w:hAnsi="Times New Roman"/>
          <w:lang w:val="en-US"/>
        </w:rPr>
        <w:t>{{image}}</w:t>
      </w:r>
    </w:p>
    <w:p>
      <w:pPr>
        <w:pStyle w:val="Normal"/>
        <w:jc w:val="both"/>
        <w:rPr>
          <w:rFonts w:ascii="Times New Roman" w:hAnsi="Times New Roman" w:cs="TimesNewRomanPSMT"/>
          <w:lang w:val="en-US"/>
        </w:rPr>
      </w:pPr>
      <w:r>
        <w:rPr>
          <w:rFonts w:cs="TimesNewRomanPSMT" w:ascii="Times New Roman" w:hAnsi="Times New Roman"/>
          <w:lang w:val="en-US"/>
        </w:rPr>
      </w:r>
    </w:p>
    <w:p>
      <w:pPr>
        <w:pStyle w:val="Normal"/>
        <w:jc w:val="both"/>
        <w:rPr>
          <w:rFonts w:ascii="Times New Roman" w:hAnsi="Times New Roman"/>
        </w:rPr>
      </w:pPr>
      <w:r>
        <w:rPr>
          <w:rFonts w:cs="TimesNewRomanPSMT" w:ascii="Times New Roman" w:hAnsi="Times New Roman"/>
          <w:lang w:val="en-US"/>
        </w:rPr>
        <w:t>{% endfor %}</w:t>
      </w:r>
    </w:p>
    <w:p>
      <w:pPr>
        <w:pStyle w:val="Normal"/>
        <w:jc w:val="both"/>
        <w:rPr>
          <w:rFonts w:ascii="Times New Roman" w:hAnsi="Times New Roman"/>
        </w:rPr>
      </w:pPr>
      <w:r>
        <w:rPr>
          <w:rFonts w:ascii="Times New Roman" w:hAnsi="Times New Roman"/>
        </w:rPr>
        <w:t xml:space="preserve">Référence publicitaire : </w:t>
      </w:r>
      <w:bookmarkStart w:id="75" w:name="Refpublic"/>
      <w:bookmarkEnd w:id="75"/>
      <w:r>
        <w:rPr>
          <w:rFonts w:cs="TimesNewRomanPSMT" w:ascii="Times New Roman" w:hAnsi="Times New Roman"/>
        </w:rPr>
        <w:t>{{ programme.reference_publication_acte_text() }}</w:t>
      </w:r>
    </w:p>
    <w:p>
      <w:pPr>
        <w:pStyle w:val="Normal"/>
        <w:jc w:val="both"/>
        <w:rPr>
          <w:rFonts w:ascii="Times New Roman" w:hAnsi="Times New Roman"/>
        </w:rPr>
      </w:pPr>
      <w:r>
        <w:rPr>
          <w:rFonts w:cs="TimesNewRomanPSMT" w:ascii="Times New Roman" w:hAnsi="Times New Roman"/>
          <w:lang w:val="en-US"/>
        </w:rPr>
        <w:t>{% for image in reference_publication_acte_images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cs="TimesNewRomanPSMT" w:ascii="Times New Roman" w:hAnsi="Times New Roman"/>
        </w:rPr>
        <w:t xml:space="preserve">5° Renseignements administratifs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5.1. Permis de construire : </w:t>
      </w:r>
      <w:bookmarkStart w:id="76" w:name="PC"/>
      <w:bookmarkEnd w:id="76"/>
      <w:r>
        <w:rPr>
          <w:rFonts w:cs="TimesNewRomanPSMT" w:ascii="Times New Roman" w:hAnsi="Times New Roman"/>
        </w:rPr>
        <w:t>{{ programme.permis_construire or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5.2. Date prévisible ou effective d'achèvement des travaux de construction ou d'amélioration : {{ programme.date_achevement_compile|d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5.3. Date d'achat : </w:t>
      </w:r>
      <w:bookmarkStart w:id="77" w:name="Achat"/>
      <w:bookmarkEnd w:id="77"/>
      <w:r>
        <w:rPr>
          <w:rFonts w:cs="TimesNewRomanPSMT" w:ascii="Times New Roman" w:hAnsi="Times New Roman"/>
        </w:rPr>
        <w:t>{{ programme.date_achat|d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lang w:val="en-US"/>
        </w:rPr>
        <w:t>5.4. Modalités de financement.</w:t>
      </w:r>
    </w:p>
    <w:p>
      <w:pPr>
        <w:pStyle w:val="Normal"/>
        <w:jc w:val="both"/>
        <w:rPr>
          <w:rFonts w:ascii="Times New Roman" w:hAnsi="Times New Roman"/>
        </w:rPr>
      </w:pPr>
      <w:r>
        <w:rPr>
          <w:rFonts w:cs="TimesNewRomanPSMT" w:ascii="Times New Roman" w:hAnsi="Times New Roman"/>
          <w:lang w:val="en-US"/>
        </w:rPr>
        <w:t>{% if prets_cdc.count() %}{% for p in prets_cdc %}</w:t>
      </w:r>
    </w:p>
    <w:p>
      <w:pPr>
        <w:pStyle w:val="ListParagraph"/>
        <w:numPr>
          <w:ilvl w:val="0"/>
          <w:numId w:val="3"/>
        </w:numPr>
        <w:jc w:val="both"/>
        <w:rPr>
          <w:rFonts w:ascii="Times New Roman" w:hAnsi="Times New Roman"/>
        </w:rPr>
      </w:pPr>
      <w:r>
        <w:rPr>
          <w:rFonts w:cs="TimesNewRomanPSMT" w:ascii="Times New Roman" w:hAnsi="Times New Roman"/>
        </w:rPr>
        <w:t>Numéro : {{ p.n }}</w:t>
      </w:r>
    </w:p>
    <w:p>
      <w:pPr>
        <w:pStyle w:val="ListParagraph"/>
        <w:numPr>
          <w:ilvl w:val="0"/>
          <w:numId w:val="3"/>
        </w:numPr>
        <w:jc w:val="both"/>
        <w:rPr>
          <w:rFonts w:ascii="Times New Roman" w:hAnsi="Times New Roman"/>
        </w:rPr>
      </w:pPr>
      <w:r>
        <w:rPr>
          <w:rFonts w:cs="TimesNewRomanPSMT" w:ascii="Times New Roman" w:hAnsi="Times New Roman"/>
        </w:rPr>
        <w:t>Date d’octroi : {{ p.do|sd }}</w:t>
      </w:r>
    </w:p>
    <w:p>
      <w:pPr>
        <w:pStyle w:val="ListParagraph"/>
        <w:numPr>
          <w:ilvl w:val="0"/>
          <w:numId w:val="3"/>
        </w:numPr>
        <w:jc w:val="both"/>
        <w:rPr>
          <w:rFonts w:ascii="Times New Roman" w:hAnsi="Times New Roman"/>
        </w:rPr>
      </w:pPr>
      <w:r>
        <w:rPr>
          <w:rFonts w:cs="TimesNewRomanPSMT" w:ascii="Times New Roman" w:hAnsi="Times New Roman"/>
        </w:rPr>
        <w:t>Durée: {{ p.d }} an{{ p.d|pl }}</w:t>
      </w:r>
    </w:p>
    <w:p>
      <w:pPr>
        <w:pStyle w:val="ListParagraph"/>
        <w:numPr>
          <w:ilvl w:val="0"/>
          <w:numId w:val="3"/>
        </w:numPr>
        <w:jc w:val="both"/>
        <w:rPr>
          <w:rFonts w:ascii="Times New Roman" w:hAnsi="Times New Roman"/>
        </w:rPr>
      </w:pPr>
      <w:r>
        <w:rPr>
          <w:rFonts w:cs="TimesNewRomanPSMT" w:ascii="Times New Roman" w:hAnsi="Times New Roman"/>
        </w:rPr>
        <w:t>Montant : {{ p.m|f }} €</w:t>
      </w:r>
    </w:p>
    <w:p>
      <w:pPr>
        <w:pStyle w:val="ListParagraph"/>
        <w:numPr>
          <w:ilvl w:val="0"/>
          <w:numId w:val="3"/>
        </w:numPr>
        <w:jc w:val="both"/>
        <w:rPr>
          <w:rFonts w:ascii="Times New Roman" w:hAnsi="Times New Roman"/>
        </w:rPr>
      </w:pPr>
      <w:r>
        <w:rPr>
          <w:rFonts w:cs="TimesNewRomanPSMT" w:ascii="Times New Roman" w:hAnsi="Times New Roman"/>
        </w:rPr>
        <w:t>Prêteur : {{ p.p_full() }}</w:t>
      </w:r>
    </w:p>
    <w:p>
      <w:pPr>
        <w:pStyle w:val="Normal"/>
        <w:jc w:val="both"/>
        <w:rPr>
          <w:rFonts w:ascii="Times New Roman" w:hAnsi="Times New Roman"/>
        </w:rPr>
      </w:pPr>
      <w:r>
        <w:rPr>
          <w:rFonts w:cs="TimesNewRomanPSMT" w:ascii="Times New Roman" w:hAnsi="Times New Roman"/>
          <w:lang w:val="en-US"/>
        </w:rPr>
        <w:t>{% endfor %}</w:t>
      </w:r>
      <w:r>
        <w:rPr>
          <w:rFonts w:ascii="Times New Roman" w:hAnsi="Times New Roman"/>
        </w:rPr>
        <w:t>{% endif %}</w:t>
      </w:r>
    </w:p>
    <w:p>
      <w:pPr>
        <w:pStyle w:val="Normal"/>
        <w:jc w:val="both"/>
        <w:rPr>
          <w:rFonts w:ascii="Times New Roman" w:hAnsi="Times New Roman"/>
        </w:rPr>
      </w:pPr>
      <w:bookmarkStart w:id="78" w:name="Etat"/>
      <w:bookmarkEnd w:id="78"/>
      <w:r>
        <w:rPr>
          <w:rFonts w:cs="TimesNewRomanPSMT" w:ascii="Times New Roman" w:hAnsi="Times New Roman"/>
        </w:rPr>
        <w:t>{% if autres_prets.count() %} Financement complémentaire :</w:t>
      </w:r>
    </w:p>
    <w:p>
      <w:pPr>
        <w:pStyle w:val="Normal"/>
        <w:jc w:val="both"/>
        <w:rPr>
          <w:rFonts w:ascii="Times New Roman" w:hAnsi="Times New Roman"/>
        </w:rPr>
      </w:pPr>
      <w:r>
        <w:rPr>
          <w:rFonts w:cs="TimesNewRomanPSMT" w:ascii="Times New Roman" w:hAnsi="Times New Roman"/>
          <w:lang w:val="en-US"/>
        </w:rPr>
        <w:t>{% for p in autres_prets %}{% if p.n %}</w:t>
      </w:r>
    </w:p>
    <w:p>
      <w:pPr>
        <w:pStyle w:val="ListParagraph"/>
        <w:numPr>
          <w:ilvl w:val="0"/>
          <w:numId w:val="3"/>
        </w:numPr>
        <w:jc w:val="both"/>
        <w:rPr>
          <w:rFonts w:ascii="Times New Roman" w:hAnsi="Times New Roman"/>
        </w:rPr>
      </w:pPr>
      <w:r>
        <w:rPr>
          <w:rFonts w:cs="TimesNewRomanPSMT" w:ascii="Times New Roman" w:hAnsi="Times New Roman"/>
          <w:lang w:val="en-US"/>
        </w:rPr>
        <w:t>Numéro : {{ p.n }}</w:t>
      </w:r>
      <w:r>
        <w:rPr>
          <w:rFonts w:ascii="Times New Roman" w:hAnsi="Times New Roman"/>
          <w:lang w:val="en-US"/>
        </w:rPr>
        <w:t>{% endif %}</w:t>
      </w:r>
      <w:r>
        <w:rPr>
          <w:rFonts w:cs="TimesNewRomanPSMT" w:ascii="Times New Roman" w:hAnsi="Times New Roman"/>
          <w:lang w:val="en-US"/>
        </w:rPr>
        <w:t>{% if p.do %}</w:t>
      </w:r>
    </w:p>
    <w:p>
      <w:pPr>
        <w:pStyle w:val="ListParagraph"/>
        <w:numPr>
          <w:ilvl w:val="0"/>
          <w:numId w:val="3"/>
        </w:numPr>
        <w:jc w:val="both"/>
        <w:rPr>
          <w:rFonts w:ascii="Times New Roman" w:hAnsi="Times New Roman"/>
        </w:rPr>
      </w:pPr>
      <w:r>
        <w:rPr>
          <w:rFonts w:cs="TimesNewRomanPSMT" w:ascii="Times New Roman" w:hAnsi="Times New Roman"/>
          <w:lang w:val="en-US"/>
        </w:rPr>
        <w:t>Date d’octroi : {{ p.do|sd }}</w:t>
      </w:r>
      <w:r>
        <w:rPr>
          <w:rFonts w:ascii="Times New Roman" w:hAnsi="Times New Roman"/>
          <w:lang w:val="en-US"/>
        </w:rPr>
        <w:t>{% endif %}</w:t>
      </w:r>
      <w:r>
        <w:rPr>
          <w:rFonts w:cs="TimesNewRomanPSMT" w:ascii="Times New Roman" w:hAnsi="Times New Roman"/>
          <w:lang w:val="en-US"/>
        </w:rPr>
        <w:t>{% if p.d %}</w:t>
      </w:r>
    </w:p>
    <w:p>
      <w:pPr>
        <w:pStyle w:val="ListParagraph"/>
        <w:numPr>
          <w:ilvl w:val="0"/>
          <w:numId w:val="3"/>
        </w:numPr>
        <w:jc w:val="both"/>
        <w:rPr>
          <w:rFonts w:ascii="Times New Roman" w:hAnsi="Times New Roman"/>
        </w:rPr>
      </w:pPr>
      <w:r>
        <w:rPr>
          <w:rFonts w:cs="TimesNewRomanPSMT" w:ascii="Times New Roman" w:hAnsi="Times New Roman"/>
          <w:lang w:val="en-US"/>
        </w:rPr>
        <w:t>Durée : {{ p.d }} an{{ p.d|pl }}</w:t>
      </w:r>
      <w:r>
        <w:rPr>
          <w:rFonts w:ascii="Times New Roman" w:hAnsi="Times New Roman"/>
          <w:lang w:val="en-US"/>
        </w:rPr>
        <w:t>{% endif %}</w:t>
      </w:r>
      <w:r>
        <w:rPr>
          <w:rFonts w:cs="TimesNewRomanPSMT" w:ascii="Times New Roman" w:hAnsi="Times New Roman"/>
          <w:lang w:val="en-US"/>
        </w:rPr>
        <w:t>{% if p.m %}</w:t>
      </w:r>
    </w:p>
    <w:p>
      <w:pPr>
        <w:pStyle w:val="ListParagraph"/>
        <w:numPr>
          <w:ilvl w:val="0"/>
          <w:numId w:val="3"/>
        </w:numPr>
        <w:jc w:val="both"/>
        <w:rPr>
          <w:rFonts w:ascii="Times New Roman" w:hAnsi="Times New Roman"/>
        </w:rPr>
      </w:pPr>
      <w:r>
        <w:rPr>
          <w:rFonts w:cs="TimesNewRomanPSMT" w:ascii="Times New Roman" w:hAnsi="Times New Roman"/>
          <w:lang w:val="en-US"/>
        </w:rPr>
        <w:t>Montant : {{ p.m|f }} €</w:t>
      </w:r>
      <w:r>
        <w:rPr>
          <w:rFonts w:ascii="Times New Roman" w:hAnsi="Times New Roman"/>
          <w:lang w:val="en-US"/>
        </w:rPr>
        <w:t>{% endif %}</w:t>
      </w:r>
      <w:r>
        <w:rPr>
          <w:rFonts w:cs="TimesNewRomanPSMT" w:ascii="Times New Roman" w:hAnsi="Times New Roman"/>
          <w:lang w:val="en-US"/>
        </w:rPr>
        <w:t>{% if p.preteur_display() %}</w:t>
      </w:r>
    </w:p>
    <w:p>
      <w:pPr>
        <w:pStyle w:val="ListParagraph"/>
        <w:numPr>
          <w:ilvl w:val="0"/>
          <w:numId w:val="3"/>
        </w:numPr>
        <w:jc w:val="both"/>
        <w:rPr>
          <w:rFonts w:ascii="Times New Roman" w:hAnsi="Times New Roman"/>
        </w:rPr>
      </w:pPr>
      <w:r>
        <w:rPr>
          <w:rFonts w:cs="TimesNewRomanPSMT" w:ascii="Times New Roman" w:hAnsi="Times New Roman"/>
        </w:rPr>
        <w:t>Prêteur : {{ p.preteur_display() }}</w:t>
      </w:r>
      <w:r>
        <w:rPr>
          <w:rFonts w:ascii="Times New Roman" w:hAnsi="Times New Roman"/>
        </w:rPr>
        <w:t>{% endif %}</w:t>
      </w:r>
    </w:p>
    <w:p>
      <w:pPr>
        <w:pStyle w:val="Normal"/>
        <w:jc w:val="both"/>
        <w:rPr>
          <w:rFonts w:ascii="Times New Roman" w:hAnsi="Times New Roman"/>
        </w:rPr>
      </w:pPr>
      <w:r>
        <w:rPr>
          <w:rFonts w:cs="TimesNewRomanPSMT" w:ascii="Times New Roman" w:hAnsi="Times New Roman"/>
        </w:rPr>
        <w:t>{% endfor %}</w:t>
      </w:r>
      <w:r>
        <w:rPr>
          <w:rFonts w:ascii="Times New Roman" w:hAnsi="Times New Roman"/>
        </w:rPr>
        <w:t>{% endif %}</w:t>
      </w:r>
    </w:p>
    <w:p>
      <w:pPr>
        <w:pStyle w:val="Normal"/>
        <w:jc w:val="both"/>
        <w:rPr>
          <w:rFonts w:ascii="Times New Roman" w:hAnsi="Times New Roman"/>
        </w:rPr>
      </w:pPr>
      <w:bookmarkStart w:id="79" w:name="Fondpropre"/>
      <w:bookmarkEnd w:id="79"/>
      <w:r>
        <w:rPr>
          <w:rFonts w:cs="TimesNewRomanPSMT" w:ascii="Times New Roman" w:hAnsi="Times New Roman"/>
        </w:rPr>
        <w:t>{% if convention.fond_propre %}Fond propre : {{ convention.fond_propre|f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 endif %}Date d'achèvement de la construction ou certificat de conformité : </w:t>
      </w:r>
      <w:bookmarkStart w:id="80" w:name="Construc"/>
      <w:bookmarkEnd w:id="80"/>
      <w:r>
        <w:rPr>
          <w:rFonts w:cs="TimesNewRomanPSMT" w:ascii="Times New Roman" w:hAnsi="Times New Roman"/>
        </w:rPr>
        <w:t>{{ programme.date_achevement|d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ascii="Times New Roman" w:hAnsi="Times New Roman"/>
        </w:rPr>
        <mc:AlternateContent>
          <mc:Choice Requires="wps">
            <w:drawing>
              <wp:inline distT="0" distB="0" distL="0" distR="0" wp14:anchorId="6A4E3B60">
                <wp:extent cx="5231765" cy="2715895"/>
                <wp:effectExtent l="0" t="0" r="635" b="1905"/>
                <wp:docPr id="3" name="Shap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bailleur (6),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6A4E3B60">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bailleur (6),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p>
      <w:pPr>
        <w:pStyle w:val="Normal"/>
        <w:rPr>
          <w:rFonts w:ascii="Times New Roman" w:hAnsi="Times New Roman"/>
        </w:rPr>
      </w:pPr>
      <w:r>
        <w:rPr>
          <w:rFonts w:ascii="Times New Roman" w:hAnsi="Times New Roman"/>
        </w:rPr>
      </w:r>
    </w:p>
    <w:p>
      <w:pPr>
        <w:pStyle w:val="Normal"/>
        <w:spacing w:beforeAutospacing="1" w:afterAutospacing="1"/>
        <w:rPr>
          <w:rFonts w:ascii="Times New Roman" w:hAnsi="Times New Roman"/>
        </w:rPr>
      </w:pPr>
      <w:r>
        <w:rPr>
          <w:rFonts w:cs="TimesNewRomanPSMT" w:ascii="Times New Roman" w:hAnsi="Times New Roman"/>
          <w:sz w:val="16"/>
          <w:szCs w:val="16"/>
        </w:rPr>
        <w:t>(1) La société d'économie mixte de construction et de gestion de logements sociaux ne doit pas avoir demandé l'application de l'article L. 353-18 du code de la construction et de l'habitation pour l'opération faisant l'objet de la présente convention.</w:t>
        <w:br/>
        <w:br/>
        <w:t>(2) Nom de la société d'économie mixte de construction immobilière identifiée conformément aux dispositions de l'article 6 du décret n° 55-22 du 4 janvier 1955 modifié portant réforme de la publicité foncière.</w:t>
        <w:br/>
        <w:br/>
        <w:t>(3) Si la présente convention est passée pour une résidence universitaire définie à l’article L. 631-12 du code de la construction et de l’habitation, faire précéder le nom de l’opération de la mention « Résidence universitaire ».</w:t>
        <w:br/>
        <w:br/>
        <w:t>(4) Indiquer le nom de son représentant.</w:t>
        <w:br/>
        <w:br/>
        <w:t>(5) Indiquer le plus petit nombre entier permettant de respecter l'engagement de 30 %.</w:t>
        <w:br/>
        <w:br/>
        <w:t>(6) Indiquer un nombre.</w:t>
        <w:br/>
        <w:br/>
        <w:t>(7) Le bailleur doit avoir, préalablement à sa signature, paraphé chacune des pages.</w:t>
        <w:br/>
        <w:br/>
        <w:t>(8) Etablie conformément à l'article 7 du décret n° 55-22 du 4 janvier 1955 modifié portant réforme de la publicité foncière.</w:t>
      </w:r>
      <w:r>
        <w:br w:type="page"/>
      </w:r>
    </w:p>
    <w:p>
      <w:pPr>
        <w:pStyle w:val="Normal"/>
        <w:keepLines/>
        <w:jc w:val="both"/>
        <w:rPr>
          <w:rFonts w:ascii="Times New Roman" w:hAnsi="Times New Roman"/>
        </w:rPr>
      </w:pPr>
      <w:r>
        <w:rPr>
          <w:rFonts w:cs="TimesNewRomanPSMT" w:ascii="Times New Roman" w:hAnsi="Times New Roman"/>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ascii="Times New Roman" w:hAnsi="Times New Roman"/>
          <w:b/>
          <w:szCs w:val="22"/>
        </w:rPr>
        <w:fldChar w:fldCharType="begin"/>
      </w:r>
      <w:r>
        <w:rPr>
          <w:b/>
          <w:szCs w:val="22"/>
          <w:rFonts w:cs="TimesNewRomanPSMT" w:ascii="Times New Roman" w:hAnsi="Times New Roman"/>
        </w:rPr>
        <w:instrText xml:space="preserve"> NUMPAGES </w:instrText>
      </w:r>
      <w:r>
        <w:rPr>
          <w:b/>
          <w:szCs w:val="22"/>
          <w:rFonts w:cs="TimesNewRomanPSMT" w:ascii="Times New Roman" w:hAnsi="Times New Roman"/>
        </w:rPr>
        <w:fldChar w:fldCharType="separate"/>
      </w:r>
      <w:r>
        <w:rPr>
          <w:b/>
          <w:szCs w:val="22"/>
          <w:rFonts w:cs="TimesNewRomanPSMT" w:ascii="Times New Roman" w:hAnsi="Times New Roman"/>
        </w:rPr>
        <w:t>22</w:t>
      </w:r>
      <w:r>
        <w:rPr>
          <w:b/>
          <w:szCs w:val="22"/>
          <w:rFonts w:cs="TimesNewRomanPSMT" w:ascii="Times New Roman" w:hAnsi="Times New Roman"/>
        </w:rPr>
        <w:fldChar w:fldCharType="end"/>
      </w:r>
      <w:r>
        <w:rPr>
          <w:rFonts w:cs="TimesNewRomanPSMT" w:ascii="Times New Roman" w:hAnsi="Times New Roman"/>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 New Roman" w:hAnsi="Times New Roman" w:cs="TimesNewRomanPSMT"/>
          <w:szCs w:val="22"/>
        </w:rPr>
      </w:pPr>
      <w:r>
        <w:rPr>
          <w:rFonts w:cs="TimesNewRomanPSMT" w:ascii="Times New Roman" w:hAnsi="Times New Roman"/>
          <w:szCs w:val="22"/>
        </w:rPr>
      </w:r>
    </w:p>
    <w:p>
      <w:pPr>
        <w:pStyle w:val="Normal"/>
        <w:keepLines/>
        <w:jc w:val="both"/>
        <w:rPr>
          <w:rFonts w:ascii="Times New Roman" w:hAnsi="Times New Roman"/>
        </w:rPr>
      </w:pPr>
      <w:r>
        <w:rPr>
          <w:rFonts w:cs="TimesNewRomanPSMT" w:ascii="Times New Roman" w:hAnsi="Times New Roman"/>
          <w:szCs w:val="22"/>
        </w:rPr>
        <w:t xml:space="preserve">Il certifie que l'identité complète des parties dénommées en en-tête du présent document lui a été régulièrement justifiée </w:t>
      </w:r>
      <w:r>
        <w:rPr>
          <w:rFonts w:cs="TimesNewRomanPSMT" w:ascii="Times New Roman" w:hAnsi="Times New Roman"/>
          <w:szCs w:val="22"/>
          <w:lang w:eastAsia="fr-FR"/>
        </w:rPr>
        <w:t xml:space="preserve">au vu </w:t>
      </w:r>
      <w:r>
        <w:rPr>
          <w:rFonts w:cs="TimesNewRomanPSMT" w:ascii="Times New Roman" w:hAnsi="Times New Roman"/>
          <w:color w:val="000000"/>
          <w:szCs w:val="22"/>
          <w:lang w:eastAsia="fr-FR"/>
        </w:rPr>
        <w:t xml:space="preserve">des statuts et de l'avis d'identification délivré par l'INSEE par son numéro SIRET </w:t>
      </w:r>
      <w:bookmarkStart w:id="81" w:name="Siret2"/>
      <w:bookmarkEnd w:id="81"/>
      <w:r>
        <w:rPr>
          <w:rFonts w:cs="TimesNewRomanPSMT" w:ascii="Times New Roman" w:hAnsi="Times New Roman"/>
          <w:color w:val="000000"/>
          <w:szCs w:val="22"/>
          <w:lang w:eastAsia="fr-FR"/>
        </w:rPr>
        <w:t>{{ bailleur.siret }}</w:t>
      </w:r>
    </w:p>
    <w:p>
      <w:pPr>
        <w:pStyle w:val="Normal"/>
        <w:ind w:left="2127" w:right="-6" w:hanging="0"/>
        <w:jc w:val="both"/>
        <w:rPr>
          <w:rFonts w:ascii="Times New Roman" w:hAnsi="Times New Roman" w:cs="TimesNewRomanPSMT"/>
          <w:color w:val="0000FF"/>
          <w:szCs w:val="22"/>
        </w:rPr>
      </w:pPr>
      <w:r>
        <w:rPr>
          <w:rFonts w:cs="TimesNewRomanPSMT" w:ascii="Times New Roman" w:hAnsi="Times New Roman"/>
          <w:color w:val="0000FF"/>
          <w:szCs w:val="22"/>
        </w:rPr>
      </w:r>
    </w:p>
    <w:p>
      <w:pPr>
        <w:pStyle w:val="Normal"/>
        <w:keepLines/>
        <w:jc w:val="both"/>
        <w:rPr>
          <w:rFonts w:ascii="Times New Roman" w:hAnsi="Times New Roman"/>
        </w:rPr>
      </w:pPr>
      <w:r>
        <w:rPr>
          <w:rFonts w:cs="TimesNewRomanPSMT" w:ascii="Times New Roman" w:hAnsi="Times New Roman"/>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hanging="0"/>
        <w:jc w:val="both"/>
        <w:rPr>
          <w:rFonts w:ascii="Times New Roman" w:hAnsi="Times New Roman" w:cs="TimesNewRomanPSMT"/>
          <w:color w:val="000000"/>
          <w:szCs w:val="22"/>
        </w:rPr>
      </w:pPr>
      <w:r>
        <w:rPr>
          <w:rFonts w:cs="TimesNewRomanPSMT" w:ascii="Times New Roman" w:hAnsi="Times New Roman"/>
          <w:color w:val="000000"/>
          <w:szCs w:val="22"/>
        </w:rPr>
      </w:r>
    </w:p>
    <w:p>
      <w:pPr>
        <w:pStyle w:val="Normal"/>
        <w:ind w:left="2127" w:right="-6" w:hanging="0"/>
        <w:jc w:val="both"/>
        <w:rPr>
          <w:rFonts w:ascii="Times New Roman" w:hAnsi="Times New Roman" w:cs="TimesNewRomanPSMT"/>
          <w:color w:val="000000"/>
          <w:szCs w:val="22"/>
        </w:rPr>
      </w:pPr>
      <w:r>
        <w:rPr>
          <w:rFonts w:cs="TimesNewRomanPSMT" w:ascii="Times New Roman" w:hAnsi="Times New Roman"/>
          <w:color w:val="000000"/>
          <w:szCs w:val="22"/>
        </w:rPr>
      </w:r>
    </w:p>
    <w:p>
      <w:pPr>
        <w:pStyle w:val="Normal"/>
        <w:keepLines/>
        <w:tabs>
          <w:tab w:val="clear" w:pos="708"/>
          <w:tab w:val="left" w:pos="9069" w:leader="none"/>
        </w:tabs>
        <w:ind w:right="283" w:hanging="0"/>
        <w:jc w:val="both"/>
        <w:rPr>
          <w:rFonts w:ascii="Times New Roman" w:hAnsi="Times New Roman"/>
        </w:rPr>
      </w:pPr>
      <w:r>
        <w:rPr>
          <w:rFonts w:cs="TimesNewRomanPSMT" w:ascii="Times New Roman" w:hAnsi="Times New Roman"/>
          <w:color w:val="000000"/>
          <w:szCs w:val="22"/>
        </w:rPr>
        <w:t xml:space="preserve">A </w:t>
      </w:r>
      <w:r>
        <w:rPr>
          <w:rFonts w:cs="TimesNewRomanPSMT" w:ascii="Times New Roman" w:hAnsi="Times New Roman"/>
        </w:rPr>
        <w:t>{{ administration.get_ville_signature_or_empty() }}</w:t>
      </w:r>
      <w:r>
        <w:rPr>
          <w:rFonts w:cs="TimesNewRomanPSMT" w:ascii="Times New Roman" w:hAnsi="Times New Roman"/>
          <w:color w:val="000000"/>
          <w:szCs w:val="22"/>
        </w:rPr>
        <w:t>, le</w:t>
      </w:r>
    </w:p>
    <w:p>
      <w:pPr>
        <w:pStyle w:val="Normal"/>
        <w:keepLines/>
        <w:tabs>
          <w:tab w:val="clear" w:pos="708"/>
          <w:tab w:val="left" w:pos="9069" w:leader="none"/>
        </w:tabs>
        <w:ind w:right="283" w:hanging="0"/>
        <w:jc w:val="both"/>
        <w:rPr>
          <w:rFonts w:ascii="Times New Roman" w:hAnsi="Times New Roman" w:cs="TimesNewRomanPSMT"/>
          <w:color w:val="000000"/>
          <w:szCs w:val="22"/>
        </w:rPr>
      </w:pPr>
      <w:r>
        <w:rPr>
          <w:rFonts w:cs="TimesNewRomanPSMT" w:ascii="Times New Roman" w:hAnsi="Times New Roman"/>
          <w:color w:val="000000"/>
          <w:szCs w:val="22"/>
        </w:rPr>
      </w:r>
    </w:p>
    <w:p>
      <w:pPr>
        <w:pStyle w:val="Normal"/>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Normal"/>
        <w:keepLines/>
        <w:tabs>
          <w:tab w:val="clear" w:pos="708"/>
          <w:tab w:val="left" w:pos="9069" w:leader="none"/>
        </w:tabs>
        <w:ind w:right="283" w:hanging="0"/>
        <w:jc w:val="bot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Unicode MS">
    <w:charset w:val="01"/>
    <w:family w:val="roman"/>
    <w:pitch w:val="variable"/>
  </w:font>
  <w:font w:name="TimesNewRomanPS-BoldMT">
    <w:charset w:val="01"/>
    <w:family w:val="roman"/>
    <w:pitch w:val="variable"/>
  </w:font>
  <w:font w:name="TimesNewRomanPSMT">
    <w:charset w:val="01"/>
    <w:family w:val="roman"/>
    <w:pitch w:val="variable"/>
  </w:font>
  <w:font w:name="TimesNewRomanPS">
    <w:charset w:val="01"/>
    <w:family w:val="roman"/>
    <w:pitch w:val="variable"/>
  </w:font>
  <w:font w:name="Times New Roman">
    <w:charset w:val="01"/>
    <w:family w:val="roman"/>
    <w:pitch w:val="default"/>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360048844" o:spid="shape_0" fillcolor="#7f7f7f" stroked="f" o:allowincell="f" style="position:absolute;margin-left:-72.75pt;margin-top:334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75" wp14:anchorId="1C468005">
              <wp:simplePos x="0" y="0"/>
              <wp:positionH relativeFrom="page">
                <wp:posOffset>5425440</wp:posOffset>
              </wp:positionH>
              <wp:positionV relativeFrom="page">
                <wp:posOffset>254000</wp:posOffset>
              </wp:positionV>
              <wp:extent cx="264160" cy="223520"/>
              <wp:effectExtent l="0" t="0" r="0" b="0"/>
              <wp:wrapSquare wrapText="largest"/>
              <wp:docPr id="6" name="Text Box 2"/>
              <a:graphic xmlns:a="http://schemas.openxmlformats.org/drawingml/2006/main">
                <a:graphicData uri="http://schemas.microsoft.com/office/word/2010/wordprocessingShape">
                  <wps:wsp>
                    <wps:cNvSpPr/>
                    <wps:spPr>
                      <a:xfrm>
                        <a:off x="0" y="0"/>
                        <a:ext cx="264240" cy="22356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22</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20pt;width:20.75pt;height:17.5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22</w:t>
                    </w:r>
                    <w:r>
                      <w:rPr>
                        <w:rStyle w:val="Pagenumber"/>
                        <w:sz w:val="22"/>
                        <w:szCs w:val="22"/>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w:pict>
        <v:shape id="PowerPlusWaterMarkObject1360048845" o:spid="shape_0" fillcolor="#7f7f7f" stroked="f" o:allowincell="f" style="position:absolute;margin-left:-72.75pt;margin-top:334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48" wp14:anchorId="6DE7176B">
              <wp:simplePos x="0" y="0"/>
              <wp:positionH relativeFrom="page">
                <wp:posOffset>6837680</wp:posOffset>
              </wp:positionH>
              <wp:positionV relativeFrom="page">
                <wp:posOffset>254000</wp:posOffset>
              </wp:positionV>
              <wp:extent cx="264160" cy="233680"/>
              <wp:effectExtent l="0" t="0" r="0" b="0"/>
              <wp:wrapSquare wrapText="largest"/>
              <wp:docPr id="9" name="Text Box 2"/>
              <a:graphic xmlns:a="http://schemas.openxmlformats.org/drawingml/2006/main">
                <a:graphicData uri="http://schemas.microsoft.com/office/word/2010/wordprocessingShape">
                  <wps:wsp>
                    <wps:cNvSpPr/>
                    <wps:spPr>
                      <a:xfrm>
                        <a:off x="0" y="0"/>
                        <a:ext cx="264240" cy="23364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21</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18.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21</w:t>
                    </w:r>
                    <w:r>
                      <w:rPr>
                        <w:rStyle w:val="Pagenumber"/>
                        <w:sz w:val="22"/>
                        <w:szCs w:val="22"/>
                      </w:rPr>
                      <w:fldChar w:fldCharType="end"/>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spacing w:before="0" w:after="0"/>
            <w:jc w:val="left"/>
            <w:rPr>
              <w:sz w:val="12"/>
              <w:szCs w:val="12"/>
            </w:rPr>
          </w:pPr>
          <w:r>
            <w:rPr>
              <w:rFonts w:eastAsia="Times New Roman" w:cs="Times New Roman"/>
              <w:kern w:val="0"/>
              <w:sz w:val="12"/>
              <w:szCs w:val="12"/>
              <w:lang w:val="fr-FR" w:eastAsia="en-GB" w:bidi="ar-SA"/>
            </w:rPr>
            <mc:AlternateContent>
              <mc:Choice Requires="wpg">
                <w:drawing>
                  <wp:anchor behindDoc="1" distT="0" distB="0" distL="0" distR="0" simplePos="0" locked="0" layoutInCell="1" allowOverlap="1" relativeHeight="52" wp14:anchorId="0664A23D">
                    <wp:simplePos x="0" y="0"/>
                    <wp:positionH relativeFrom="page">
                      <wp:posOffset>5088255</wp:posOffset>
                    </wp:positionH>
                    <wp:positionV relativeFrom="page">
                      <wp:posOffset>12700</wp:posOffset>
                    </wp:positionV>
                    <wp:extent cx="271145" cy="193040"/>
                    <wp:effectExtent l="0" t="635" r="1270" b="0"/>
                    <wp:wrapNone/>
                    <wp:docPr id="11" name="Group 14"/>
                    <a:graphic xmlns:a="http://schemas.openxmlformats.org/drawingml/2006/main">
                      <a:graphicData uri="http://schemas.microsoft.com/office/word/2010/wordprocessingGroup">
                        <wpg:wgp>
                          <wpg:cNvGrpSpPr/>
                          <wpg:grpSpPr>
                            <a:xfrm>
                              <a:off x="0" y="0"/>
                              <a:ext cx="271080" cy="192960"/>
                              <a:chOff x="0" y="0"/>
                              <a:chExt cx="271080" cy="192960"/>
                            </a:xfrm>
                          </wpg:grpSpPr>
                          <wps:wsp>
                            <wps:cNvSpPr/>
                            <wps:spPr>
                              <a:xfrm>
                                <a:off x="4320" y="4320"/>
                                <a:ext cx="266760" cy="188640"/>
                              </a:xfrm>
                              <a:prstGeom prst="roundRect">
                                <a:avLst>
                                  <a:gd name="adj" fmla="val 16667"/>
                                </a:avLst>
                              </a:prstGeom>
                              <a:noFill/>
                              <a:ln w="0">
                                <a:noFill/>
                              </a:ln>
                            </wps:spPr>
                            <wps:style>
                              <a:lnRef idx="0"/>
                              <a:fillRef idx="0"/>
                              <a:effectRef idx="0"/>
                              <a:fontRef idx="minor"/>
                            </wps:style>
                            <wps:bodyPr/>
                          </wps:wsp>
                          <wps:wsp>
                            <wps:cNvSpPr/>
                            <wps:spPr>
                              <a:xfrm>
                                <a:off x="0" y="0"/>
                                <a:ext cx="266760" cy="1886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wps:txbx>
                            <wps:bodyPr lIns="12600" rIns="12600" tIns="22320" bIns="22320" anchor="ctr">
                              <a:noAutofit/>
                            </wps:bodyPr>
                          </wps:wsp>
                        </wpg:wgp>
                      </a:graphicData>
                    </a:graphic>
                  </wp:anchor>
                </w:drawing>
              </mc:Choice>
              <mc:Fallback>
                <w:pict>
                  <v:group id="shape_0" alt="Group 14" style="position:absolute;margin-left:400.65pt;margin-top:1pt;width:21.35pt;height:15.15pt" coordorigin="8013,20" coordsize="427,303">
                    <v:rect id="shape_0" ID="Text Box 16" path="m0,0l-2147483645,0l-2147483645,-2147483646l0,-2147483646xe" stroked="f" o:allowincell="t" style="position:absolute;left:8013;top:20;width:419;height:29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p>
        <w:p>
          <w:pPr>
            <w:pStyle w:val="Normal"/>
            <w:widowControl/>
            <w:spacing w:before="0" w:after="0"/>
            <w:jc w:val="center"/>
            <w:rPr>
              <w:rFonts w:ascii="Times New Roman" w:hAnsi="Times New Roman" w:eastAsia="Times New Roman" w:cs="Times New Roman"/>
              <w:kern w:val="0"/>
              <w:lang w:val="fr-FR" w:eastAsia="en-GB" w:bidi="ar-SA"/>
            </w:rPr>
          </w:pPr>
          <w:r>
            <w:rPr>
              <w:rFonts w:eastAsia="Times New Roman" w:cs="Times New Roman"/>
              <w:kern w:val="0"/>
              <w:lang w:val="fr-FR" w:eastAsia="en-GB" w:bidi="ar-SA"/>
            </w:rPr>
            <mc:AlternateContent>
              <mc:Choice Requires="wps">
                <w:drawing>
                  <wp:anchor behindDoc="1" distT="0" distB="0" distL="0" distR="0" simplePos="0" locked="0" layoutInCell="1" allowOverlap="1" relativeHeight="50" wp14:anchorId="4BE100B5">
                    <wp:simplePos x="0" y="0"/>
                    <wp:positionH relativeFrom="column">
                      <wp:posOffset>4092575</wp:posOffset>
                    </wp:positionH>
                    <wp:positionV relativeFrom="page">
                      <wp:posOffset>184785</wp:posOffset>
                    </wp:positionV>
                    <wp:extent cx="798830" cy="306705"/>
                    <wp:effectExtent l="0" t="0" r="0" b="0"/>
                    <wp:wrapNone/>
                    <wp:docPr id="12"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pPr>
                                <w:r>
                                  <w:rPr>
                                    <w:sz w:val="20"/>
                                  </w:rPr>
                                  <w:t>N° 3265-SD</w:t>
                                </w:r>
                              </w:p>
                              <w:p>
                                <w:pPr>
                                  <w:pStyle w:val="Form12"/>
                                  <w:widowControl w:val="false"/>
                                  <w:rPr/>
                                </w:pPr>
                                <w:r>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drawing>
              <wp:inline distT="0" distB="0" distL="0" distR="0">
                <wp:extent cx="694690" cy="367030"/>
                <wp:effectExtent l="0" t="0" r="0" b="0"/>
                <wp:docPr id="14"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spacing w:before="0" w:after="0"/>
            <w:jc w:val="center"/>
            <w:rPr>
              <w:sz w:val="4"/>
            </w:rPr>
          </w:pPr>
          <w:r>
            <w:rPr>
              <w:rFonts w:eastAsia="Times New Roman" w:cs="Times New Roman"/>
              <w:kern w:val="0"/>
              <w:sz w:val="4"/>
              <w:lang w:val="fr-FR" w:eastAsia="en-GB" w:bidi="ar-SA"/>
            </w:rPr>
          </w:r>
        </w:p>
        <w:p>
          <w:pPr>
            <w:pStyle w:val="Form10C"/>
            <w:widowControl/>
            <w:spacing w:before="0" w:after="0"/>
            <w:rPr>
              <w:sz w:val="4"/>
            </w:rPr>
          </w:pPr>
          <w:r>
            <w:rPr>
              <w:rFonts w:cs="Times New Roman"/>
              <w:kern w:val="0"/>
              <w:sz w:val="20"/>
              <w:szCs w:val="20"/>
              <w:lang w:val="fr-FR" w:bidi="ar-SA"/>
            </w:rPr>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SERVICE</w:t>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DE</w:t>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spacing w:before="0" w:after="0"/>
            <w:rPr>
              <w:sz w:val="4"/>
              <w:szCs w:val="4"/>
            </w:rPr>
          </w:pPr>
          <w:r>
            <w:rPr>
              <w:rFonts w:cs="Times New Roman"/>
              <w:kern w:val="0"/>
              <w:sz w:val="20"/>
              <w:szCs w:val="20"/>
              <w:lang w:val="fr-FR" w:bidi="ar-SA"/>
            </w:rPr>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spacing w:before="0" w:after="0"/>
            <w:jc w:val="left"/>
            <w:rPr>
              <w:sz w:val="4"/>
              <w:szCs w:val="4"/>
            </w:rPr>
          </w:pPr>
          <w:r>
            <w:rPr>
              <w:rFonts w:eastAsia="Times New Roman" w:cs="Times New Roman"/>
              <w:kern w:val="0"/>
              <w:sz w:val="4"/>
              <w:szCs w:val="4"/>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DATE</w:t>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spacing w:before="0" w:after="0"/>
            <w:jc w:val="left"/>
            <w:rPr>
              <w:sz w:val="10"/>
            </w:rPr>
          </w:pPr>
          <w:r>
            <w:rPr>
              <w:rFonts w:eastAsia="Times New Roman" w:cs="Times New Roman"/>
              <w:kern w:val="0"/>
              <w:sz w:val="10"/>
              <w:lang w:val="fr-FR" w:eastAsia="en-GB"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sz w:val="2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12700" distB="12065" distL="12700" distR="12065" simplePos="0" locked="0" layoutInCell="0" allowOverlap="1" relativeHeight="4" wp14:anchorId="314566BD">
              <wp:simplePos x="0" y="0"/>
              <wp:positionH relativeFrom="page">
                <wp:posOffset>5577840</wp:posOffset>
              </wp:positionH>
              <wp:positionV relativeFrom="page">
                <wp:posOffset>2743200</wp:posOffset>
              </wp:positionV>
              <wp:extent cx="1372235" cy="635"/>
              <wp:effectExtent l="5080" t="5080" r="5080" b="5080"/>
              <wp:wrapNone/>
              <wp:docPr id="15"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pict>
        <v:shape id="PowerPlusWaterMarkObject1360048843" o:spid="shape_0" fillcolor="#7f7f7f" stroked="f" o:allowincell="f" style="position:absolute;margin-left:-72.75pt;margin-top:222.6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53" wp14:anchorId="20DB70F0">
              <wp:simplePos x="0" y="0"/>
              <wp:positionH relativeFrom="page">
                <wp:posOffset>474345</wp:posOffset>
              </wp:positionH>
              <wp:positionV relativeFrom="page">
                <wp:posOffset>268605</wp:posOffset>
              </wp:positionV>
              <wp:extent cx="996950" cy="631190"/>
              <wp:effectExtent l="0" t="0" r="0" b="0"/>
              <wp:wrapNone/>
              <wp:docPr id="17"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mirrorMargins/>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suppressAutoHyphens w:val="true"/>
      <w:overflowPunct w:val="tru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suppressAutoHyphens w:val="true"/>
      <w:overflowPunct w:val="tru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overflowPunct w:val="true"/>
      <w:jc w:val="center"/>
      <w:textAlignment w:val="baseline"/>
    </w:pPr>
    <w:rPr>
      <w:b/>
      <w:szCs w:val="20"/>
      <w:lang w:eastAsia="zh-CN"/>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suppressAutoHyphens w:val="true"/>
    </w:pPr>
    <w:rPr>
      <w:rFonts w:ascii="Liberation Sans" w:hAnsi="Liberation Sans" w:cs="Tahoma"/>
      <w:lang w:eastAsia="zh-CN"/>
    </w:rPr>
  </w:style>
  <w:style w:type="paragraph" w:styleId="Titre2" w:customStyle="1">
    <w:name w:val="Titre2"/>
    <w:basedOn w:val="Normal"/>
    <w:next w:val="TextBody"/>
    <w:qFormat/>
    <w:pPr>
      <w:keepNext w:val="true"/>
      <w:suppressAutoHyphens w:val="true"/>
      <w:overflowPunct w:val="true"/>
      <w:spacing w:before="240" w:after="120"/>
      <w:jc w:val="both"/>
      <w:textAlignment w:val="baseline"/>
    </w:pPr>
    <w:rPr>
      <w:rFonts w:ascii="Arial" w:hAnsi="Arial" w:eastAsia="Lucida Sans Unicode" w:cs="Tahoma"/>
      <w:sz w:val="28"/>
      <w:szCs w:val="28"/>
      <w:lang w:eastAsia="zh-CN"/>
    </w:rPr>
  </w:style>
  <w:style w:type="paragraph" w:styleId="Caption1">
    <w:name w:val="caption"/>
    <w:basedOn w:val="Normal"/>
    <w:qFormat/>
    <w:pPr>
      <w:suppressLineNumbers/>
      <w:suppressAutoHyphens w:val="true"/>
      <w:overflowPunct w:val="true"/>
      <w:spacing w:before="120" w:after="120"/>
      <w:jc w:val="both"/>
      <w:textAlignment w:val="baseline"/>
    </w:pPr>
    <w:rPr>
      <w:rFonts w:cs="Tahoma"/>
      <w:i/>
      <w:iCs/>
      <w:sz w:val="20"/>
      <w:szCs w:val="20"/>
      <w:lang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eastAsia="zh-CN"/>
    </w:rPr>
  </w:style>
  <w:style w:type="paragraph" w:styleId="WWTitre" w:customStyle="1">
    <w:name w:val="WW-Titre"/>
    <w:basedOn w:val="Normal"/>
    <w:next w:val="TextBody"/>
    <w:qFormat/>
    <w:pPr>
      <w:keepNext w:val="true"/>
      <w:suppressAutoHyphens w:val="true"/>
      <w:overflowPunct w:val="tru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TextBody"/>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eastAsia="zh-CN"/>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eastAsia="zh-CN" w:val="fr-FR"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eastAsia="zh-CN" w:val="fr-FR"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eastAsia="zh-CN" w:val="fr-FR"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eastAsia="zh-CN" w:val="fr-FR"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eastAsia="zh-CN" w:val="fr-FR"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eastAsia="zh-CN" w:val="fr-FR"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eastAsia="zh-CN" w:val="fr-FR"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eastAsia="zh-CN" w:val="fr-FR" w:bidi="ar-SA"/>
    </w:rPr>
  </w:style>
  <w:style w:type="paragraph" w:styleId="Footnote">
    <w:name w:val="Footnote Text"/>
    <w:basedOn w:val="Normal"/>
    <w:pPr>
      <w:suppressAutoHyphens w:val="true"/>
      <w:overflowPunct w:val="true"/>
      <w:textAlignment w:val="baseline"/>
    </w:pPr>
    <w:rPr>
      <w:sz w:val="20"/>
      <w:szCs w:val="20"/>
      <w:lang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eastAsia="zh-CN"/>
    </w:rPr>
  </w:style>
  <w:style w:type="paragraph" w:styleId="Niv2" w:customStyle="1">
    <w:name w:val="Niv2"/>
    <w:basedOn w:val="Normal"/>
    <w:next w:val="Normal"/>
    <w:qFormat/>
    <w:pPr>
      <w:spacing w:before="480" w:after="240"/>
      <w:ind w:left="1560" w:hanging="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eastAsia="zh-CN"/>
    </w:rPr>
  </w:style>
  <w:style w:type="paragraph" w:styleId="BodyText21" w:customStyle="1">
    <w:name w:val="Body Text 21"/>
    <w:basedOn w:val="Normal"/>
    <w:qFormat/>
    <w:pPr>
      <w:suppressAutoHyphens w:val="true"/>
      <w:overflowPunct w:val="true"/>
      <w:jc w:val="both"/>
      <w:textAlignment w:val="baseline"/>
    </w:pPr>
    <w:rPr>
      <w:szCs w:val="20"/>
      <w:lang w:eastAsia="zh-CN"/>
    </w:rPr>
  </w:style>
  <w:style w:type="paragraph" w:styleId="Contenudetableau" w:customStyle="1">
    <w:name w:val="Contenu de tableau"/>
    <w:basedOn w:val="TextBody"/>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suppressAutoHyphens w:val="true"/>
      <w:overflowPunct w:val="true"/>
      <w:jc w:val="both"/>
      <w:textAlignment w:val="baseline"/>
    </w:pPr>
    <w:rPr>
      <w:i/>
      <w:szCs w:val="20"/>
      <w:u w:val="single"/>
      <w:lang w:eastAsia="zh-CN"/>
    </w:rPr>
  </w:style>
  <w:style w:type="paragraph" w:styleId="TITRE5" w:customStyle="1">
    <w:name w:val="TITRE5"/>
    <w:basedOn w:val="Normal"/>
    <w:qFormat/>
    <w:pPr>
      <w:suppressAutoHyphens w:val="true"/>
      <w:overflowPunct w:val="tru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eastAsia="zh-CN"/>
    </w:rPr>
  </w:style>
  <w:style w:type="paragraph" w:styleId="Contenuducadre" w:customStyle="1">
    <w:name w:val="Contenu du cadre"/>
    <w:basedOn w:val="TextBody"/>
    <w:qFormat/>
    <w:pPr/>
    <w:rPr/>
  </w:style>
  <w:style w:type="paragraph" w:styleId="Titre1" w:customStyle="1">
    <w:name w:val="Titre1"/>
    <w:basedOn w:val="Normal"/>
    <w:next w:val="TextBody"/>
    <w:qFormat/>
    <w:pPr>
      <w:keepNext w:val="true"/>
      <w:suppressAutoHyphens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suppressAutoHyphens w:val="true"/>
    </w:pPr>
    <w:rPr>
      <w:sz w:val="20"/>
      <w:szCs w:val="20"/>
      <w:lang w:eastAsia="zh-CN"/>
    </w:rPr>
  </w:style>
  <w:style w:type="paragraph" w:styleId="Interligne" w:customStyle="1">
    <w:name w:val="interligne"/>
    <w:basedOn w:val="Normal"/>
    <w:qFormat/>
    <w:pPr>
      <w:suppressAutoHyphens w:val="true"/>
      <w:spacing w:before="0" w:after="120"/>
      <w:ind w:firstLine="284"/>
      <w:jc w:val="both"/>
    </w:pPr>
    <w:rPr>
      <w:sz w:val="22"/>
      <w:szCs w:val="20"/>
      <w:lang w:eastAsia="zh-CN"/>
    </w:rPr>
  </w:style>
  <w:style w:type="paragraph" w:styleId="Contenudecadre" w:customStyle="1">
    <w:name w:val="Contenu de cadre"/>
    <w:basedOn w:val="Normal"/>
    <w:qFormat/>
    <w:pPr>
      <w:suppressAutoHyphens w:val="true"/>
      <w:overflowPunct w:val="true"/>
      <w:jc w:val="both"/>
      <w:textAlignment w:val="baseline"/>
    </w:pPr>
    <w:rPr>
      <w:szCs w:val="20"/>
      <w:lang w:eastAsia="zh-CN"/>
    </w:rPr>
  </w:style>
  <w:style w:type="paragraph" w:styleId="ListParagraph">
    <w:name w:val="List Paragraph"/>
    <w:basedOn w:val="Normal"/>
    <w:uiPriority w:val="34"/>
    <w:qFormat/>
    <w:rsid w:val="00c81995"/>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LibreOffice/7.3.7.2$Linux_X86_64 LibreOffice_project/30$Build-2</Application>
  <AppVersion>15.0000</AppVersion>
  <Pages>22</Pages>
  <Words>7246</Words>
  <Characters>39193</Characters>
  <CharactersWithSpaces>46159</CharactersWithSpaces>
  <Paragraphs>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2022-04-11T08:45:00Z</dcterms:created>
  <dc:creator>Etude Cheuvreux</dc:creator>
  <dc:description/>
  <dc:language>en-US</dc:language>
  <cp:lastModifiedBy/>
  <cp:lastPrinted>2021-11-30T08:37:00Z</cp:lastPrinted>
  <dcterms:modified xsi:type="dcterms:W3CDTF">2024-04-24T11:20:28Z</dcterms:modified>
  <cp:revision>46</cp:revision>
  <dc:subject/>
  <dc:title>   </dc:title>
</cp:coreProperties>
</file>

<file path=docProps/custom.xml><?xml version="1.0" encoding="utf-8"?>
<Properties xmlns="http://schemas.openxmlformats.org/officeDocument/2006/custom-properties" xmlns:vt="http://schemas.openxmlformats.org/officeDocument/2006/docPropsVTypes"/>
</file>