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Normal"/>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rPr/>
        <w:br/>
      </w:r>
    </w:p>
    <w:p>
      <w:pPr>
        <w:pStyle w:val="NormalWeb"/>
        <w:spacing w:before="0" w:after="0"/>
        <w:jc w:val="center"/>
        <w:rPr>
          <w:rFonts w:ascii="TimesNewRomanPS-BoldMT" w:hAnsi="TimesNewRomanPS-BoldMT" w:cs="TimesNewRomanPS-BoldMT"/>
          <w:b/>
          <w:b/>
        </w:rPr>
      </w:pPr>
      <w:r>
        <w:rPr>
          <w:rFonts w:cs="TimesNewRomanPS-BoldMT" w:ascii="TimesNewRomanPS-BoldMT" w:hAnsi="TimesNewRomanPS-BoldMT"/>
          <w:b/>
        </w:rPr>
        <w:t>Convention type conclue en application des articles L. 353-1 et L. 831-1</w:t>
        <w:br/>
        <w:t xml:space="preserve">(2° ou 3°) du code de la construction et de l'habitation entre l'Etat </w:t>
      </w:r>
      <w:r>
        <w:rPr>
          <w:rFonts w:eastAsia="Times New Roman" w:cs="Times New Roman" w:ascii="TimesNewRomanPS" w:hAnsi="TimesNewRomanPS"/>
          <w:b/>
          <w:bCs/>
          <w:lang w:val="en-FR" w:eastAsia="en-GB"/>
        </w:rPr>
        <w:t>et la société d'économie mixte de construction et de gestion de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Convention type conclue entre l'E</w:t>
      </w:r>
      <w:r>
        <w:rPr>
          <w:rFonts w:cs="TimesNewRomanPSMT" w:ascii="TimesNewRomanPSMT" w:hAnsi="TimesNewRomanPSMT"/>
          <w:lang w:val="fr-FR"/>
        </w:rPr>
        <w:t>TAT</w:t>
      </w:r>
      <w:r>
        <w:rPr>
          <w:rFonts w:cs="TimesNewRomanPSMT" w:ascii="TimesNewRomanPSMT" w:hAnsi="TimesNewRomanPSMT"/>
        </w:rPr>
        <w:t xml:space="preserve"> et </w:t>
      </w:r>
      <w:bookmarkStart w:id="0" w:name="NomBailleur1"/>
      <w:bookmarkEnd w:id="0"/>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w:t>
      </w:r>
      <w:r>
        <w:rPr>
          <w:rFonts w:cs="TimesNewRomanPSMT" w:ascii="TimesNewRomanPSMT" w:hAnsi="TimesNewRomanPSMT"/>
          <w:lang w:val="fr-FR"/>
        </w:rPr>
        <w:t>2</w:t>
      </w:r>
      <w:r>
        <w:rPr>
          <w:rFonts w:cs="TimesNewRomanPSMT" w:ascii="TimesNewRomanPSMT" w:hAnsi="TimesNewRomanPSMT"/>
        </w:rPr>
        <w:t xml:space="preserve">) en application des articles L. 353-1 et L. 831-1 (2° ou 3°) du code de la construction et de l'habitation pour l'opération </w:t>
      </w:r>
      <w:bookmarkStart w:id="1" w:name="NomProgramme1"/>
      <w:bookmarkEnd w:id="1"/>
      <w:r>
        <w:rPr>
          <w:rFonts w:cs="TimesNewRomanPSMT" w:ascii="TimesNewRomanPSMT" w:hAnsi="TimesNewRomanPSMT"/>
        </w:rPr>
        <w:t xml:space="preserve">{{ programme.nom }}, de </w:t>
      </w:r>
      <w:bookmarkStart w:id="2" w:name="NbLogement1"/>
      <w:bookmarkEnd w:id="2"/>
      <w:r>
        <w:rPr>
          <w:rFonts w:cs="TimesNewRomanPSMT" w:ascii="TimesNewRomanPSMT" w:hAnsi="TimesNewRomanPSMT"/>
        </w:rPr>
        <w:t>{{ lot.nb_logements }} logement</w:t>
      </w:r>
      <w:bookmarkStart w:id="3" w:name="Type"/>
      <w:bookmarkEnd w:id="3"/>
      <w:r>
        <w:rPr>
          <w:rFonts w:cs="TimesNewRomanPSMT" w:ascii="TimesNewRomanPSMT" w:hAnsi="TimesNewRomanPSMT"/>
          <w:lang w:val="fr-FR"/>
        </w:rPr>
        <w:t xml:space="preserve">{{lot.nb_logements|pl}} </w:t>
      </w:r>
      <w:r>
        <w:rPr>
          <w:rFonts w:cs="TimesNewRomanPSMT" w:ascii="TimesNewRomanPSMT" w:hAnsi="TimesNewRomanPSMT"/>
        </w:rPr>
        <w:t xml:space="preserve">{{ lot.financement }}, </w:t>
      </w:r>
      <w:bookmarkStart w:id="4" w:name="Adresse1"/>
      <w:bookmarkEnd w:id="4"/>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5" w:name="CodePostal1"/>
      <w:bookmarkEnd w:id="5"/>
      <w:r>
        <w:rPr>
          <w:rFonts w:cs="TimesNewRomanPSMT" w:ascii="TimesNewRomanPSMT" w:hAnsi="TimesNewRomanPSMT"/>
        </w:rPr>
        <w:t xml:space="preserve">{{ programme.code_postal }},  </w:t>
      </w:r>
      <w:bookmarkStart w:id="6" w:name="Ville1"/>
      <w:bookmarkEnd w:id="6"/>
      <w:r>
        <w:rPr>
          <w:rFonts w:cs="TimesNewRomanPSMT" w:ascii="TimesNewRomanPSMT" w:hAnsi="TimesNewRomanPSMT"/>
        </w:rPr>
        <w:t>{{ programme.ville }} (</w:t>
      </w:r>
      <w:r>
        <w:rPr>
          <w:rFonts w:cs="TimesNewRomanPSMT" w:ascii="TimesNewRomanPSMT" w:hAnsi="TimesNewRomanPSMT"/>
          <w:lang w:val="fr-FR"/>
        </w:rPr>
        <w:t>3</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et </w:t>
      </w:r>
      <w:bookmarkStart w:id="7" w:name="NomBailleur2"/>
      <w:bookmarkEnd w:id="7"/>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w:t>
      </w:r>
      <w:r>
        <w:rPr>
          <w:rFonts w:cs="TimesNewRomanPSMT" w:ascii="TimesNewRomanPSMT" w:hAnsi="TimesNewRomanPSMT"/>
          <w:lang w:val="fr-FR"/>
        </w:rPr>
        <w:t>2</w:t>
      </w:r>
      <w:r>
        <w:rPr>
          <w:rFonts w:cs="TimesNewRomanPSMT" w:ascii="TimesNewRomanPSMT" w:hAnsi="TimesNewRomanPSMT"/>
        </w:rPr>
        <w:t xml:space="preserve">), représenté (e) par </w:t>
      </w:r>
      <w:bookmarkStart w:id="8" w:name="NomDG1"/>
      <w:bookmarkEnd w:id="8"/>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_nom }}, </w:t>
      </w:r>
      <w:bookmarkStart w:id="9" w:name="Fonction"/>
      <w:bookmarkEnd w:id="9"/>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_fonction }} (</w:t>
      </w:r>
      <w:r>
        <w:rPr>
          <w:rFonts w:cs="TimesNewRomanPSMT" w:ascii="TimesNewRomanPSMT" w:hAnsi="TimesNewRomanPSMT"/>
          <w:lang w:val="fr-FR"/>
        </w:rPr>
        <w:t>4</w:t>
      </w:r>
      <w:r>
        <w:rPr>
          <w:rFonts w:cs="TimesNewRomanPSMT" w:ascii="TimesNewRomanPSMT" w:hAnsi="TimesNewRomanPSMT"/>
        </w:rPr>
        <w:t xml:space="preserve">) agissant en vertu de la délibération du Conseil d’Administration en date du </w:t>
      </w:r>
      <w:bookmarkStart w:id="10" w:name="DateDelib1"/>
      <w:bookmarkEnd w:id="10"/>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_date_deliberation|d }}, inscrit sous le numéro </w:t>
      </w:r>
      <w:bookmarkStart w:id="11" w:name="Siret1"/>
      <w:bookmarkEnd w:id="11"/>
      <w:r>
        <w:rPr>
          <w:rFonts w:cs="TimesNewRomanPSMT" w:ascii="TimesNewRomanPSMT" w:hAnsi="TimesNewRomanPSMT"/>
        </w:rPr>
        <w:t xml:space="preserve">{{ bailleur.siret }}{% if bailleur.capital_social %}, au capital de </w:t>
      </w:r>
      <w:bookmarkStart w:id="12" w:name="Capital1"/>
      <w:bookmarkEnd w:id="12"/>
      <w:r>
        <w:rPr>
          <w:rFonts w:cs="TimesNewRomanPSMT" w:ascii="TimesNewRomanPSMT" w:hAnsi="TimesNewRomanPSMT"/>
        </w:rPr>
        <w:t>{{ bailleur.capital_social</w:t>
      </w:r>
      <w:r>
        <w:rPr>
          <w:rFonts w:cs="TimesNewRomanPSMT" w:ascii="TimesNewRomanPSMT" w:hAnsi="TimesNewRomanPSMT"/>
          <w:lang w:val="fr-FR"/>
        </w:rPr>
        <w:t>|f</w:t>
      </w:r>
      <w:r>
        <w:rPr>
          <w:rFonts w:cs="TimesNewRomanPSMT" w:ascii="TimesNewRomanPSMT" w:hAnsi="TimesNewRomanPSMT"/>
        </w:rPr>
        <w:t xml:space="preserve"> }} </w:t>
      </w:r>
      <w:r>
        <w:rPr>
          <w:rFonts w:cs="TimesNewRomanPSMT" w:ascii="TimesNewRomanPSMT" w:hAnsi="TimesNewRomanPSMT"/>
          <w:lang w:val="fr-FR"/>
        </w:rPr>
        <w:t xml:space="preserve">€ </w:t>
      </w:r>
      <w:r>
        <w:rPr>
          <w:rFonts w:cs="TimesNewRomanPSMT" w:ascii="TimesNewRomanPSMT" w:hAnsi="TimesNewRomanPSMT"/>
        </w:rPr>
        <w:t xml:space="preserve">{% endif %} dont le siège est </w:t>
      </w:r>
      <w:bookmarkStart w:id="13" w:name="Siege1"/>
      <w:bookmarkEnd w:id="13"/>
      <w:r>
        <w:rPr>
          <w:rFonts w:cs="TimesNewRomanPSMT" w:ascii="TimesNewRomanPSMT" w:hAnsi="TimesNewRomanPSMT"/>
        </w:rPr>
        <w:t xml:space="preserve">{{ bailleur.adresse </w:t>
      </w:r>
      <w:r>
        <w:rPr>
          <w:rFonts w:cs="TimesNewRomanPSMT" w:ascii="TimesNewRomanPSMT" w:hAnsi="TimesNewRomanPSMT"/>
          <w:lang w:val="fr-FR"/>
        </w:rPr>
        <w:t>}}</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bailleur.code_postal</w:t>
      </w:r>
      <w:r>
        <w:rPr>
          <w:rFonts w:cs="TimesNewRomanPSMT" w:ascii="TimesNewRomanPSMT" w:hAnsi="TimesNewRomanPSMT"/>
          <w:lang w:val="fr-FR"/>
        </w:rPr>
        <w:t xml:space="preserve"> }} {{ </w:t>
      </w:r>
      <w:r>
        <w:rPr>
          <w:rFonts w:cs="TimesNewRomanPSMT" w:ascii="TimesNewRomanPSMT" w:hAnsi="TimesNewRomanPSMT"/>
        </w:rPr>
        <w:t>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d'autre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BoldMT" w:ascii="TimesNewRomanPS-BoldMT" w:hAnsi="TimesNewRomanPS-BoldMT"/>
          <w:b/>
        </w:rPr>
        <w:t>I.-Dispositions générales.</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Article 1er.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Web"/>
        <w:jc w:val="both"/>
        <w:rPr>
          <w:rFonts w:ascii="Times New Roman" w:hAnsi="Times New Roman" w:eastAsia="Times New Roman" w:cs="Times New Roman"/>
          <w:lang w:val="en-FR" w:eastAsia="en-GB"/>
        </w:rPr>
      </w:pPr>
      <w:r>
        <w:rPr>
          <w:rFonts w:cs="TimesNewRomanPSMT" w:ascii="TimesNewRomanPSMT" w:hAnsi="TimesNewRomanPSMT"/>
        </w:rPr>
        <w:t>La présente convention a pour objet de fixer les droits et les obligations des parties prévus par les articles L. 353-1 à L. 353-21</w:t>
      </w:r>
      <w:r>
        <w:rPr>
          <w:rFonts w:eastAsia="Times New Roman" w:cs="Times New Roman" w:ascii="TimesNewRomanPSMT" w:hAnsi="TimesNewRomanPSMT"/>
          <w:lang w:val="en-FR" w:eastAsia="en-GB"/>
        </w:rPr>
        <w:t>, L. 443-15-2 et L. 481-2</w:t>
      </w:r>
      <w:r>
        <w:rPr>
          <w:rFonts w:cs="TimesNewRomanPSMT" w:ascii="TimesNewRomanPSMT" w:hAnsi="TimesNewRomanPSMT"/>
        </w:rPr>
        <w:t xml:space="preserve"> du code de la construction et de l'habitation pour l'opération de </w:t>
      </w:r>
      <w:bookmarkStart w:id="14" w:name="NomProgramme2"/>
      <w:bookmarkEnd w:id="14"/>
      <w:r>
        <w:rPr>
          <w:rFonts w:cs="TimesNewRomanPSMT" w:ascii="TimesNewRomanPSMT" w:hAnsi="TimesNewRomanPSMT"/>
        </w:rPr>
        <w:t xml:space="preserve">{{ programme.nom }} de </w:t>
      </w:r>
      <w:bookmarkStart w:id="15" w:name="NbLogement2"/>
      <w:bookmarkEnd w:id="15"/>
      <w:r>
        <w:rPr>
          <w:rFonts w:cs="TimesNewRomanPSMT" w:ascii="TimesNewRomanPSMT" w:hAnsi="TimesNewRomanPSMT"/>
        </w:rPr>
        <w:t xml:space="preserve">{{ lot.nb_logements }} logement{{lot.nb_logements|pl }} </w:t>
      </w:r>
      <w:bookmarkStart w:id="16" w:name="Fi2"/>
      <w:bookmarkEnd w:id="16"/>
      <w:r>
        <w:rPr>
          <w:rFonts w:cs="TimesNewRomanPSMT" w:ascii="TimesNewRomanPSMT" w:hAnsi="TimesNewRomanPSMT"/>
        </w:rPr>
        <w:t xml:space="preserve">{{ lot.financement }} à </w:t>
      </w:r>
      <w:bookmarkStart w:id="17" w:name="Adresse2"/>
      <w:bookmarkEnd w:id="17"/>
      <w:r>
        <w:rPr>
          <w:rFonts w:cs="TimesNewRomanPSMT" w:ascii="TimesNewRomanPSMT" w:hAnsi="TimesNewRomanPSMT"/>
        </w:rPr>
        <w:t xml:space="preserve">{{ programme.adresse|inline_text_multiline }} à </w:t>
      </w:r>
      <w:bookmarkStart w:id="18" w:name="CodePostal2"/>
      <w:bookmarkEnd w:id="18"/>
      <w:r>
        <w:rPr>
          <w:rFonts w:cs="TimesNewRomanPSMT" w:ascii="TimesNewRomanPSMT" w:hAnsi="TimesNewRomanPSMT"/>
        </w:rPr>
        <w:t xml:space="preserve">{{ programme.code_postal }}, </w:t>
      </w:r>
      <w:bookmarkStart w:id="19" w:name="Ville2"/>
      <w:bookmarkEnd w:id="19"/>
      <w:r>
        <w:rPr>
          <w:rFonts w:cs="TimesNewRomanPSMT" w:ascii="TimesNewRomanPSMT" w:hAnsi="TimesNewRomanPSMT"/>
        </w:rPr>
        <w:t>{{ programme.ville }} décrite plus précisément dans le document joint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Article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Prise d'effet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ainsi que ses avenants éventuels prennent effet à la date de leur signature.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Article 3.</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Elle expire le </w:t>
      </w:r>
      <w:bookmarkStart w:id="20" w:name="DateExpir1"/>
      <w:bookmarkEnd w:id="20"/>
      <w:r>
        <w:rPr>
          <w:rFonts w:cs="TimesNewRomanPSMT" w:ascii="TimesNewRomanPSMT" w:hAnsi="TimesNewRomanPSMT"/>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i/>
          <w:i/>
          <w:iCs/>
        </w:rPr>
      </w:pPr>
      <w:r>
        <w:rPr>
          <w:rFonts w:cs="TimesNewRomanPSMT" w:ascii="TimesNewRomanPSMT" w:hAnsi="TimesNewRomanPSMT"/>
          <w:i/>
          <w:iCs/>
        </w:rPr>
      </w:r>
    </w:p>
    <w:p>
      <w:pPr>
        <w:pStyle w:val="Normal"/>
        <w:jc w:val="both"/>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7</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faisant l'objet de la présente convention sont maintenus à usage locatif jusqu'à la date fixée pour son expiration, sous réserve des dispositions de l'article L. 443-1</w:t>
      </w:r>
      <w:r>
        <w:rPr>
          <w:rFonts w:cs="TimesNewRomanPSMT" w:ascii="TimesNewRomanPSMT" w:hAnsi="TimesNewRomanPSMT"/>
          <w:lang w:val="fr-FR"/>
        </w:rPr>
        <w:t>5-2</w:t>
      </w:r>
      <w:r>
        <w:rPr>
          <w:rFonts w:cs="TimesNewRomanPSMT" w:ascii="TimesNewRomanPSMT" w:hAnsi="TimesNewRomanPSMT"/>
        </w:rPr>
        <w:t xml:space="preserve">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1°-Conditions de location.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Pr>
          <w:rFonts w:ascii="TimesNewRomanPSMT" w:hAnsi="TimesNewRomanPSMT"/>
        </w:rPr>
        <w:t xml:space="preserve">L. 353-20 et L. 353-21 </w:t>
      </w:r>
      <w:r>
        <w:rPr>
          <w:rFonts w:cs="TimesNewRomanPSMT" w:ascii="TimesNewRomanPSMT" w:hAnsi="TimesNewRomanPSMT"/>
        </w:rPr>
        <w:t>du code de la construction et de l'habitation</w:t>
      </w:r>
      <w:r>
        <w:rPr>
          <w:rFonts w:ascii="TimesNewRomanPSMT" w:hAnsi="TimesNewRomanPSMT"/>
        </w:rPr>
        <w:t>ainsi qu'au profit de personnes ayant passé avec le locataire un contrat conforme à l'article L. 442-1 du code de l'action sociale et des familles.</w:t>
        <w:br/>
      </w:r>
    </w:p>
    <w:p>
      <w:pPr>
        <w:pStyle w:val="Normal"/>
        <w:jc w:val="both"/>
        <w:rPr/>
      </w:pPr>
      <w:r>
        <w:rPr>
          <w:rFonts w:cs="TimesNewRomanPSMT" w:ascii="TimesNewRomanPSMT" w:hAnsi="TimesNewRomanPSMT"/>
        </w:rPr>
        <w:t>2°-Ressources.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3°-Mixité sociale.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ascii="TimesNewRomanPSMT" w:hAnsi="TimesNewRomanPSMT"/>
          <w:b/>
        </w:rPr>
        <w:t xml:space="preserve"> </w:t>
      </w:r>
      <w:bookmarkStart w:id="21" w:name="Mix3091"/>
      <w:bookmarkEnd w:id="21"/>
      <w:r>
        <w:rPr>
          <w:rFonts w:cs="TimesNewRomanPSMT" w:ascii="TimesNewRomanPSMT" w:hAnsi="TimesNewRomanPSMT"/>
          <w:b/>
        </w:rPr>
        <w:t xml:space="preserve">{{ mixPLUSsup10_30pc }} </w:t>
      </w:r>
      <w:r>
        <w:rPr>
          <w:rFonts w:cs="TimesNewRomanPSMT" w:ascii="TimesNewRomanPSMT" w:hAnsi="TimesNewRomanPSMT"/>
        </w:rPr>
        <w:t>(</w:t>
      </w:r>
      <w:r>
        <w:rPr>
          <w:rFonts w:cs="TimesNewRomanPSMT" w:ascii="TimesNewRomanPSMT" w:hAnsi="TimesNewRomanPSMT"/>
          <w:lang w:val="fr-FR"/>
        </w:rPr>
        <w:t>5</w:t>
      </w:r>
      <w:r>
        <w:rPr>
          <w:rFonts w:cs="TimesNewRomanPSMT" w:ascii="TimesNewRomanPSMT" w:hAnsi="TimesNewRomanPSMT"/>
        </w:rPr>
        <w:t>) logement</w:t>
      </w:r>
      <w:r>
        <w:rPr>
          <w:rFonts w:cs="TimesNewRomanPSMT" w:ascii="TimesNewRomanPSMT" w:hAnsi="TimesNewRomanPSMT"/>
          <w:lang w:val="fr-FR"/>
        </w:rPr>
        <w:t>{{</w:t>
      </w:r>
      <w:r>
        <w:rPr>
          <w:rFonts w:cs="TimesNewRomanPSMT" w:ascii="TimesNewRomanPSMT" w:hAnsi="TimesNewRomanPSMT"/>
          <w:bCs/>
        </w:rPr>
        <w:t>mixPLUSsup10_30pc</w:t>
      </w:r>
      <w:r>
        <w:rPr>
          <w:rFonts w:cs="TimesNewRomanPSMT" w:ascii="TimesNewRomanPSMT" w:hAnsi="TimesNewRomanPSMT"/>
          <w:lang w:val="fr-FR"/>
        </w:rPr>
        <w:t>|pl}}</w:t>
      </w:r>
      <w:r>
        <w:rPr>
          <w:rFonts w:cs="TimesNewRomanPSMT" w:ascii="TimesNewRomanPSMT" w:hAnsi="TimesNewRomanPSMT"/>
        </w:rPr>
        <w:t>, doivent être attribués à des ménages dont les ressources n'excèdent pas le plafond fixé au I de l'article D. 331-12 précité pour l'attribution des logements</w:t>
      </w:r>
      <w:r>
        <w:rPr/>
        <w:t xml:space="preserve"> </w:t>
      </w:r>
      <w:r>
        <w:rPr>
          <w:rFonts w:cs="TimesNewRomanPSMT" w:ascii="TimesNewRomanPSMT" w:hAnsi="TimesNewRomanPSMT"/>
        </w:rPr>
        <w:t xml:space="preserve">sociaux. Toutefois, lorsque l'opération ainsi financée comporte moins de 10 logements, au moins 30 % des logements, soit </w:t>
      </w:r>
      <w:bookmarkStart w:id="22" w:name="Mix3092"/>
      <w:bookmarkEnd w:id="22"/>
      <w:r>
        <w:rPr>
          <w:rFonts w:cs="TimesNewRomanPSMT" w:ascii="TimesNewRomanPSMT" w:hAnsi="TimesNewRomanPSMT"/>
          <w:b/>
          <w:bCs/>
        </w:rPr>
        <w:t xml:space="preserve">{{ </w:t>
      </w:r>
      <w:r>
        <w:rPr>
          <w:rFonts w:cs="TimesNewRomanPSMT" w:ascii="TimesNewRomanPSMT" w:hAnsi="TimesNewRomanPSMT"/>
          <w:b/>
        </w:rPr>
        <w:t xml:space="preserve">mixPLUSinf10_30pc </w:t>
      </w:r>
      <w:r>
        <w:rPr>
          <w:rFonts w:cs="TimesNewRomanPSMT" w:ascii="TimesNewRomanPSMT" w:hAnsi="TimesNewRomanPSMT"/>
          <w:b/>
          <w:bCs/>
        </w:rPr>
        <w:t>}}</w:t>
      </w:r>
      <w:r>
        <w:rPr>
          <w:rFonts w:cs="TimesNewRomanPSMT" w:ascii="TimesNewRomanPSMT" w:hAnsi="TimesNewRomanPSMT"/>
        </w:rPr>
        <w:t xml:space="preserve"> 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10_30pc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A l'entrée en service de l'immeuble, en sus des 30 % de logements ci-dessus mentionnés, </w:t>
      </w:r>
      <w:r>
        <w:rPr>
          <w:rFonts w:cs="TimesNewRomanPSMT" w:ascii="TimesNewRomanPSMT" w:hAnsi="TimesNewRomanPSMT"/>
          <w:lang w:val="fr-FR"/>
        </w:rPr>
        <w:t>le bailleur</w:t>
      </w:r>
      <w:r>
        <w:rPr>
          <w:rFonts w:cs="TimesNewRomanPSMT" w:ascii="TimesNewRomanPSMT" w:hAnsi="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cs="TimesNewRomanPSMT" w:ascii="TimesNewRomanPSMT" w:hAnsi="TimesNewRomanPSMT"/>
          <w:lang w:val="fr-FR"/>
        </w:rPr>
        <w:t>le bailleur</w:t>
      </w:r>
      <w:r>
        <w:rPr>
          <w:rFonts w:cs="TimesNewRomanPSMT" w:ascii="TimesNewRomanPSMT" w:hAnsi="TimesNewRomanPSMT"/>
        </w:rPr>
        <w:t>, les conventions intercommunales d’attribution et les orientations adoptées par les conférences intercommunales du logement, à louer</w:t>
      </w:r>
      <w:r>
        <w:rPr>
          <w:rFonts w:cs="TimesNewRomanPSMT" w:ascii="TimesNewRomanPSMT" w:hAnsi="TimesNewRomanPSMT"/>
          <w:b/>
        </w:rPr>
        <w:t xml:space="preserve"> </w:t>
      </w:r>
      <w:r>
        <w:rPr>
          <w:rFonts w:cs="TimesNewRomanPSMT" w:ascii="TimesNewRomanPSMT" w:hAnsi="TimesNewRomanPSMT"/>
          <w:b/>
          <w:lang w:val="fr-FR"/>
        </w:rPr>
        <w:t>{{ lot.lgts_mixite_sociale_negocies_display() }}</w:t>
      </w:r>
      <w:r>
        <w:rPr>
          <w:rFonts w:cs="TimesNewRomanPSMT" w:ascii="TimesNewRomanPSMT" w:hAnsi="TimesNewRomanPSMT"/>
          <w:b/>
        </w:rPr>
        <w:t xml:space="preserve"> </w:t>
      </w:r>
      <w:r>
        <w:rPr>
          <w:rFonts w:cs="TimesNewRomanPSMT" w:ascii="TimesNewRomanPSMT" w:hAnsi="TimesNewRomanPSMT"/>
        </w:rPr>
        <w:t>(</w:t>
      </w:r>
      <w:r>
        <w:rPr>
          <w:rFonts w:cs="TimesNewRomanPSMT" w:ascii="TimesNewRomanPSMT" w:hAnsi="TimesNewRomanPSMT"/>
          <w:lang w:val="fr-FR"/>
        </w:rPr>
        <w:t>6</w:t>
      </w:r>
      <w:r>
        <w:rPr>
          <w:rFonts w:cs="TimesNewRomanPSMT" w:ascii="TimesNewRomanPSMT" w:hAnsi="TimesNewRomanPSMT"/>
        </w:rPr>
        <w:t xml:space="preserve">) autres logements à des ménages dont les ressources n'excèdent pas le plafond fixé au I de l'article D. 331-12 précité pour l'attribution des logements sociaux. </w:t>
      </w:r>
      <w:r>
        <w:rPr>
          <w:rFonts w:cs="TimesNewRomanPSMT" w:ascii="TimesNewRomanPSMT" w:hAnsi="TimesNewRomanPSMT"/>
          <w:lang w:val="fr-FR"/>
        </w:rPr>
        <w:t>Le bailleur</w:t>
      </w:r>
      <w:r>
        <w:rPr>
          <w:rFonts w:cs="TimesNewRomanPSMT" w:ascii="TimesNewRomanPSMT" w:hAnsi="TimesNewRomanPSMT"/>
        </w:rPr>
        <w:t xml:space="preserve"> s'engage à fournir au préfet un état à la mise en location, permettant de vérifier que cet engagement d'occupation sociale est respecté.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pPr>
      <w:r>
        <w:rPr>
          <w:rFonts w:cs="TimesNewRomanPSMT" w:ascii="TimesNewRomanPSMT" w:hAnsi="TimesNewRomanPSMT"/>
        </w:rPr>
        <w:t xml:space="preserve">D. 331-12 précité pour l'attribution des logements sociaux, jusqu'à ce que </w:t>
      </w:r>
      <w:r>
        <w:rPr>
          <w:rFonts w:cs="TimesNewRomanPSMT" w:ascii="TimesNewRomanPSMT" w:hAnsi="TimesNewRomanPSMT"/>
          <w:lang w:val="fr-FR"/>
        </w:rPr>
        <w:t>le bailleur</w:t>
      </w:r>
      <w:r>
        <w:rPr>
          <w:rFonts w:cs="TimesNewRomanPSMT" w:ascii="TimesNewRomanPSMT" w:hAnsi="TimesNewRomanPSMT"/>
        </w:rPr>
        <w:t xml:space="preserve"> établisse que l'engagement est respecté à nouveau.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ascii="TimesNewRomanPSMT" w:hAnsi="TimesNewRomanPSMT"/>
          <w:b/>
        </w:rPr>
        <w:t xml:space="preserve"> </w:t>
      </w:r>
      <w:bookmarkStart w:id="23" w:name="Mix1091"/>
      <w:bookmarkEnd w:id="23"/>
      <w:r>
        <w:rPr>
          <w:rFonts w:cs="TimesNewRomanPSMT" w:ascii="TimesNewRomanPSMT" w:hAnsi="TimesNewRomanPSMT"/>
          <w:b/>
        </w:rPr>
        <w:t xml:space="preserve">{{ mixPLUSinf10_10pc }} </w:t>
      </w:r>
      <w:r>
        <w:rPr>
          <w:rFonts w:cs="TimesNewRomanPSMT" w:ascii="TimesNewRomanPSMT" w:hAnsi="TimesNewRomanPSMT"/>
        </w:rPr>
        <w:t>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w:t>
      </w:r>
      <w:r>
        <w:rPr>
          <w:rFonts w:cs="TimesNewRomanPSMT" w:ascii="TimesNewRomanPSMT" w:hAnsi="TimesNewRomanPSMT"/>
          <w:bCs/>
          <w:lang w:val="fr-FR"/>
        </w:rPr>
        <w:t>1</w:t>
      </w:r>
      <w:r>
        <w:rPr>
          <w:rFonts w:cs="TimesNewRomanPSMT" w:ascii="TimesNewRomanPSMT" w:hAnsi="TimesNewRomanPSMT"/>
          <w:bCs/>
        </w:rPr>
        <w:t>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montant du loyer maximum mentionné à l'article D. 353-</w:t>
      </w:r>
      <w:r>
        <w:rPr>
          <w:rFonts w:cs="TimesNewRomanPSMT" w:ascii="TimesNewRomanPSMT" w:hAnsi="TimesNewRomanPSMT"/>
          <w:lang w:val="fr-FR"/>
        </w:rPr>
        <w:t>70</w:t>
      </w:r>
      <w:r>
        <w:rPr>
          <w:rFonts w:cs="TimesNewRomanPSMT" w:ascii="TimesNewRomanPSMT" w:hAnsi="TimesNewRomanPSMT"/>
        </w:rPr>
        <w:t xml:space="preserve"> du code de la construction et de l’habitation est fixé à</w:t>
      </w:r>
      <w:r>
        <w:rPr>
          <w:rFonts w:cs="TimesNewRomanPSMT" w:ascii="TimesNewRomanPSMT" w:hAnsi="TimesNewRomanPSMT"/>
          <w:b/>
        </w:rPr>
        <w:t xml:space="preserve"> </w:t>
      </w:r>
      <w:bookmarkStart w:id="24" w:name="Loyer1"/>
      <w:bookmarkEnd w:id="24"/>
      <w:r>
        <w:rPr>
          <w:rFonts w:cs="TimesNewRomanPSMT" w:ascii="TimesNewRomanPSMT" w:hAnsi="TimesNewRomanPSMT"/>
          <w:b/>
        </w:rPr>
        <w:t>{{ loyer_m2</w:t>
      </w:r>
      <w:r>
        <w:rPr>
          <w:rFonts w:cs="TimesNewRomanPSMT" w:ascii="TimesNewRomanPSMT" w:hAnsi="TimesNewRomanPSMT"/>
          <w:b/>
          <w:bCs/>
          <w:lang w:val="fr-FR"/>
        </w:rPr>
        <w:t>|f</w:t>
      </w:r>
      <w:r>
        <w:rPr>
          <w:rFonts w:cs="TimesNewRomanPSMT" w:ascii="TimesNewRomanPSMT" w:hAnsi="TimesNewRomanPSMT"/>
          <w:b/>
        </w:rPr>
        <w:t xml:space="preserve"> }} € le mètre carré par mois.</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montant est majoré de 33 % pour les logements qui ont été attribués dans les conditions du b du 3° de l'article </w:t>
      </w:r>
      <w:r>
        <w:rPr>
          <w:rFonts w:cs="TimesNewRomanPSMT" w:ascii="TimesNewRomanPSMT" w:hAnsi="TimesNewRomanPSMT"/>
          <w:lang w:val="fr-FR"/>
        </w:rPr>
        <w:t>7</w:t>
      </w:r>
      <w:r>
        <w:rPr>
          <w:rFonts w:cs="TimesNewRomanPSMT" w:ascii="TimesNewRomanPSMT" w:hAnsi="TimesNewRomanPSMT"/>
        </w:rPr>
        <w:t xml:space="preserve">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loyers maximums sont révisés chaque année, le 1er janvier, dans les conditions prévues à l’article L. 353-9-2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NewRomanPSMT" w:hAnsi="TimesNewRomanPSMT"/>
          <w:b/>
          <w:bCs/>
          <w:lang w:val="fr-FR"/>
        </w:rPr>
        <w:t>{{ lot.loyer_derogatoire|f }}</w:t>
      </w:r>
      <w:r>
        <w:rPr>
          <w:rFonts w:cs="TimesNewRomanPSMT" w:ascii="TimesNewRomanPSMT" w:hAnsi="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 xml:space="preserve"> ter.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Cette majoration de loyer s'applique pendant une durée de ... mois et concerne ... mètres carrés de logements. Le nombre de mètres carrés peut varier de plus ou moins 20 %.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9</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conventionné, dont la valeur est fixée au mètre carré, ne peut excéder le loyer maximum défini dans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9</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NewRomanPSMT" w:hAnsi="TimesNewRomanPSMT"/>
        </w:rPr>
        <w:t>.</w:t>
      </w:r>
    </w:p>
    <w:p>
      <w:pPr>
        <w:pStyle w:val="Normal"/>
        <w:jc w:val="both"/>
        <w:rPr>
          <w:lang w:val="fr-FR"/>
        </w:rPr>
      </w:pPr>
      <w:r>
        <w:rPr>
          <w:lang w:val="fr-FR"/>
        </w:rPr>
      </w:r>
    </w:p>
    <w:p>
      <w:pPr>
        <w:pStyle w:val="Normal"/>
        <w:jc w:val="both"/>
        <w:rPr/>
      </w:pPr>
      <w:r>
        <w:rPr>
          <w:rFonts w:cs="TimesNewRomanPSMT" w:ascii="TimesNewRomanPSMT" w:hAnsi="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cs="TimesNewRomanPSMT" w:ascii="TimesNewRomanPSMT" w:hAnsi="TimesNewRomanPSMT"/>
        </w:rPr>
        <w:t xml:space="preserve">inférieures aux plafonds prévus à l'article D. 331-12 précité pour l'attribution des logements sociaux se verront appliquer, à partir de la réception par </w:t>
      </w:r>
      <w:r>
        <w:rPr>
          <w:rFonts w:cs="TimesNewRomanPSMT" w:ascii="TimesNewRomanPSMT" w:hAnsi="TimesNewRomanPSMT"/>
          <w:lang w:val="fr-FR"/>
        </w:rPr>
        <w:t>le bailleur</w:t>
      </w:r>
      <w:r>
        <w:rPr>
          <w:rFonts w:cs="TimesNewRomanPSMT" w:ascii="TimesNewRomanPSMT" w:hAnsi="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cs="TimesNewRomanPSMT" w:ascii="TimesNewRomanPSMT" w:hAnsi="TimesNewRomanPSMT"/>
          <w:lang w:val="fr-FR"/>
        </w:rPr>
        <w:t>8</w:t>
      </w:r>
      <w:r>
        <w:rPr>
          <w:rFonts w:cs="TimesNewRomanPSMT" w:ascii="TimesNewRomanPSMT" w:hAnsi="TimesNewRomanPSMT"/>
        </w:rPr>
        <w:t xml:space="preserve">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cs="TimesNewRomanPSMT" w:ascii="TimesNewRomanPSMT" w:hAnsi="TimesNewRomanPSMT"/>
          <w:lang w:val="fr-FR"/>
        </w:rPr>
        <w:t>8</w:t>
      </w:r>
      <w:r>
        <w:rPr>
          <w:rFonts w:cs="TimesNewRomanPSMT" w:ascii="TimesNewRomanPSMT" w:hAnsi="TimesNewRomanPSMT"/>
        </w:rPr>
        <w:t xml:space="preserve"> bis de la présente convention. Il peut être révisé chaque année le 1er janvier dans les conditions prévues à l’article L. 353-9-3 précité.</w:t>
      </w:r>
    </w:p>
    <w:p>
      <w:pPr>
        <w:pStyle w:val="Normal"/>
        <w:jc w:val="both"/>
        <w:rPr/>
      </w:pPr>
      <w:r>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III.-Engagements du bailleur à l'égard des locataires.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w:t>
      </w:r>
      <w:r>
        <w:rPr>
          <w:rFonts w:cs="TimesNewRomanPSMT" w:ascii="TimesNewRomanPSMT" w:hAnsi="TimesNewRomanPSMT"/>
          <w:lang w:val="fr-FR"/>
        </w:rPr>
        <w:t>0</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Établissement d'un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1</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Travaux.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Lorsque l'exécution des travaux nécessite l'évacuation temporaire des lieux, </w:t>
      </w:r>
      <w:r>
        <w:rPr>
          <w:rFonts w:cs="TimesNewRomanPSMT" w:ascii="TimesNewRomanPSMT" w:hAnsi="TimesNewRomanPSMT"/>
          <w:lang w:val="fr-FR"/>
        </w:rPr>
        <w:t xml:space="preserve">le </w:t>
      </w:r>
      <w:r>
        <w:rPr>
          <w:rFonts w:cs="TimesNewRomanPSMT" w:ascii="TimesNewRomanPSMT" w:hAnsi="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pPr>
      <w:r>
        <w:rPr/>
      </w:r>
    </w:p>
    <w:p>
      <w:pPr>
        <w:pStyle w:val="Normal"/>
        <w:jc w:val="both"/>
        <w:rPr/>
      </w:pPr>
      <w:r>
        <w:rPr>
          <w:rFonts w:cs="TimesNewRomanPSMT" w:ascii="TimesNewRomanPSMT" w:hAnsi="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 même canton ou dans les cantons limitrophes de ce canton inclus dans la même commune ou dans les communes limitrophes de ce canton, si la commune est divisée en cantons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2</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pPr>
      <w:r>
        <w:rPr>
          <w:rFonts w:cs="TimesNewRomanPSMT" w:ascii="TimesNewRomanPSMT" w:hAnsi="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3</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modification ou de résiliation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informe les locataires de toute modification apportée à la convention ayant des incidences sur leurs relations contractuelles.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4</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dans les lieux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spacing w:beforeAutospacing="1" w:afterAutospacing="1"/>
        <w:jc w:val="both"/>
        <w:rPr>
          <w:rFonts w:ascii="TimesNewRomanPSMT" w:hAnsi="TimesNewRomanPSMT"/>
        </w:rPr>
      </w:pPr>
      <w:r>
        <w:rPr>
          <w:rFonts w:ascii="TimesNewRomanPSMT" w:hAnsi="TimesNewRomanPSMT"/>
        </w:rPr>
        <w:t>Le contrat de location est conclu pour une durée de trois ans.</w:t>
        <w:br/>
        <w:br/>
        <w:t>Pendant la durée de la convention, le contrat de location est reconduit tacitement pour des périodes de trois ans, dans la mesure où le locataire se conforme aux obligations de l'article 7 de la loi du 6 juillet 1989 précitée.</w:t>
        <w:br/>
        <w:b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br/>
      </w:r>
    </w:p>
    <w:p>
      <w:pPr>
        <w:pStyle w:val="Normal"/>
        <w:jc w:val="center"/>
        <w:rPr/>
      </w:pPr>
      <w:r>
        <w:rPr>
          <w:rFonts w:cs="TimesNewRomanPSMT" w:ascii="TimesNewRomanPSMT" w:hAnsi="TimesNewRomanPSMT"/>
        </w:rPr>
        <w:t>Article 1</w:t>
      </w:r>
      <w:r>
        <w:rPr>
          <w:rFonts w:cs="TimesNewRomanPSMT" w:ascii="TimesNewRomanPSMT" w:hAnsi="TimesNewRomanPSMT"/>
          <w:lang w:val="fr-FR"/>
        </w:rPr>
        <w:t>5</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du paiement du loyer.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est payé mensuellement à terme échu.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retard du locataire dans le paiement du loyer et des charges locatives, le bailleur doit prendre toutes dispositions en vue de recouvrer sa créance.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6</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Dépôt de garantie.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IV.-Dispositions spécifiques au statut de résidence universitaire.</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w:t>
      </w:r>
      <w:r>
        <w:rPr>
          <w:rFonts w:cs="TimesNewRomanPSMT" w:ascii="TimesNewRomanPSMT" w:hAnsi="TimesNewRomanPSMT"/>
          <w:lang w:val="fr-FR"/>
        </w:rPr>
        <w:t>7</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stipulations particulières suivantes s’appliquent :</w:t>
      </w:r>
    </w:p>
    <w:p>
      <w:pPr>
        <w:pStyle w:val="Normal"/>
        <w:jc w:val="both"/>
        <w:rPr/>
      </w:pPr>
      <w:r>
        <w:rPr/>
      </w:r>
    </w:p>
    <w:p>
      <w:pPr>
        <w:pStyle w:val="Normal"/>
        <w:jc w:val="both"/>
        <w:rPr/>
      </w:pPr>
      <w:r>
        <w:rPr>
          <w:rFonts w:cs="TimesNewRomanPSMT" w:ascii="TimesNewRomanPSMT" w:hAnsi="TimesNewRomanPSMT"/>
        </w:rPr>
        <w:t>1°- Conditions de location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Modalités de fixation et de révision du loyer pratiqué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ne peut donner lieu à révision en cours de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Durée du contrat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 Forfait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cs="TimesNewRomanPSMT" w:ascii="TimesNewRomanPSMT" w:hAnsi="TimesNewRomanPSMT"/>
        </w:rPr>
        <w:t>ne doit pas être</w:t>
      </w:r>
      <w:r>
        <w:rPr>
          <w:rFonts w:cs="TimesNewRomanPSMT" w:ascii="TimesNewRomanPSMT" w:hAnsi="TimesNewRomanPSMT"/>
          <w:lang w:val="fr-FR"/>
        </w:rPr>
        <w:t xml:space="preserve"> </w:t>
      </w:r>
      <w:r>
        <w:rPr>
          <w:rFonts w:cs="TimesNewRomanPSMT" w:ascii="TimesNewRomanPSMT" w:hAnsi="TimesNewRomanPSMT"/>
        </w:rPr>
        <w:t>manifestement disproportionné au regard des charges dont le locataire ou, le cas échéant, le précédent locataire se serait acquitté.</w:t>
      </w:r>
    </w:p>
    <w:p>
      <w:pPr>
        <w:pStyle w:val="Normal"/>
        <w:jc w:val="both"/>
        <w:rPr/>
      </w:pPr>
      <w:r>
        <w:rPr/>
      </w:r>
    </w:p>
    <w:p>
      <w:pPr>
        <w:pStyle w:val="Normal"/>
        <w:jc w:val="both"/>
        <w:rPr/>
      </w:pPr>
      <w:r>
        <w:rPr>
          <w:rFonts w:cs="TimesNewRomanPSMT"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8</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Renonciation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V.-Engagements du bailleur à l'égard des organismes chargés de la liquidation et du paiement de l'APL.</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19</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générales.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une attestation concernant le montant du loyer applicable à chaque logement concerné par la présente convention, à compter du 1er juillet de l’année en cours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Ces transmissions peuvent s’effectuer grâce à un dispositif de collecte dématérialisé.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0</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en cas d’impayé.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des articles L. 824-1</w:t>
      </w:r>
      <w:r>
        <w:rPr>
          <w:rFonts w:cs="TimesNewRomanPSMT" w:ascii="TimesNewRomanPSMT" w:hAnsi="TimesNewRomanPSMT"/>
          <w:lang w:val="fr-FR"/>
        </w:rPr>
        <w:t>, D.823-15</w:t>
      </w:r>
      <w:r>
        <w:rPr>
          <w:rFonts w:cs="TimesNewRomanPSMT" w:ascii="TimesNewRomanPSMT" w:hAnsi="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pPr>
      <w:r>
        <w:rPr/>
      </w:r>
    </w:p>
    <w:p>
      <w:pPr>
        <w:pStyle w:val="Normal"/>
        <w:jc w:val="both"/>
        <w:rPr/>
      </w:pPr>
      <w:r>
        <w:rPr/>
      </w:r>
    </w:p>
    <w:p>
      <w:pPr>
        <w:pStyle w:val="Normal"/>
        <w:jc w:val="center"/>
        <w:rPr/>
      </w:pPr>
      <w:r>
        <w:rPr>
          <w:rFonts w:cs="TimesNewRomanPS-BoldMT" w:ascii="TimesNewRomanPS-BoldMT" w:hAnsi="TimesNewRomanPS-BoldMT"/>
          <w:b/>
        </w:rPr>
        <w:t>VI.-Dispositions relatives à l’application de la convention.</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w:t>
      </w:r>
      <w:r>
        <w:rPr>
          <w:rFonts w:cs="TimesNewRomanPSMT" w:ascii="TimesNewRomanPSMT" w:hAnsi="TimesNewRomanPSMT"/>
          <w:lang w:val="fr-FR"/>
        </w:rPr>
        <w:t>1</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2</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Révision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3</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Inexécution de la convention par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En application de l'article L. 353-2 du code de la construction et de l'habitation, des sanctions administratives peuvent être mises en œuvre.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w:t>
      </w:r>
      <w:r>
        <w:rPr>
          <w:rFonts w:cs="TimesNewRomanPSMT" w:ascii="TimesNewRomanPSMT" w:hAnsi="TimesNewRomanPSMT"/>
          <w:lang w:val="fr-FR"/>
        </w:rPr>
        <w:t xml:space="preserve">e le bailleur </w:t>
      </w:r>
      <w:r>
        <w:rPr>
          <w:rFonts w:cs="TimesNewRomanPSMT" w:ascii="TimesNewRomanPSMT" w:hAnsi="TimesNewRomanPSMT"/>
        </w:rPr>
        <w:t xml:space="preserve">ne respecte pas, pour un ou plusieurs logements, les engagements prévus par la convention, et après que </w:t>
      </w:r>
      <w:r>
        <w:rPr>
          <w:rFonts w:cs="TimesNewRomanPSMT" w:ascii="TimesNewRomanPSMT" w:hAnsi="TimesNewRomanPSMT"/>
          <w:lang w:val="fr-FR"/>
        </w:rPr>
        <w:t>le bailleur</w:t>
      </w:r>
      <w:r>
        <w:rPr>
          <w:rFonts w:cs="TimesNewRomanPSMT" w:ascii="TimesNewRomanPSMT" w:hAnsi="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cs="TimesNewRomanPSMT" w:ascii="TimesNewRomanPSMT" w:hAnsi="TimesNewRomanPSMT"/>
          <w:lang w:val="fr-FR"/>
        </w:rPr>
        <w:t>le bailleur</w:t>
      </w:r>
      <w:r>
        <w:rPr>
          <w:rFonts w:cs="TimesNewRomanPSMT" w:ascii="TimesNewRomanPSMT" w:hAnsi="TimesNewRomanPSMT"/>
        </w:rPr>
        <w:t xml:space="preserve"> par lettre recommandée avec demande d'avis de réception. </w:t>
      </w:r>
      <w:r>
        <w:rPr>
          <w:rFonts w:cs="TimesNewRomanPSMT" w:ascii="TimesNewRomanPSMT" w:hAnsi="TimesNewRomanPSMT"/>
          <w:lang w:val="fr-FR"/>
        </w:rPr>
        <w:t>Le bailleur</w:t>
      </w:r>
      <w:r>
        <w:rPr>
          <w:rFonts w:cs="TimesNewRomanPSMT" w:ascii="TimesNewRomanPSMT" w:hAnsi="TimesNewRomanPSMT"/>
        </w:rPr>
        <w:t xml:space="preserve"> doit dans un délai de deux mois soit satisfaire à ses obligations, soit formuler ses observations.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 préfet écarte ces observations, sa décision doit être motivée.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ce cas, il est fait application des dispositions prévues à l'article L. 353-6 du code de la construction et de l'habitation.</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4</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Publication.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cs="TimesNewRomanPSMT" w:ascii="TimesNewRomanPSMT" w:hAnsi="TimesNewRomanPSMT"/>
          <w:lang w:val="fr-FR"/>
        </w:rPr>
        <w:t>u bailleur</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pPr>
      <w:r>
        <w:rPr>
          <w:rFonts w:cs="TimesNewRomanPSMT" w:ascii="TimesNewRomanPSMT" w:hAnsi="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38CE4ED7">
                <wp:extent cx="5233670" cy="2717800"/>
                <wp:effectExtent l="0" t="0" r="635" b="1905"/>
                <wp:docPr id="1" name="Forme1"/>
                <a:graphic xmlns:a="http://schemas.openxmlformats.org/drawingml/2006/main">
                  <a:graphicData uri="http://schemas.microsoft.com/office/word/2010/wordprocessingShape">
                    <wps:wsp>
                      <wps:cNvSpPr/>
                      <wps:spPr>
                        <a:xfrm>
                          <a:off x="0" y="0"/>
                          <a:ext cx="5232960" cy="271728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15pt;width:412pt;height:213.9pt;mso-wrap-style:square;v-text-anchor:top;mso-position-vertical:top" wp14:anchorId="38CE4ED7">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w:t>
      </w:r>
      <w:r>
        <w:rPr>
          <w:rFonts w:cs="TimesNewRomanPS-BoldMT" w:ascii="TimesNewRomanPS-BoldMT" w:hAnsi="TimesNewRomanPS-BoldMT"/>
          <w:b/>
          <w:lang w:val="fr-FR"/>
        </w:rPr>
        <w:t xml:space="preserve"> l’</w:t>
      </w:r>
      <w:r>
        <w:rPr>
          <w:rFonts w:cs="TimesNewRomanPS-BoldMT" w:ascii="TimesNewRomanPS-BoldMT" w:hAnsi="TimesNewRomanPS-BoldMT"/>
          <w:b/>
        </w:rPr>
        <w:t>annexes à l'article D. 353-</w:t>
      </w:r>
      <w:r>
        <w:rPr>
          <w:rFonts w:cs="TimesNewRomanPS-BoldMT" w:ascii="TimesNewRomanPS-BoldMT" w:hAnsi="TimesNewRomanPS-BoldMT"/>
          <w:b/>
          <w:lang w:val="fr-FR"/>
        </w:rPr>
        <w:t>59</w:t>
      </w:r>
      <w:r>
        <w:rPr>
          <w:rFonts w:cs="TimesNewRomanPS-BoldMT" w:ascii="TimesNewRomanPS-BoldMT" w:hAnsi="TimesNewRomanPS-BoldMT"/>
          <w:b/>
        </w:rPr>
        <w:t xml:space="preserve"> du code de la construction et de l’habitation lorsque le loyer maximum des logements est exprimé en surface </w:t>
      </w:r>
      <w:r>
        <w:rPr>
          <w:rFonts w:cs="TimesNewRomanPS-BoldMT" w:ascii="TimesNewRomanPS-BoldMT" w:hAnsi="TimesNewRomanPS-BoldMT"/>
          <w:b/>
          <w:lang w:val="fr-FR"/>
        </w:rPr>
        <w:t>utile</w:t>
      </w:r>
      <w:r>
        <w:rPr>
          <w:rFonts w:cs="TimesNewRomanPS-BoldMT" w:ascii="TimesNewRomanPS-BoldMT" w:hAnsi="TimesNewRomanPS-BoldMT"/>
          <w:b/>
        </w:rPr>
        <w:t>.</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 xml:space="preserve">Description de l'opération </w:t>
      </w:r>
      <w:bookmarkStart w:id="25" w:name="NomProgramme3"/>
      <w:bookmarkEnd w:id="25"/>
      <w:r>
        <w:rPr>
          <w:rFonts w:cs="TimesNewRomanPSMT" w:ascii="TimesNewRomanPSMT" w:hAnsi="TimesNewRomanPSMT"/>
        </w:rPr>
        <w:t xml:space="preserve">{{ programme.nom }}, pour </w:t>
      </w:r>
      <w:bookmarkStart w:id="26" w:name="NbLogement3"/>
      <w:bookmarkEnd w:id="26"/>
      <w:r>
        <w:rPr>
          <w:rFonts w:cs="TimesNewRomanPSMT" w:ascii="TimesNewRomanPSMT" w:hAnsi="TimesNewRomanPSMT"/>
        </w:rPr>
        <w:t xml:space="preserve">{{ lot.nb_logements }} logement{{lot.nb_logements|pl }} </w:t>
      </w:r>
      <w:bookmarkStart w:id="27" w:name="Fi3"/>
      <w:bookmarkEnd w:id="27"/>
      <w:r>
        <w:rPr>
          <w:rFonts w:cs="TimesNewRomanPSMT" w:ascii="TimesNewRomanPSMT" w:hAnsi="TimesNewRomanPSMT"/>
        </w:rPr>
        <w:t xml:space="preserve">{{ lot.financement }}, </w:t>
      </w:r>
      <w:bookmarkStart w:id="28" w:name="Adresse3"/>
      <w:bookmarkEnd w:id="28"/>
      <w:r>
        <w:rPr>
          <w:rFonts w:cs="TimesNewRomanPSMT" w:ascii="TimesNewRomanPSMT" w:hAnsi="TimesNewRomanPSMT"/>
        </w:rPr>
        <w:t xml:space="preserve">{{ programme.adresse|inline_text_multiline }} à </w:t>
      </w:r>
      <w:bookmarkStart w:id="29" w:name="CodePostal3"/>
      <w:bookmarkEnd w:id="29"/>
      <w:r>
        <w:rPr>
          <w:rFonts w:cs="TimesNewRomanPSMT" w:ascii="TimesNewRomanPSMT" w:hAnsi="TimesNewRomanPSMT"/>
        </w:rPr>
        <w:t xml:space="preserve">{{ programme.code_postal }}, </w:t>
      </w:r>
      <w:bookmarkStart w:id="30" w:name="Ville3"/>
      <w:bookmarkEnd w:id="30"/>
      <w:r>
        <w:rPr>
          <w:rFonts w:cs="TimesNewRomanPSMT" w:ascii="TimesNewRomanPSMT" w:hAnsi="TimesNewRomanPSMT"/>
        </w:rPr>
        <w:t>{{ programme.ville }} (3).</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Désignation du ou des immeubles (</w:t>
      </w:r>
      <w:r>
        <w:rPr>
          <w:rFonts w:cs="TimesNewRomanPSMT" w:ascii="TimesNewRomanPSMT" w:hAnsi="TimesNewRomanPSMT"/>
          <w:lang w:val="fr-FR"/>
        </w:rPr>
        <w:t>8</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31" w:name="S3"/>
      <w:bookmarkEnd w:id="31"/>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bookmarkStart w:id="32" w:name="S31"/>
      <w:bookmarkEnd w:id="32"/>
      <w:r>
        <w:rPr>
          <w:rFonts w:cs="TimesNewRomanPSMT" w:ascii="TimesNewRomanPSMT" w:hAnsi="TimesNewRomanPSMT"/>
        </w:rPr>
        <w:t>{% for image in effet_relatif_images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33" w:name="S4"/>
      <w:bookmarkEnd w:id="33"/>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4" w:name="S6"/>
      <w:bookmarkStart w:id="35" w:name="S6"/>
      <w:bookmarkEnd w:id="35"/>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 xml:space="preserve">Numéro de lot des logements </w:t>
            </w:r>
          </w:p>
          <w:p>
            <w:pPr>
              <w:pStyle w:val="Normal"/>
              <w:widowControl w:val="false"/>
              <w:suppressAutoHyphens w:val="true"/>
              <w:spacing w:before="0" w:after="0"/>
              <w:jc w:val="left"/>
              <w:rPr>
                <w:b/>
                <w:b/>
                <w:bCs/>
                <w:sz w:val="16"/>
                <w:szCs w:val="16"/>
                <w:lang w:val="en-US"/>
              </w:rPr>
            </w:pPr>
            <w:r>
              <w:rPr>
                <w:rFonts w:eastAsia="Times New Roman" w:cs="Times New Roman"/>
                <w:b w:val="false"/>
                <w:bCs w:val="false"/>
                <w:kern w:val="0"/>
                <w:sz w:val="16"/>
                <w:szCs w:val="16"/>
                <w:lang w:val="en-US" w:eastAsia="en-GB" w:bidi="ar-SA"/>
              </w:rPr>
              <w:t>(tel que inscrit dans les actes de vente/propriété…)</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i.numero_lot }}</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6" w:name="S7"/>
      <w:bookmarkStart w:id="37" w:name="S7"/>
      <w:bookmarkEnd w:id="37"/>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8" w:name="NbLogement4"/>
      <w:bookmarkStart w:id="39" w:name="AutreType"/>
      <w:bookmarkStart w:id="40" w:name="Type2"/>
      <w:bookmarkEnd w:id="38"/>
      <w:bookmarkEnd w:id="39"/>
      <w:bookmarkEnd w:id="40"/>
      <w:r>
        <w:rPr/>
        <w:t>{{ lot.nb_logements }} logement</w:t>
      </w:r>
      <w:r>
        <w:rPr>
          <w:rFonts w:cs="TimesNewRomanPSMT" w:ascii="TimesNewRomanPSMT" w:hAnsi="TimesNewRomanPSMT"/>
        </w:rPr>
        <w:t>{{lot.nb_logements|pl</w:t>
      </w:r>
      <w:r>
        <w:rPr/>
        <w:t xml:space="preserve"> }}{{ lot.get_type_habitat_advanced_display(lot.nb_logements) }}</w:t>
      </w:r>
      <w:bookmarkStart w:id="41" w:name="Fi4"/>
      <w:bookmarkEnd w:id="41"/>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Composition de l'opération.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ascii="TimesNewRomanPSMT" w:hAnsi="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cs="TimesNewRomanPSMT" w:ascii="TimesNewRomanPSMT" w:hAnsi="TimesNewRomanPSMT"/>
          <w:lang w:val="fr-FR"/>
        </w:rPr>
        <w:t>7</w:t>
      </w:r>
      <w:r>
        <w:rPr>
          <w:rFonts w:cs="TimesNewRomanPSMT" w:ascii="TimesNewRomanPSMT" w:hAnsi="TimesNewRomanPSMT"/>
        </w:rPr>
        <w:t xml:space="preserve">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premier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2" w:name="Mix30111"/>
      <w:bookmarkEnd w:id="42"/>
      <w:r>
        <w:rPr>
          <w:rFonts w:cs="TimesNewRomanPSMT" w:ascii="TimesNewRomanPSMT" w:hAnsi="TimesNewRomanPSMT"/>
          <w:b/>
        </w:rPr>
        <w:t>{{ mixPLUS_30pc }}</w:t>
      </w:r>
      <w:r>
        <w:rPr>
          <w:rFonts w:cs="TimesNewRomanPSMT" w:ascii="TimesNewRomanPSMT" w:hAnsi="TimesNewRomanPSMT"/>
        </w:rPr>
        <w:t xml:space="preserve"> logement{{</w:t>
      </w:r>
      <w:r>
        <w:rPr>
          <w:rFonts w:cs="TimesNewRomanPSMT" w:ascii="TimesNewRomanPSMT" w:hAnsi="TimesNewRomanPSMT"/>
          <w:bCs/>
        </w:rPr>
        <w:t>mixPLUS</w:t>
      </w:r>
      <w:r>
        <w:rPr>
          <w:rFonts w:cs="TimesNewRomanPSMT" w:ascii="TimesNewRomanPSMT" w:hAnsi="TimesNewRomanPSMT"/>
          <w:bCs/>
          <w:lang w:val="fr-FR"/>
        </w:rPr>
        <w:t>_</w:t>
      </w:r>
      <w:r>
        <w:rPr>
          <w:rFonts w:cs="TimesNewRomanPSMT" w:ascii="TimesNewRomanPSMT" w:hAnsi="TimesNewRomanPSMT"/>
          <w:bCs/>
        </w:rPr>
        <w:t>30pc</w:t>
      </w:r>
      <w:r>
        <w:rPr>
          <w:rFonts w:cs="TimesNewRomanPSMT" w:ascii="TimesNewRomanPSMT" w:hAnsi="TimesNewRomanPSMT"/>
          <w:lang w:val="fr-FR"/>
        </w:rPr>
        <w:t>|pl</w:t>
      </w:r>
      <w:r>
        <w:rPr/>
        <w:t xml:space="preserve">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deuxième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3" w:name="Mix30112"/>
      <w:bookmarkEnd w:id="43"/>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4" w:name="Mix1092"/>
      <w:bookmarkEnd w:id="44"/>
      <w:r>
        <w:rPr>
          <w:rFonts w:cs="TimesNewRomanPSMT" w:ascii="TimesNewRomanPSMT" w:hAnsi="TimesNewRomanPSMT"/>
          <w:b/>
          <w:bCs/>
        </w:rPr>
        <w:t>{{ mixPLUS_10pc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2. Surface habitable totale (art. R. 111-2 du code de la construction et de l’habitation) : </w:t>
      </w:r>
      <w:bookmarkStart w:id="45" w:name="SH"/>
      <w:bookmarkEnd w:id="45"/>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46" w:name="SA"/>
      <w:bookmarkEnd w:id="46"/>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7" w:name="__Fieldmark__17680_2465517801"/>
      <w:bookmarkStart w:id="48" w:name="__Fieldmark__17680_2465517801"/>
      <w:bookmarkEnd w:id="48"/>
      <w:r>
        <w:rPr>
          <w:rFonts w:ascii="TimesNewRomanPSMT" w:hAnsi="TimesNewRomanPSMT"/>
          <w:sz w:val="16"/>
          <w:szCs w:val="16"/>
        </w:rPr>
      </w:r>
      <w:r>
        <w:rPr>
          <w:sz w:val="16"/>
          <w:szCs w:val="16"/>
          <w:rFonts w:ascii="TimesNewRomanPSMT" w:hAnsi="TimesNewRomanPSMT"/>
        </w:rPr>
        <w:fldChar w:fldCharType="end"/>
      </w:r>
      <w:bookmarkStart w:id="49" w:name="__Fieldmark__912_816879668"/>
      <w:bookmarkStart w:id="50" w:name="__Fieldmark__5158_2465517801"/>
      <w:bookmarkEnd w:id="49"/>
      <w:bookmarkEnd w:id="50"/>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1" w:name="__Fieldmark__17696_2465517801"/>
      <w:bookmarkStart w:id="52" w:name="__Fieldmark__17696_2465517801"/>
      <w:bookmarkEnd w:id="52"/>
      <w:r>
        <w:rPr>
          <w:rFonts w:ascii="TimesNewRomanPSMT" w:hAnsi="TimesNewRomanPSMT"/>
          <w:sz w:val="16"/>
          <w:szCs w:val="16"/>
        </w:rPr>
      </w:r>
      <w:r>
        <w:rPr>
          <w:sz w:val="16"/>
          <w:szCs w:val="16"/>
          <w:rFonts w:ascii="TimesNewRomanPSMT" w:hAnsi="TimesNewRomanPSMT"/>
        </w:rPr>
        <w:fldChar w:fldCharType="end"/>
      </w:r>
      <w:bookmarkStart w:id="53" w:name="__Fieldmark__925_816879668"/>
      <w:bookmarkStart w:id="54" w:name="__Fieldmark__5171_2465517801"/>
      <w:bookmarkEnd w:id="53"/>
      <w:bookmarkEnd w:id="54"/>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5" w:name="__Fieldmark__17716_2465517801"/>
      <w:bookmarkStart w:id="56" w:name="__Fieldmark__17716_2465517801"/>
      <w:bookmarkEnd w:id="56"/>
      <w:r>
        <w:rPr>
          <w:rFonts w:ascii="TimesNewRomanPSMT" w:hAnsi="TimesNewRomanPSMT"/>
          <w:sz w:val="16"/>
          <w:szCs w:val="16"/>
        </w:rPr>
      </w:r>
      <w:r>
        <w:rPr>
          <w:sz w:val="16"/>
          <w:szCs w:val="16"/>
          <w:rFonts w:ascii="TimesNewRomanPSMT" w:hAnsi="TimesNewRomanPSMT"/>
        </w:rPr>
        <w:fldChar w:fldCharType="end"/>
      </w:r>
      <w:bookmarkStart w:id="57" w:name="__Fieldmark__939_816879668"/>
      <w:bookmarkStart w:id="58" w:name="__Fieldmark__5188_2465517801"/>
      <w:bookmarkEnd w:id="57"/>
      <w:bookmarkEnd w:id="58"/>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9" w:name="__Fieldmark__17732_2465517801"/>
      <w:bookmarkStart w:id="60" w:name="__Fieldmark__17732_2465517801"/>
      <w:bookmarkEnd w:id="60"/>
      <w:r>
        <w:rPr>
          <w:rFonts w:ascii="TimesNewRomanPSMT" w:hAnsi="TimesNewRomanPSMT"/>
          <w:sz w:val="16"/>
          <w:szCs w:val="16"/>
        </w:rPr>
      </w:r>
      <w:r>
        <w:rPr>
          <w:sz w:val="16"/>
          <w:szCs w:val="16"/>
          <w:rFonts w:ascii="TimesNewRomanPSMT" w:hAnsi="TimesNewRomanPSMT"/>
        </w:rPr>
        <w:fldChar w:fldCharType="end"/>
      </w:r>
      <w:bookmarkStart w:id="61" w:name="__Fieldmark__952_816879668"/>
      <w:bookmarkStart w:id="62" w:name="__Fieldmark__5201_2465517801"/>
      <w:bookmarkEnd w:id="61"/>
      <w:bookmarkEnd w:id="62"/>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3" w:name="__Fieldmark__17746_2465517801"/>
      <w:bookmarkStart w:id="64" w:name="__Fieldmark__17746_2465517801"/>
      <w:bookmarkEnd w:id="64"/>
      <w:r>
        <w:rPr>
          <w:rFonts w:ascii="TimesNewRomanPSMT" w:hAnsi="TimesNewRomanPSMT"/>
          <w:sz w:val="16"/>
          <w:szCs w:val="16"/>
        </w:rPr>
      </w:r>
      <w:r>
        <w:rPr>
          <w:sz w:val="16"/>
          <w:szCs w:val="16"/>
          <w:rFonts w:ascii="TimesNewRomanPSMT" w:hAnsi="TimesNewRomanPSMT"/>
        </w:rPr>
        <w:fldChar w:fldCharType="end"/>
      </w:r>
      <w:bookmarkStart w:id="65" w:name="__Fieldmark__965_816879668"/>
      <w:bookmarkStart w:id="66" w:name="__Fieldmark__5212_2465517801"/>
      <w:bookmarkEnd w:id="65"/>
      <w:bookmarkEnd w:id="66"/>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7" w:name="__Fieldmark__17764_2465517801"/>
      <w:bookmarkStart w:id="68" w:name="__Fieldmark__17764_2465517801"/>
      <w:bookmarkEnd w:id="68"/>
      <w:r>
        <w:rPr>
          <w:rFonts w:ascii="TimesNewRomanPSMT" w:hAnsi="TimesNewRomanPSMT"/>
          <w:sz w:val="16"/>
          <w:szCs w:val="16"/>
        </w:rPr>
      </w:r>
      <w:r>
        <w:rPr>
          <w:sz w:val="16"/>
          <w:szCs w:val="16"/>
          <w:rFonts w:ascii="TimesNewRomanPSMT" w:hAnsi="TimesNewRomanPSMT"/>
        </w:rPr>
        <w:fldChar w:fldCharType="end"/>
      </w:r>
      <w:bookmarkStart w:id="69" w:name="__Fieldmark__978_816879668"/>
      <w:bookmarkStart w:id="70" w:name="__Fieldmark__5227_2465517801"/>
      <w:bookmarkEnd w:id="69"/>
      <w:bookmarkEnd w:id="70"/>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1" w:name="__Fieldmark__17784_2465517801"/>
      <w:bookmarkStart w:id="72" w:name="__Fieldmark__17784_2465517801"/>
      <w:bookmarkEnd w:id="72"/>
      <w:r>
        <w:rPr>
          <w:rFonts w:ascii="TimesNewRomanPSMT" w:hAnsi="TimesNewRomanPSMT"/>
          <w:sz w:val="16"/>
          <w:szCs w:val="16"/>
        </w:rPr>
      </w:r>
      <w:r>
        <w:rPr>
          <w:sz w:val="16"/>
          <w:szCs w:val="16"/>
          <w:rFonts w:ascii="TimesNewRomanPSMT" w:hAnsi="TimesNewRomanPSMT"/>
        </w:rPr>
        <w:fldChar w:fldCharType="end"/>
      </w:r>
      <w:bookmarkStart w:id="73" w:name="__Fieldmark__992_816879668"/>
      <w:bookmarkStart w:id="74" w:name="__Fieldmark__5244_2465517801"/>
      <w:bookmarkEnd w:id="73"/>
      <w:bookmarkEnd w:id="74"/>
      <w:r>
        <w:rPr>
          <w:rFonts w:cs="TimesNewRomanPSMT" w:ascii="TimesNewRomanPSMT" w:hAnsi="TimesNewRomanPSMT"/>
          <w:sz w:val="16"/>
          <w:szCs w:val="16"/>
        </w:rPr>
        <w:t xml:space="preserve"> </w:t>
      </w:r>
      <w:r>
        <w:rPr>
          <w:rFonts w:cs="TimesNewRomanPSMT" w:ascii="TimesNewRomanPSMT" w:hAnsi="TimesNewRomanPSMT"/>
          <w:lang w:val="fr-FR"/>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fr-FR"/>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5" w:name="__Fieldmark__17804_2465517801"/>
      <w:bookmarkStart w:id="76" w:name="__Fieldmark__17804_2465517801"/>
      <w:bookmarkEnd w:id="76"/>
      <w:r>
        <w:rPr>
          <w:rFonts w:ascii="TimesNewRomanPSMT" w:hAnsi="TimesNewRomanPSMT"/>
          <w:sz w:val="16"/>
          <w:szCs w:val="16"/>
        </w:rPr>
      </w:r>
      <w:r>
        <w:rPr>
          <w:sz w:val="16"/>
          <w:szCs w:val="16"/>
          <w:rFonts w:ascii="TimesNewRomanPSMT" w:hAnsi="TimesNewRomanPSMT"/>
        </w:rPr>
        <w:fldChar w:fldCharType="end"/>
      </w:r>
      <w:bookmarkStart w:id="77" w:name="__Fieldmark__1006_816879668"/>
      <w:bookmarkStart w:id="78" w:name="__Fieldmark__5261_2465517801"/>
      <w:bookmarkEnd w:id="77"/>
      <w:bookmarkEnd w:id="78"/>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9" w:name="__Fieldmark__17824_2465517801"/>
      <w:bookmarkStart w:id="80" w:name="__Fieldmark__17824_2465517801"/>
      <w:bookmarkEnd w:id="80"/>
      <w:r>
        <w:rPr>
          <w:rFonts w:ascii="TimesNewRomanPSMT" w:hAnsi="TimesNewRomanPSMT"/>
          <w:sz w:val="16"/>
          <w:szCs w:val="16"/>
        </w:rPr>
      </w:r>
      <w:r>
        <w:rPr>
          <w:sz w:val="16"/>
          <w:szCs w:val="16"/>
          <w:rFonts w:ascii="TimesNewRomanPSMT" w:hAnsi="TimesNewRomanPSMT"/>
        </w:rPr>
        <w:fldChar w:fldCharType="end"/>
      </w:r>
      <w:bookmarkStart w:id="81" w:name="__Fieldmark__1019_816879668"/>
      <w:bookmarkStart w:id="82" w:name="__Fieldmark__5278_2465517801"/>
      <w:bookmarkEnd w:id="81"/>
      <w:bookmarkEnd w:id="82"/>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83" w:name="__Fieldmark__17838_2465517801"/>
      <w:bookmarkStart w:id="84" w:name="__Fieldmark__17838_2465517801"/>
      <w:bookmarkEnd w:id="84"/>
      <w:r>
        <w:rPr>
          <w:rFonts w:ascii="TimesNewRomanPSMT" w:hAnsi="TimesNewRomanPSMT"/>
          <w:sz w:val="16"/>
          <w:szCs w:val="16"/>
        </w:rPr>
      </w:r>
      <w:r>
        <w:rPr>
          <w:sz w:val="16"/>
          <w:szCs w:val="16"/>
          <w:rFonts w:ascii="TimesNewRomanPSMT" w:hAnsi="TimesNewRomanPSMT"/>
        </w:rPr>
        <w:fldChar w:fldCharType="end"/>
      </w:r>
      <w:bookmarkStart w:id="85" w:name="__Fieldmark__1032_816879668"/>
      <w:bookmarkStart w:id="86" w:name="__Fieldmark__5289_2465517801"/>
      <w:bookmarkEnd w:id="85"/>
      <w:bookmarkEnd w:id="86"/>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87" w:name="__Fieldmark__17858_2465517801"/>
      <w:bookmarkStart w:id="88" w:name="__Fieldmark__17858_2465517801"/>
      <w:bookmarkEnd w:id="88"/>
      <w:r>
        <w:rPr>
          <w:rFonts w:ascii="TimesNewRomanPSMT" w:hAnsi="TimesNewRomanPSMT"/>
          <w:sz w:val="16"/>
          <w:szCs w:val="16"/>
        </w:rPr>
      </w:r>
      <w:r>
        <w:rPr>
          <w:sz w:val="16"/>
          <w:szCs w:val="16"/>
          <w:rFonts w:ascii="TimesNewRomanPSMT" w:hAnsi="TimesNewRomanPSMT"/>
        </w:rPr>
        <w:fldChar w:fldCharType="end"/>
      </w:r>
      <w:bookmarkStart w:id="89" w:name="__Fieldmark__1045_816879668"/>
      <w:bookmarkStart w:id="90" w:name="__Fieldmark__5306_2465517801"/>
      <w:bookmarkEnd w:id="89"/>
      <w:bookmarkEnd w:id="90"/>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rPr>
      </w:pPr>
      <w:r>
        <w:rPr>
          <w:rFonts w:cs="Open Sans" w:ascii="Open Sans" w:hAnsi="Open Sans"/>
          <w:color w:val="3F4350"/>
          <w:sz w:val="20"/>
          <w:szCs w:val="20"/>
        </w:rPr>
      </w:r>
    </w:p>
    <w:p>
      <w:pPr>
        <w:pStyle w:val="Normal"/>
        <w:jc w:val="both"/>
        <w:rPr/>
      </w:pPr>
      <w:r>
        <w:rPr>
          <w:rFonts w:cs="TimesNewRomanPSMT" w:ascii="TimesNewRomanPSMT" w:hAnsi="TimesNewRomanPSMT"/>
        </w:rPr>
        <w:t>3 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91" w:name="SU"/>
      <w:bookmarkEnd w:id="91"/>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92" w:name="S1"/>
      <w:bookmarkEnd w:id="92"/>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1136"/>
        <w:gridCol w:w="849"/>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5"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val="false"/>
              <w:suppressAutoHyphens w:val="true"/>
              <w:spacing w:before="0" w:after="0"/>
              <w:jc w:val="left"/>
              <w:rPr>
                <w:rFonts w:ascii="TimesNewRomanPSMT" w:hAnsi="TimesNewRomanPSMT" w:cs="TimesNewRomanPSMT"/>
                <w:sz w:val="12"/>
                <w:szCs w:val="12"/>
                <w:lang w:val="fr-FR"/>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r>
              <w:rPr>
                <w:rFonts w:eastAsia="Times New Roman" w:cs="TimesNewRomanPSMT" w:ascii="TimesNewRomanPSMT" w:hAnsi="TimesNewRomanPSMT"/>
                <w:kern w:val="0"/>
                <w:sz w:val="14"/>
                <w:szCs w:val="14"/>
                <w:lang w:val="fr-FR" w:eastAsia="en-GB" w:bidi="ar-SA"/>
              </w:rPr>
              <w:t>*</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fr-FR" w:bidi="ar-SA"/>
              </w:rPr>
              <w:t xml:space="preserve">* La majoration prévue à l’article </w:t>
            </w:r>
            <w:r>
              <w:rPr>
                <w:rFonts w:eastAsia="Times New Roman" w:cs="TimesNewRomanPSMT" w:ascii="TimesNewRomanPSMT" w:hAnsi="TimesNewRomanPSMT"/>
                <w:kern w:val="0"/>
                <w:sz w:val="16"/>
                <w:szCs w:val="16"/>
                <w:lang w:val="fr-FR" w:eastAsia="fr-FR" w:bidi="ar-SA"/>
              </w:rPr>
              <w:t>8</w:t>
            </w:r>
            <w:r>
              <w:rPr>
                <w:rFonts w:eastAsia="Times New Roman" w:cs="TimesNewRomanPSMT" w:ascii="TimesNewRomanPSMT" w:hAnsi="TimesNewRomanPSMT"/>
                <w:kern w:val="0"/>
                <w:sz w:val="16"/>
                <w:szCs w:val="16"/>
                <w:lang w:val="en-FR" w:eastAsia="fr-FR" w:bidi="ar-SA"/>
              </w:rPr>
              <w:t xml:space="preserve"> de la convention est susceptible de s’appliquer à ces loyers.</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bookmarkStart w:id="93" w:name="S2"/>
      <w:bookmarkStart w:id="94" w:name="S2"/>
      <w:bookmarkEnd w:id="94"/>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95" w:name="S10"/>
      <w:bookmarkStart w:id="96" w:name="S9"/>
      <w:bookmarkEnd w:id="95"/>
      <w:bookmarkEnd w:id="96"/>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97" w:name="Locaux"/>
      <w:bookmarkEnd w:id="97"/>
      <w:r>
        <w:rPr>
          <w:rFonts w:cs="TimesNewRomanPSMT" w:ascii="TimesNewRomanPSMT" w:hAnsi="TimesNewRomanPSMT"/>
        </w:rPr>
        <w:t xml:space="preserve">Locaux commerciaux (nombre) :  </w:t>
      </w:r>
      <w:bookmarkStart w:id="98" w:name="Commerce"/>
      <w:bookmarkEnd w:id="98"/>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99" w:name="Bureau"/>
      <w:bookmarkEnd w:id="99"/>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100" w:name="Autre"/>
      <w:bookmarkEnd w:id="100"/>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101" w:name="Vendeur"/>
      <w:bookmarkEnd w:id="101"/>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102" w:name="Acquereur"/>
      <w:bookmarkEnd w:id="102"/>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103" w:name="ActeNotaire"/>
      <w:bookmarkEnd w:id="103"/>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104" w:name="Notaire"/>
      <w:bookmarkEnd w:id="104"/>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105" w:name="Refpublic"/>
      <w:bookmarkEnd w:id="105"/>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5°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5.1. Permis de construire : </w:t>
      </w:r>
      <w:bookmarkStart w:id="106" w:name="PC"/>
      <w:bookmarkEnd w:id="106"/>
      <w:r>
        <w:rPr>
          <w:rFonts w:cs="TimesNewRomanPSMT" w:ascii="TimesNewRomanPSMT" w:hAnsi="TimesNewRomanPSMT"/>
        </w:rPr>
        <w:t>{{ programme.permis_construire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5.2. Date prévisible ou effective d'achèvement des travaux de construction ou d'amélioration : {{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5.3. Date d'achat : </w:t>
      </w:r>
      <w:bookmarkStart w:id="107" w:name="Achat"/>
      <w:bookmarkEnd w:id="107"/>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5.4. Modalités de financement.</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Numéro : {{ p.n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Date d’octroi : {{ p.do|sd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Durée: {{ p.d }} an{{ p.d|pl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Montant : {{ p.m|f }}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p.p_full() }}</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t>{% endif %}</w:t>
      </w:r>
    </w:p>
    <w:p>
      <w:pPr>
        <w:pStyle w:val="Normal"/>
        <w:jc w:val="both"/>
        <w:rPr/>
      </w:pPr>
      <w:bookmarkStart w:id="108" w:name="Etat"/>
      <w:bookmarkEnd w:id="108"/>
      <w:r>
        <w:rPr>
          <w:rFonts w:cs="TimesNewRomanPSMT" w:ascii="TimesNewRomanPSMT" w:hAnsi="TimesNewRomanPSMT"/>
        </w:rPr>
        <w:t>{% if autres_prets.count() %} Financement complémentaire :</w:t>
      </w:r>
    </w:p>
    <w:p>
      <w:pPr>
        <w:pStyle w:val="Normal"/>
        <w:jc w:val="both"/>
        <w:rPr>
          <w:rFonts w:ascii="TimesNewRomanPSMT" w:hAnsi="TimesNewRomanPSMT" w:cs="TimesNewRomanPSMT"/>
          <w:lang w:val="en-US"/>
        </w:rPr>
      </w:pPr>
      <w:r>
        <w:rPr>
          <w:rFonts w:cs="TimesNewRomanPSMT" w:ascii="TimesNewRomanPSMT" w:hAnsi="TimesNewRomanPSMT"/>
        </w:rPr>
        <w:t xml:space="preserve">{% for p in </w:t>
      </w:r>
      <w:r>
        <w:rPr>
          <w:rFonts w:cs="TimesNewRomanPSMT" w:ascii="TimesNewRomanPSMT" w:hAnsi="TimesNewRomanPSMT"/>
          <w:lang w:val="en-US"/>
        </w:rPr>
        <w:t>autres_</w:t>
      </w:r>
      <w:r>
        <w:rPr>
          <w:rFonts w:cs="TimesNewRomanPSMT" w:ascii="TimesNewRomanPSMT" w:hAnsi="TimesNewRomanPSMT"/>
        </w:rPr>
        <w:t>prets %}</w:t>
      </w:r>
      <w:r>
        <w:rPr>
          <w:rFonts w:cs="TimesNewRomanPSMT" w:ascii="TimesNewRomanPSMT" w:hAnsi="TimesNewRomanPSMT"/>
          <w:lang w:val="en-US"/>
        </w:rPr>
        <w:t>{% if p.n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Numéro : {{ p.n }}</w:t>
      </w:r>
      <w:r>
        <w:rPr/>
        <w:t>{% endif %}</w:t>
      </w:r>
      <w:r>
        <w:rPr>
          <w:rFonts w:cs="TimesNewRomanPSMT" w:ascii="TimesNewRomanPSMT" w:hAnsi="TimesNewRomanPSMT"/>
          <w:lang w:val="en-US"/>
        </w:rPr>
        <w:t>{% if p.do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Date d’octroi : {{ p.do|sd }}</w:t>
      </w:r>
      <w:r>
        <w:rPr/>
        <w:t>{% endif %}</w:t>
      </w:r>
      <w:r>
        <w:rPr>
          <w:rFonts w:cs="TimesNewRomanPSMT" w:ascii="TimesNewRomanPSMT" w:hAnsi="TimesNewRomanPSMT"/>
          <w:lang w:val="en-US"/>
        </w:rPr>
        <w:t>{% if p.d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Durée : {{ p.d }} an{{ p.d|pl }}</w:t>
      </w:r>
      <w:r>
        <w:rPr/>
        <w:t>{% endif %}</w:t>
      </w:r>
      <w:r>
        <w:rPr>
          <w:rFonts w:cs="TimesNewRomanPSMT" w:ascii="TimesNewRomanPSMT" w:hAnsi="TimesNewRomanPSMT"/>
          <w:lang w:val="en-US"/>
        </w:rPr>
        <w:t>{% if p.m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Montant : {{ p.m|f }} €</w:t>
      </w:r>
      <w:r>
        <w:rPr/>
        <w:t>{% endif %}</w:t>
      </w:r>
      <w:r>
        <w:rPr>
          <w:rFonts w:cs="TimesNewRomanPSMT" w:ascii="TimesNewRomanPSMT" w:hAnsi="TimesNewRomanPSMT"/>
          <w:lang w:val="en-US"/>
        </w:rPr>
        <w:t>{% if p.preteur_display()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p.preteur_display() }}</w:t>
      </w:r>
      <w:r>
        <w:rPr/>
        <w:t>{% endif %}</w:t>
      </w:r>
    </w:p>
    <w:p>
      <w:pPr>
        <w:pStyle w:val="Normal"/>
        <w:jc w:val="both"/>
        <w:rPr>
          <w:rFonts w:ascii="TimesNewRomanPSMT" w:hAnsi="TimesNewRomanPSMT" w:cs="TimesNewRomanPSMT"/>
          <w:lang w:val="fr-FR"/>
        </w:rPr>
      </w:pPr>
      <w:r>
        <w:rPr>
          <w:rFonts w:cs="TimesNewRomanPSMT" w:ascii="TimesNewRomanPSMT" w:hAnsi="TimesNewRomanPSMT"/>
          <w:lang w:val="fr-FR"/>
        </w:rPr>
        <w:t>{% endfor %}</w:t>
      </w:r>
      <w:r>
        <w:rPr/>
        <w:t>{% endif %}</w:t>
      </w:r>
    </w:p>
    <w:p>
      <w:pPr>
        <w:pStyle w:val="Normal"/>
        <w:jc w:val="both"/>
        <w:rPr>
          <w:rFonts w:ascii="TimesNewRomanPSMT" w:hAnsi="TimesNewRomanPSMT" w:cs="TimesNewRomanPSMT"/>
        </w:rPr>
      </w:pPr>
      <w:bookmarkStart w:id="109" w:name="Fondpropre"/>
      <w:bookmarkEnd w:id="109"/>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endif %}Date d'achèvement de la construction ou certificat de conformité : </w:t>
      </w:r>
      <w:bookmarkStart w:id="110" w:name="Construc"/>
      <w:bookmarkEnd w:id="110"/>
      <w:r>
        <w:rPr>
          <w:rFonts w:cs="TimesNewRomanPSMT" w:ascii="TimesNewRomanPSMT" w:hAnsi="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pPr>
      <w:r>
        <w:rPr/>
        <mc:AlternateContent>
          <mc:Choice Requires="wps">
            <w:drawing>
              <wp:inline distT="0" distB="1905" distL="0" distR="635" wp14:anchorId="6A4E3B60">
                <wp:extent cx="5233670" cy="2717800"/>
                <wp:effectExtent l="0" t="0" r="635" b="1905"/>
                <wp:docPr id="3" name="Forme2"/>
                <a:graphic xmlns:a="http://schemas.openxmlformats.org/drawingml/2006/main">
                  <a:graphicData uri="http://schemas.microsoft.com/office/word/2010/wordprocessingShape">
                    <wps:wsp>
                      <wps:cNvSpPr/>
                      <wps:spPr>
                        <a:xfrm>
                          <a:off x="0" y="0"/>
                          <a:ext cx="5232960" cy="271728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15pt;width:412pt;height:213.9pt;mso-wrap-style:square;v-text-anchor:top;mso-position-vertical:top" wp14:anchorId="6A4E3B60">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(6),</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v:textbox>
                <w10:wrap type="square"/>
              </v:rect>
            </w:pict>
          </mc:Fallback>
        </mc:AlternateContent>
      </w:r>
    </w:p>
    <w:p>
      <w:pPr>
        <w:pStyle w:val="Normal"/>
        <w:rPr/>
      </w:pPr>
      <w:r>
        <w:rPr/>
      </w:r>
    </w:p>
    <w:p>
      <w:pPr>
        <w:pStyle w:val="Normal"/>
        <w:spacing w:beforeAutospacing="1" w:afterAutospacing="1"/>
        <w:rPr>
          <w:rFonts w:ascii="TimesNewRomanPSMT" w:hAnsi="TimesNewRomanPSMT" w:cs="TimesNewRomanPSMT"/>
          <w:sz w:val="16"/>
          <w:szCs w:val="16"/>
        </w:rPr>
      </w:pPr>
      <w:r>
        <w:rPr>
          <w:rFonts w:cs="TimesNewRomanPSMT" w:ascii="TimesNewRomanPSMT" w:hAnsi="TimesNewRomanPSMT"/>
          <w:sz w:val="16"/>
          <w:szCs w:val="16"/>
          <w:lang w:val="fr-FR"/>
        </w:rPr>
        <w:t>(1</w:t>
      </w:r>
      <w:r>
        <w:rPr>
          <w:rFonts w:cs="TimesNewRomanPSMT" w:ascii="TimesNewRomanPSMT" w:hAnsi="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br/>
        <w:br/>
        <w:t>(2) Nom de la société d'économie mixte de construction immobilière identifiée conformément aux dispositions de l'article 6 du décret n° 55-22 du 4 janvier 1955 modifié portant réforme de la publicité foncière.</w:t>
        <w:br/>
        <w:br/>
        <w:t>(3) Si la présente convention est passée pour une résidence universitaire définie à l’article L. 631-12 du code de la construction et de l’habitation, faire précéder le nom de l’opération de la mention « Résidence universitaire ».</w:t>
        <w:br/>
        <w:br/>
        <w:t>(4) Indiquer le nom de son représentant.</w:t>
        <w:br/>
        <w:br/>
        <w:t>(5) Indiquer le plus petit nombre entier permettant de respecter l'engagement de 30 %.</w:t>
        <w:br/>
        <w:br/>
        <w:t>(6) Indiquer un nombre.</w:t>
        <w:br/>
        <w:br/>
        <w:t>(7) Le bailleur doit avoir, préalablement à sa signature, paraphé chacune des pages.</w:t>
        <w:br/>
        <w:br/>
        <w:t>(8) Etablie conformément à l'article 7 du décret n° 55-22 du 4 janvier 1955 modifié portant réforme de la publicité foncière.</w:t>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20</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111" w:name="Siret2"/>
      <w:bookmarkEnd w:id="111"/>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TimesNewRomanPS">
    <w:charset w:val="00"/>
    <w:family w:val="roman"/>
    <w:pitch w:val="variable"/>
  </w:font>
  <w:font w:name="Open Sans">
    <w:charset w:val="00"/>
    <w:family w:val="roman"/>
    <w:pitch w:val="variable"/>
  </w:font>
  <w:font w:name="Calibri">
    <w:charset w:val="00"/>
    <w:family w:val="auto"/>
    <w:pitch w:val="default"/>
  </w:font>
  <w:font w:name="TimesNewRomanPSM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48" wp14:anchorId="1C468005">
              <wp:simplePos x="0" y="0"/>
              <wp:positionH relativeFrom="page">
                <wp:posOffset>6844665</wp:posOffset>
              </wp:positionH>
              <wp:positionV relativeFrom="page">
                <wp:posOffset>252095</wp:posOffset>
              </wp:positionV>
              <wp:extent cx="266065" cy="165100"/>
              <wp:effectExtent l="0" t="0" r="0" b="0"/>
              <wp:wrapSquare wrapText="largest"/>
              <wp:docPr id="5" name="Text Box 2"/>
              <a:graphic xmlns:a="http://schemas.openxmlformats.org/drawingml/2006/main">
                <a:graphicData uri="http://schemas.microsoft.com/office/word/2010/wordprocessingShape">
                  <wps:wsp>
                    <wps:cNvSpPr/>
                    <wps:spPr>
                      <a:xfrm>
                        <a:off x="0" y="0"/>
                        <a:ext cx="265320" cy="16452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20</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20</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95pt;margin-top:19.85pt;width:20.85pt;height:12.9pt;mso-wrap-style:square;v-text-anchor:top;mso-position-horizontal-relative:page;mso-position-vertical-relative:page" wp14:anchorId="1C468005">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20</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20</w:t>
                    </w:r>
                    <w:r>
                      <w:rPr>
                        <w:rStyle w:val="Pagenumber"/>
                        <w:color w:val="000000"/>
                      </w:rPr>
                      <w:fldChar w:fldCharType="end"/>
                    </w:r>
                    <w:r>
                      <w:rPr>
                        <w:rStyle w:val="Pagenumber"/>
                        <w:color w:val="000000"/>
                      </w:rPr>
                      <w:t xml:space="preserve"> -101010 878</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mc:AlternateContent>
        <mc:Choice Requires="wps">
          <w:drawing>
            <wp:anchor behindDoc="1" distT="0" distB="0" distL="0" distR="0" simplePos="0" locked="0" layoutInCell="0" allowOverlap="1" relativeHeight="27" wp14:anchorId="6DE7176B">
              <wp:simplePos x="0" y="0"/>
              <wp:positionH relativeFrom="page">
                <wp:posOffset>6841490</wp:posOffset>
              </wp:positionH>
              <wp:positionV relativeFrom="page">
                <wp:posOffset>251460</wp:posOffset>
              </wp:positionV>
              <wp:extent cx="266065" cy="165100"/>
              <wp:effectExtent l="0" t="0" r="0" b="0"/>
              <wp:wrapSquare wrapText="largest"/>
              <wp:docPr id="7" name="Text Box 2"/>
              <a:graphic xmlns:a="http://schemas.openxmlformats.org/drawingml/2006/main">
                <a:graphicData uri="http://schemas.microsoft.com/office/word/2010/wordprocessingShape">
                  <wps:wsp>
                    <wps:cNvSpPr/>
                    <wps:spPr>
                      <a:xfrm>
                        <a:off x="0" y="0"/>
                        <a:ext cx="265320" cy="16452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7pt;margin-top:19.8pt;width:20.85pt;height:12.9pt;mso-wrap-style:square;v-text-anchor:top;mso-position-horizontal-relative:page;mso-position-vertical-relative:page" wp14:anchorId="6DE7176B">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r>
                      <w:rPr>
                        <w:rStyle w:val="Pagenumber"/>
                        <w:color w:val="000000"/>
                      </w:rPr>
                      <w:t xml:space="preserve"> -101010 878</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lang w:val="fr-FR"/>
            </w:rPr>
          </w:pPr>
          <w:r>
            <w:rPr>
              <w:sz w:val="12"/>
              <w:szCs w:val="12"/>
              <w:lang w:val="fr-FR"/>
            </w:rPr>
          </w:r>
        </w:p>
        <w:p>
          <w:pPr>
            <w:pStyle w:val="Normal"/>
            <w:widowControl w:val="false"/>
            <w:suppressAutoHyphens w:val="true"/>
            <w:spacing w:before="0" w:after="0"/>
            <w:jc w:val="center"/>
            <w:rPr>
              <w:lang w:val="fr-FR"/>
            </w:rPr>
          </w:pPr>
          <w:r>
            <w:rPr/>
            <mc:AlternateContent>
              <mc:Choice Requires="wps">
                <w:drawing>
                  <wp:anchor behindDoc="1" distT="0" distB="0" distL="0" distR="0" simplePos="0" locked="0" layoutInCell="1" allowOverlap="1" relativeHeight="9" wp14:anchorId="4BE100B5">
                    <wp:simplePos x="0" y="0"/>
                    <wp:positionH relativeFrom="column">
                      <wp:posOffset>4092575</wp:posOffset>
                    </wp:positionH>
                    <wp:positionV relativeFrom="page">
                      <wp:posOffset>184785</wp:posOffset>
                    </wp:positionV>
                    <wp:extent cx="800735" cy="308610"/>
                    <wp:effectExtent l="0" t="0" r="0" b="0"/>
                    <wp:wrapNone/>
                    <wp:docPr id="9" name="Text Box 18"/>
                    <a:graphic xmlns:a="http://schemas.openxmlformats.org/drawingml/2006/main">
                      <a:graphicData uri="http://schemas.microsoft.com/office/word/2010/wordprocessingShape">
                        <wps:wsp>
                          <wps:cNvSpPr/>
                          <wps:spPr>
                            <a:xfrm>
                              <a:off x="0" y="0"/>
                              <a:ext cx="800280" cy="30780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t" style="position:absolute;margin-left:322.25pt;margin-top:14.55pt;width:62.95pt;height:24.2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25475" cy="36576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val="false"/>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val="false"/>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val="false"/>
            <w:suppressAutoHyphens w:val="true"/>
            <w:spacing w:before="0" w:after="0"/>
            <w:jc w:val="left"/>
            <w:rPr>
              <w:lang w:val="fr-FR"/>
            </w:rPr>
          </w:pPr>
          <w:r>
            <w:rPr>
              <w:lang w:val="fr-FR"/>
            </w:rPr>
          </w:r>
        </w:p>
      </w:tc>
    </w:tr>
    <w:tr>
      <w:trPr/>
      <w:tc>
        <w:tcPr>
          <w:tcW w:w="2937" w:type="dxa"/>
          <w:tcBorders>
            <w:left w:val="nil"/>
          </w:tcBorders>
        </w:tcPr>
        <w:p>
          <w:pPr>
            <w:pStyle w:val="Normal"/>
            <w:widowControl w:val="false"/>
            <w:suppressAutoHyphens w:val="true"/>
            <w:spacing w:before="0" w:after="0"/>
            <w:jc w:val="center"/>
            <w:rPr>
              <w:sz w:val="4"/>
            </w:rPr>
          </w:pPr>
          <w:r>
            <w:rPr>
              <w:sz w:val="4"/>
            </w:rPr>
          </w:r>
        </w:p>
        <w:p>
          <w:pPr>
            <w:pStyle w:val="Form10C"/>
            <w:widowControl w:val="false"/>
            <w:spacing w:before="0" w:after="0"/>
            <w:rPr>
              <w:sz w:val="4"/>
            </w:rPr>
          </w:pPr>
          <w:r>
            <w:rPr>
              <w:sz w:val="4"/>
            </w:rPr>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val="false"/>
            <w:spacing w:before="0" w:after="0"/>
            <w:rPr>
              <w:sz w:val="4"/>
              <w:szCs w:val="4"/>
            </w:rPr>
          </w:pPr>
          <w:r>
            <w:rPr>
              <w:sz w:val="4"/>
              <w:szCs w:val="4"/>
            </w:rPr>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val="false"/>
            <w:suppressAutoHyphens w:val="true"/>
            <w:spacing w:before="0" w:after="0"/>
            <w:jc w:val="left"/>
            <w:rPr>
              <w:lang w:val="fr-FR"/>
            </w:rPr>
          </w:pPr>
          <w:r>
            <w:rPr>
              <w:lang w:val="fr-FR"/>
            </w:rPr>
          </w:r>
        </w:p>
      </w:tc>
      <w:tc>
        <w:tcPr>
          <w:tcW w:w="3440" w:type="dxa"/>
          <w:tcBorders>
            <w:right w:val="nil"/>
          </w:tcBorders>
        </w:tcPr>
        <w:p>
          <w:pPr>
            <w:pStyle w:val="Normal"/>
            <w:widowControl w:val="false"/>
            <w:suppressAutoHyphens w:val="true"/>
            <w:spacing w:before="0" w:after="0"/>
            <w:jc w:val="left"/>
            <w:rPr>
              <w:sz w:val="4"/>
              <w:szCs w:val="4"/>
              <w:lang w:val="fr-FR"/>
            </w:rPr>
          </w:pPr>
          <w:r>
            <w:rPr>
              <w:sz w:val="4"/>
              <w:szCs w:val="4"/>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sz w:val="10"/>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sz w:val="22"/>
            </w:rPr>
          </w:pPr>
          <w:r>
            <w:rPr>
              <w:sz w:val="22"/>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val="false"/>
            <w:spacing w:before="0" w:after="0"/>
            <w:jc w:val="left"/>
            <w:rPr>
              <w:sz w:val="2"/>
            </w:rPr>
          </w:pPr>
          <w:r>
            <w:rPr>
              <w:sz w:val="2"/>
            </w:rPr>
          </w:r>
        </w:p>
        <w:p>
          <w:pPr>
            <w:pStyle w:val="Form10J"/>
            <w:widowControl w:val="false"/>
            <w:spacing w:before="0" w:after="0"/>
            <w:jc w:val="left"/>
            <w:rPr>
              <w:sz w:val="2"/>
            </w:rPr>
          </w:pPr>
          <w:r>
            <w:rPr>
              <w:sz w:val="2"/>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4" wp14:anchorId="314566BD">
              <wp:simplePos x="0" y="0"/>
              <wp:positionH relativeFrom="page">
                <wp:posOffset>5577840</wp:posOffset>
              </wp:positionH>
              <wp:positionV relativeFrom="page">
                <wp:posOffset>2743200</wp:posOffset>
              </wp:positionV>
              <wp:extent cx="1374140" cy="1905"/>
              <wp:effectExtent l="12700" t="12700" r="12065" b="12065"/>
              <wp:wrapNone/>
              <wp:docPr id="12" name="Line 8"/>
              <a:graphic xmlns:a="http://schemas.openxmlformats.org/drawingml/2006/main">
                <a:graphicData uri="http://schemas.microsoft.com/office/word/2010/wordprocessingShape">
                  <wps:wsp>
                    <wps:cNvSpPr/>
                    <wps:spPr>
                      <a:xfrm>
                        <a:off x="0" y="0"/>
                        <a:ext cx="1373400" cy="144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3pt,216.05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5" wp14:anchorId="0664A23D">
              <wp:simplePos x="0" y="0"/>
              <wp:positionH relativeFrom="page">
                <wp:posOffset>6884035</wp:posOffset>
              </wp:positionH>
              <wp:positionV relativeFrom="page">
                <wp:posOffset>196215</wp:posOffset>
              </wp:positionV>
              <wp:extent cx="273685" cy="182245"/>
              <wp:effectExtent l="0" t="0" r="0" b="0"/>
              <wp:wrapNone/>
              <wp:docPr id="13" name="Group 14"/>
              <a:graphic xmlns:a="http://schemas.openxmlformats.org/drawingml/2006/main">
                <a:graphicData uri="http://schemas.microsoft.com/office/word/2010/wordprocessingGroup">
                  <wpg:wgp>
                    <wpg:cNvGrpSpPr/>
                    <wpg:grpSpPr>
                      <a:xfrm>
                        <a:off x="0" y="0"/>
                        <a:ext cx="272880" cy="181440"/>
                        <a:chOff x="6883920" y="196200"/>
                        <a:chExt cx="272880" cy="181440"/>
                      </a:xfrm>
                    </wpg:grpSpPr>
                    <wps:wsp>
                      <wps:cNvSpPr/>
                      <wps:spPr>
                        <a:xfrm>
                          <a:off x="4320" y="4320"/>
                          <a:ext cx="268560" cy="177120"/>
                        </a:xfrm>
                        <a:prstGeom prst="roundRect">
                          <a:avLst>
                            <a:gd name="adj" fmla="val 16667"/>
                          </a:avLst>
                        </a:prstGeom>
                        <a:noFill/>
                        <a:ln w="0">
                          <a:noFill/>
                        </a:ln>
                      </wps:spPr>
                      <wps:style>
                        <a:lnRef idx="0"/>
                        <a:fillRef idx="0"/>
                        <a:effectRef idx="0"/>
                        <a:fontRef idx="minor"/>
                      </wps:style>
                      <wps:bodyPr/>
                    </wps:wsp>
                    <wps:wsp>
                      <wps:cNvSpPr/>
                      <wps:spPr>
                        <a:xfrm>
                          <a:off x="0" y="0"/>
                          <a:ext cx="268560" cy="1771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5pt;height:14.3pt" coordorigin="10841,309" coordsize="429,286">
              <v:rect id="shape_0" path="m0,0l-2147483645,0l-2147483645,-2147483646l0,-2147483646xe" stroked="f" o:allowincell="f" style="position:absolute;left:10841;top:309;width:422;height:278;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6" wp14:anchorId="20DB70F0">
              <wp:simplePos x="0" y="0"/>
              <wp:positionH relativeFrom="page">
                <wp:posOffset>474345</wp:posOffset>
              </wp:positionH>
              <wp:positionV relativeFrom="page">
                <wp:posOffset>268605</wp:posOffset>
              </wp:positionV>
              <wp:extent cx="998855" cy="633095"/>
              <wp:effectExtent l="0" t="0" r="0" b="0"/>
              <wp:wrapNone/>
              <wp:docPr id="14" name="Text Box 17"/>
              <a:graphic xmlns:a="http://schemas.openxmlformats.org/drawingml/2006/main">
                <a:graphicData uri="http://schemas.microsoft.com/office/word/2010/wordprocessingShape">
                  <wps:wsp>
                    <wps:cNvSpPr/>
                    <wps:spPr>
                      <a:xfrm>
                        <a:off x="0" y="0"/>
                        <a:ext cx="998280" cy="63252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9.35pt;height:26pt;mso-wrap-distance-right:0pt" filled="t" fillcolor="#FFFFFF" o:ole="">
                                <v:imagedata r:id="rId3" o:title=""/>
                              </v:shape>
                              <o:OLEObject Type="Embed" ProgID="Word.Picture.8" ShapeID="ole_rId2" DrawAspect="Content" ObjectID="_819676257"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stroked="f" o:allowincell="f" style="position:absolute;margin-left:37.35pt;margin-top:21.15pt;width:78.55pt;height:49.75pt;mso-wrap-style:square;v-text-anchor:top;mso-position-horizontal-relative:page;mso-position-vertical-relative:page" wp14:anchorId="20DB70F0">
              <v:fill o:detectmouseclick="t" on="false"/>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9.35pt;height:26pt;mso-wrap-distance-right:0pt" filled="t" fillcolor="#FFFFFF" o:ole="">
                          <v:imagedata r:id="rId5" o:title=""/>
                        </v:shape>
                        <o:OLEObject Type="Embed" ProgID="Word.Picture.8" ShapeID="ole_rId4" DrawAspect="Content" ObjectID="_692530578"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tru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tru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tru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tru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tru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Notedebasdepage">
    <w:name w:val="Footnote Text"/>
    <w:basedOn w:val="Normal"/>
    <w:pPr>
      <w:suppressAutoHyphens w:val="true"/>
      <w:overflowPunct w:val="true"/>
      <w:textAlignment w:val="baseline"/>
    </w:pPr>
    <w:rPr>
      <w:sz w:val="20"/>
      <w:szCs w:val="20"/>
      <w:lang w:val="fr-FR"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tru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true"/>
      <w:jc w:val="both"/>
      <w:textAlignment w:val="baseline"/>
    </w:pPr>
    <w:rPr>
      <w:i/>
      <w:szCs w:val="20"/>
      <w:u w:val="single"/>
      <w:lang w:val="fr-FR" w:eastAsia="zh-CN"/>
    </w:rPr>
  </w:style>
  <w:style w:type="paragraph" w:styleId="TITRE51" w:customStyle="1">
    <w:name w:val="TITRE5"/>
    <w:basedOn w:val="Normal"/>
    <w:qFormat/>
    <w:pPr>
      <w:suppressAutoHyphens w:val="true"/>
      <w:overflowPunct w:val="tru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true"/>
      <w:jc w:val="both"/>
      <w:textAlignment w:val="baseline"/>
    </w:pPr>
    <w:rPr>
      <w:szCs w:val="20"/>
      <w:lang w:val="fr-FR" w:eastAsia="zh-CN"/>
    </w:rPr>
  </w:style>
  <w:style w:type="paragraph" w:styleId="ListParagraph">
    <w:name w:val="List Paragraph"/>
    <w:basedOn w:val="Normal"/>
    <w:uiPriority w:val="34"/>
    <w:qFormat/>
    <w:rsid w:val="00c819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LibreOffice/7.2.6.2$Windows_X86_64 LibreOffice_project/b0ec3a565991f7569a5a7f5d24fed7f52653d754</Application>
  <AppVersion>15.0000</AppVersion>
  <Pages>20</Pages>
  <Words>7135</Words>
  <Characters>38011</Characters>
  <CharactersWithSpaces>44866</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2022-04-11T08:45:00Z</dcterms:created>
  <dc:creator>Etude Cheuvreux</dc:creator>
  <dc:description/>
  <dc:language>fr-FR</dc:language>
  <cp:lastModifiedBy>Marjolaine Le Bon</cp:lastModifiedBy>
  <cp:lastPrinted>2021-11-30T08:37:00Z</cp:lastPrinted>
  <dcterms:modified xsi:type="dcterms:W3CDTF">2022-05-11T17:55:08Z</dcterms:modified>
  <cp:revision>19</cp:revision>
  <dc:subject/>
  <dc:title>   </dc:title>
</cp:coreProperties>
</file>

<file path=docProps/custom.xml><?xml version="1.0" encoding="utf-8"?>
<Properties xmlns="http://schemas.openxmlformats.org/officeDocument/2006/custom-properties" xmlns:vt="http://schemas.openxmlformats.org/officeDocument/2006/docPropsVTypes"/>
</file>