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media/image1.png" ContentType="image/png"/>
  <Override PartName="/word/media/image2.wmf" ContentType="image/x-wmf"/>
  <Override PartName="/word/media/image3.wmf" ContentType="image/x-wmf"/>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t xml:space="preserve">Convention n° </w:t>
      </w:r>
      <w:r>
        <w:rPr>
          <w:rFonts w:cs="TimesNewRomanPSMT" w:ascii="TimesNewRomanPSMT" w:hAnsi="TimesNewRomanPSMT"/>
          <w:b/>
        </w:rPr>
        <w:t xml:space="preserve">{% if </w:t>
      </w:r>
      <w:r>
        <w:rPr>
          <w:rFonts w:cs="TimesNewRomanPS-BoldMT" w:ascii="TimesNewRomanPS-BoldMT" w:hAnsi="TimesNewRomanPS-BoldMT"/>
          <w:b/>
          <w:lang w:val="fr-FR"/>
        </w:rPr>
        <w:t>convention.numero</w:t>
      </w:r>
      <w:r>
        <w:rPr>
          <w:rFonts w:cs="TimesNewRomanPSMT" w:ascii="TimesNewRomanPSMT" w:hAnsi="TimesNewRomanPSMT"/>
          <w:b/>
        </w:rPr>
        <w:t xml:space="preserve"> %}</w:t>
      </w:r>
      <w:r>
        <w:rPr>
          <w:rFonts w:cs="TimesNewRomanPS-BoldMT" w:ascii="TimesNewRomanPS-BoldMT" w:hAnsi="TimesNewRomanPS-BoldMT"/>
          <w:b/>
          <w:lang w:val="fr-FR"/>
        </w:rPr>
        <w:t>{{convention.numero}}{% else %}</w:t>
      </w:r>
      <w:r>
        <w:rPr>
          <w:rFonts w:cs="TimesNewRomanPS-BoldMT" w:ascii="TimesNewRomanPS-BoldMT" w:hAnsi="TimesNewRomanPS-BoldMT"/>
          <w:bCs/>
          <w:i/>
          <w:iCs/>
          <w:sz w:val="16"/>
          <w:szCs w:val="16"/>
          <w:lang w:val="fr-FR"/>
        </w:rPr>
        <w:t>Le numéro de la convention sera défini et ajouté ici une fois la convention validée</w:t>
      </w:r>
      <w:r>
        <w:rPr>
          <w:rFonts w:cs="TimesNewRomanPS-BoldMT" w:ascii="TimesNewRomanPS-BoldMT" w:hAnsi="TimesNewRomanPS-BoldMT"/>
          <w:b/>
          <w:lang w:val="fr-FR"/>
        </w:rPr>
        <w:t>{% endif %}</w:t>
      </w:r>
    </w:p>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r>
    </w:p>
    <w:p>
      <w:pPr>
        <w:pStyle w:val="Western"/>
        <w:spacing w:before="100" w:after="0"/>
        <w:rPr>
          <w:b w:val="false"/>
          <w:b w:val="false"/>
          <w:bCs w:val="false"/>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pPr>
        <w:pStyle w:val="Normal"/>
        <w:rPr/>
      </w:pPr>
      <w:r>
        <w:rPr/>
      </w:r>
    </w:p>
    <w:p>
      <w:pPr>
        <w:pStyle w:val="Western"/>
        <w:spacing w:before="100" w:after="0"/>
        <w:rPr>
          <w:b w:val="false"/>
          <w:b w:val="false"/>
          <w:bCs w:val="false"/>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bookmarkStart w:id="0" w:name="Ville1"/>
      <w:bookmarkStart w:id="1" w:name="CodePostal1"/>
      <w:bookmarkStart w:id="2" w:name="Adresse1"/>
      <w:bookmarkStart w:id="3" w:name="Type"/>
      <w:bookmarkStart w:id="4" w:name="NbLogement1"/>
      <w:bookmarkStart w:id="5" w:name="NomProgramme1"/>
      <w:bookmarkStart w:id="6" w:name="NomBailleur1"/>
      <w:bookmarkEnd w:id="0"/>
      <w:bookmarkEnd w:id="1"/>
      <w:bookmarkEnd w:id="2"/>
      <w:bookmarkEnd w:id="3"/>
      <w:bookmarkEnd w:id="4"/>
      <w:bookmarkEnd w:id="5"/>
      <w:bookmarkEnd w:id="6"/>
      <w:r>
        <w:rPr>
          <w:rFonts w:cs="TimesNewRomanPSMT" w:ascii="TimesNewRomanPSMT" w:hAnsi="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d'une part,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bookmarkStart w:id="7" w:name="Siege1"/>
      <w:bookmarkStart w:id="8" w:name="Capital1"/>
      <w:bookmarkStart w:id="9" w:name="Siret1"/>
      <w:bookmarkStart w:id="10" w:name="DateDelib1"/>
      <w:bookmarkStart w:id="11" w:name="Fonction"/>
      <w:bookmarkStart w:id="12" w:name="NomDG1"/>
      <w:bookmarkStart w:id="13" w:name="NomBailleur2"/>
      <w:bookmarkEnd w:id="7"/>
      <w:bookmarkEnd w:id="8"/>
      <w:bookmarkEnd w:id="9"/>
      <w:bookmarkEnd w:id="10"/>
      <w:bookmarkEnd w:id="11"/>
      <w:bookmarkEnd w:id="12"/>
      <w:bookmarkEnd w:id="13"/>
      <w:r>
        <w:rPr>
          <w:rFonts w:cs="TimesNewRomanPSMT" w:ascii="TimesNewRomanPSMT" w:hAnsi="TimesNewRomanPSMT"/>
        </w:rPr>
        <w:t>et {{ bailleur.nom|upper }} (1)</w:t>
      </w:r>
      <w:r>
        <w:rPr>
          <w:rFonts w:cs="TimesNewRomanPSMT" w:ascii="TimesNewRomanPSMT" w:hAnsi="TimesNewRomanPSMT"/>
          <w:lang w:val="fr-FR"/>
        </w:rPr>
        <w:t>, ou et …</w:t>
      </w:r>
      <w:r>
        <w:rPr>
          <w:rFonts w:cs="TimesNewRomanPSMT" w:ascii="TimesNewRomanPSMT" w:hAnsi="TimesNewRomanPSMT"/>
        </w:rPr>
        <w:t xml:space="preserve"> représenté (e) par {{ bailleur.signataire_nom }}, {{ bailleur.signataire_fonction }} (3) agissant en vertu de la délibération du Conseil d’Administration en date du {{ bailleur.signataire_date_deliberation|d }}, inscrit sous le numéro {{ bailleur.siret }}{% if bailleur.capital_social %}, au capital de {{ bailleur.capital_social|f }} € {% endif %} dont le siège est {{ bailleur.adresse }}, {{ bailleur.code_postal }} {{ bailleur.ville }} dénommé (e) ci-après,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d'autre part,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I.-Dispositions générales.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1er.</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Objet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1.1. Cas d'une opération de construction de logements bénéficiant du taux de T.V.A. réduit mentionné au I de l'article 278 sexies du code général des impôts.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 programme.nom }} de {{ lot.nb_logements }} logement{{lot.nb_logements|pl }} {{ lot.financement }} à {{ programme.adresse|inline_text_multiline }} à {{ programme.code_postal }}, {{ programme.ville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particulier, le loyer maximum du ou des logements, révisé dans les conditions de la convention passée avec le précédent propriétaire, est inchangé.</w:t>
      </w:r>
    </w:p>
    <w:p>
      <w:pPr>
        <w:pStyle w:val="Normal"/>
        <w:jc w:val="both"/>
        <w:rPr>
          <w:rFonts w:ascii="TimesNewRomanPSMT" w:hAnsi="TimesNewRomanPSMT" w:cs="TimesNewRomanPSMT"/>
        </w:rPr>
      </w:pPr>
      <w:r>
        <w:rPr>
          <w:rFonts w:cs="TimesNewRomanPSMT" w:ascii="TimesNewRomanPSMT" w:hAnsi="TimesNewRomanPSMT"/>
        </w:rPr>
        <w:t>La présente convention ouvre, pendant sa durée, le droit à l'aide personnalisée au logement (APL) dans les conditions définies par le livre VIII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1.3. Vente des logements bénéficiant du taux réduit de T.V.A. mentionné au 3 du I de l'article 278 sexies du code général des impôts.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 xml:space="preserve">Prise d'effet </w:t>
      </w:r>
      <w:r>
        <w:rPr>
          <w:rFonts w:cs="TimesNewRomanPSMT" w:ascii="TimesNewRomanPSMT" w:hAnsi="TimesNewRomanPSMT"/>
          <w:i/>
          <w:iCs/>
          <w:lang w:val="fr-FR"/>
        </w:rPr>
        <w:t>et d</w:t>
      </w:r>
      <w:r>
        <w:rPr>
          <w:rFonts w:cs="TimesNewRomanPSMT" w:ascii="TimesNewRomanPSMT" w:hAnsi="TimesNewRomanPSMT"/>
          <w:i/>
          <w:iCs/>
        </w:rPr>
        <w:t>ate d'expiration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ainsi que ses avenants éventuels prennent effet à la date de leur publication au fichier immobilier (ou de leur inscription au livre foncier).</w:t>
      </w:r>
    </w:p>
    <w:p>
      <w:pPr>
        <w:pStyle w:val="Normal"/>
        <w:jc w:val="both"/>
        <w:rPr>
          <w:rFonts w:ascii="TimesNewRomanPSMT" w:hAnsi="TimesNewRomanPSMT" w:cs="TimesNewRomanPSMT"/>
        </w:rPr>
      </w:pPr>
      <w:r>
        <w:rPr>
          <w:rFonts w:cs="TimesNewRomanPSMT" w:ascii="TimesNewRomanPSMT" w:hAnsi="TimesNewRomanPSMT"/>
        </w:rPr>
        <w:t>Elle expire le {{ convention.date_fin_conventionnement|d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A défaut de résiliation expresse notifiée au moins six mois avant cette date, la convention est renouvelée par tacite reconduction par périodes triennales.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Western"/>
        <w:spacing w:before="100" w:after="0"/>
        <w:rPr>
          <w:b w:val="false"/>
          <w:b w:val="false"/>
          <w:bCs w:val="false"/>
        </w:rPr>
      </w:pPr>
      <w:r>
        <w:rPr>
          <w:b w:val="false"/>
          <w:bCs w:val="false"/>
        </w:rPr>
      </w:r>
    </w:p>
    <w:p>
      <w:pPr>
        <w:pStyle w:val="Normal"/>
        <w:jc w:val="center"/>
        <w:rPr>
          <w:rFonts w:ascii="TimesNewRomanPSMT" w:hAnsi="TimesNewRomanPSMT" w:cs="TimesNewRomanPSMT"/>
        </w:rPr>
      </w:pPr>
      <w:r>
        <w:rPr>
          <w:rFonts w:cs="TimesNewRomanPSMT" w:ascii="TimesNewRomanPSMT" w:hAnsi="TimesNewRomanPSMT"/>
        </w:rPr>
        <w:t>Article 3.</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Mutations</w:t>
      </w:r>
      <w:r>
        <w:rPr>
          <w:rFonts w:cs="TimesNewRomanPSMT" w:ascii="TimesNewRomanPSMT" w:hAnsi="TimesNewRomanPSMT"/>
          <w:i/>
          <w:iCs/>
          <w:lang w:val="fr-FR"/>
        </w:rPr>
        <w:t xml:space="preserve"> des logements</w:t>
      </w:r>
      <w:r>
        <w:rPr>
          <w:rFonts w:cs="TimesNewRomanPSMT" w:ascii="TimesNewRomanPSMT" w:hAnsi="TimesNewRomanPSMT"/>
          <w:i/>
          <w:iCs/>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3.1. Vente des logements bénéficiant du taux réduit de T.V.A. mentionné au 3 du I de l'article 278 sexies du code général des impôts.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3.2. Autres mutations.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3. Publicité des mutations.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est jointe à tout acte de mutation autre que celles citées à l'article 3.1. Les avenants prévus aux articles 3.1 et 3.2 sont publiés dans les conditions de l'article 22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4.</w:t>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Régime des rapports locatifs applicables aux logements conventionnés.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5.</w:t>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Aide personnalisée au logement (APL).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 xml:space="preserve">II.-Engagements du bailleur à l'égard de l'Etat relatifs </w:t>
      </w:r>
    </w:p>
    <w:p>
      <w:pPr>
        <w:pStyle w:val="Normal"/>
        <w:jc w:val="center"/>
        <w:rPr/>
      </w:pPr>
      <w:r>
        <w:rPr>
          <w:rFonts w:cs="TimesNewRomanPS-BoldMT" w:ascii="TimesNewRomanPS-BoldMT" w:hAnsi="TimesNewRomanPS-BoldMT"/>
          <w:b/>
        </w:rPr>
        <w:t>aux conditions de location des logements.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rFonts w:ascii="TimesNewRomanPSMT" w:hAnsi="TimesNewRomanPSMT" w:cs="TimesNewRomanPSMT"/>
        </w:rPr>
      </w:pPr>
      <w:r>
        <w:rPr>
          <w:rFonts w:cs="TimesNewRomanPSMT" w:ascii="TimesNewRomanPSMT" w:hAnsi="TimesNewRomanPSMT"/>
        </w:rPr>
        <w:t>Article 6.</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Mise en gestion des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7.</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Maintien des logements à usage locatif et conditions d'occupation des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logements faisant l'objet de la présente convention sont maintenus à usage locatif jusqu'à la date fixée pour son expiration.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Ils ne peuvent être loués ou occupés à quelque titre que ce soit ni par les ascendants ou les descendants, ni par ceux du conjoint, ni par le conjoint du signataire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ascii="TimesNewRomanPSMT" w:hAnsi="TimesNewRomanPSMT"/>
        </w:rPr>
        <w:t>Article 8.</w:t>
      </w:r>
    </w:p>
    <w:p>
      <w:pPr>
        <w:pStyle w:val="Normal"/>
        <w:jc w:val="center"/>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ascii="TimesNewRomanPSMT" w:hAnsi="TimesNewRomanPSMT"/>
          <w:i/>
          <w:iCs/>
        </w:rPr>
        <w:t>Montants des loyers maximums et modalités de révision.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ascii="TimesNewRomanPSMT" w:hAnsi="TimesNewRomanPSMT"/>
        </w:rPr>
        <w:t xml:space="preserve">Le montant du loyer maximum mentionné à l'article D. 353-16 du code de la construction et de l'habitation est fixé à </w:t>
      </w:r>
      <w:r>
        <w:rPr>
          <w:rFonts w:ascii="TimesNewRomanPSMT" w:hAnsi="TimesNewRomanPSMT"/>
          <w:b/>
          <w:bCs/>
        </w:rPr>
        <w:t>{{ loyer_m2</w:t>
      </w:r>
      <w:r>
        <w:rPr>
          <w:rFonts w:ascii="TimesNewRomanPSMT" w:hAnsi="TimesNewRomanPSMT"/>
          <w:b/>
          <w:bCs/>
          <w:lang w:val="fr-FR"/>
        </w:rPr>
        <w:t>|f</w:t>
      </w:r>
      <w:r>
        <w:rPr>
          <w:rFonts w:ascii="TimesNewRomanPSMT" w:hAnsi="TimesNewRomanPSMT"/>
          <w:b/>
          <w:bCs/>
        </w:rPr>
        <w:t xml:space="preserve"> }} € le mètre carré par mois</w:t>
      </w:r>
      <w:r>
        <w:rPr>
          <w:rFonts w:ascii="TimesNewRomanPSMT" w:hAnsi="TimesNewRomanPSMT"/>
        </w:rPr>
        <w:t>. Il est fixé pour chaque logement dans le document intitulé « Composition du programme » annexé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ascii="TimesNewRomanPSMT" w:hAnsi="TimesNewRomanPSMT"/>
        </w:rPr>
        <w:t>Les loyers maximums sont révisés chaque année, le 1er janvier, dans les conditions prévues à l'article L. 353-9-2 du code de la construction et de l'habitation.</w:t>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ascii="TimesNewRomanPSMT" w:hAnsi="TimesNewRomanPSMT"/>
        </w:rPr>
        <w:t>Article 9.</w:t>
      </w:r>
    </w:p>
    <w:p>
      <w:pPr>
        <w:pStyle w:val="Normal"/>
        <w:jc w:val="center"/>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ascii="TimesNewRomanPSMT" w:hAnsi="TimesNewRomanPSMT"/>
          <w:i/>
          <w:iCs/>
        </w:rPr>
        <w:t>Modalités de fixation et de révision du loyer pratiqué.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ascii="TimesNewRomanPSMT" w:hAnsi="TimesNewRomanPSMT"/>
        </w:rPr>
        <w:t>Le loyer pratiqué pour chaque logement conventionné, dont la valeur est fixée au mètre carré de surface utile, ne peut excéder le loyer maximum défini dans le document «</w:t>
      </w:r>
      <w:r>
        <w:rPr>
          <w:rFonts w:ascii="TimesNewRomanPSMT" w:hAnsi="TimesNewRomanPSMT"/>
          <w:lang w:val="fr-FR"/>
        </w:rPr>
        <w:t> </w:t>
      </w:r>
      <w:r>
        <w:rPr>
          <w:rFonts w:ascii="TimesNewRomanPSMT" w:hAnsi="TimesNewRomanPSMT"/>
        </w:rPr>
        <w:t>Composition du programme</w:t>
      </w:r>
      <w:r>
        <w:rPr>
          <w:rFonts w:ascii="TimesNewRomanPSMT" w:hAnsi="TimesNewRomanPSMT"/>
          <w:lang w:val="fr-FR"/>
        </w:rPr>
        <w:t> </w:t>
      </w:r>
      <w:r>
        <w:rPr>
          <w:rFonts w:ascii="TimesNewRomanPSMT" w:hAnsi="TimesNewRomanPSMT"/>
        </w:rPr>
        <w:t>» annexé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ascii="TimesNewRomanPSMT" w:hAnsi="TimesNewRomanPSMT"/>
        </w:rPr>
        <w:t>Dans la limite de ce loyer maximum, le loyer pratiqué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ascii="TimesNewRomanPSMT" w:hAnsi="TimesNewRomanPSMT"/>
        </w:rPr>
        <w:t>1° est révisé chaque année le 1er janvier en cours de contrat de location, dans les conditions prévues à l'article L. 353-9-3 du code de la construction et de l'habitation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rPr>
      </w:pPr>
      <w:r>
        <w:rPr>
          <w:rFonts w:ascii="TimesNewRomanPSMT" w:hAnsi="TimesNewRomanPSMT"/>
        </w:rPr>
        <w:t>2° peut être réévalué dans les conditions prévues par le code de la construction et de l'habitation.</w:t>
      </w:r>
    </w:p>
    <w:p>
      <w:pPr>
        <w:pStyle w:val="Normal"/>
        <w:jc w:val="both"/>
        <w:rPr>
          <w:rFonts w:ascii="TimesNewRomanPSMT" w:hAnsi="TimesNewRomanPSMT"/>
        </w:rPr>
      </w:pPr>
      <w:r>
        <w:rPr>
          <w:rFonts w:ascii="TimesNewRomanPSMT" w:hAnsi="TimesNewRomanPSMT"/>
        </w:rPr>
      </w:r>
    </w:p>
    <w:p>
      <w:pPr>
        <w:pStyle w:val="Normal"/>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b/>
          <w:bCs/>
        </w:rPr>
        <w:t>III. - Engagements du bailleur à l'égard des locataires.</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10.</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Etablissement d'un bail conforme à la convention.</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 bail conclu doit être conforme à la présente convention. Sont joints une copie de la convention ainsi qu'un formulaire de demande d'APL.</w:t>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11.</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Information des locataires en cas de changement de propriétaire.</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12.</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Information des locataires en cas de modification ou de résiliation de la convention.</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 bailleur informe les locataires de toute modification apportée à la convention ayant des incidences sur leurs relations contractuelles.</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spacing w:beforeAutospacing="1" w:after="0"/>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w:t>
      </w:r>
      <w:r>
        <w:rPr>
          <w:rFonts w:ascii="TimesNewRomanPSMT" w:hAnsi="TimesNewRomanPSMT"/>
          <w:lang w:val="fr-FR"/>
        </w:rPr>
        <w:t>3</w:t>
      </w:r>
      <w:r>
        <w:rPr>
          <w:rFonts w:ascii="TimesNewRomanPSMT" w:hAnsi="TimesNewRomanPSMT"/>
        </w:rPr>
        <w:t>.</w:t>
      </w:r>
    </w:p>
    <w:p>
      <w:pPr>
        <w:pStyle w:val="Normal"/>
        <w:jc w:val="center"/>
        <w:rPr>
          <w:rFonts w:ascii="TimesNewRomanPSMT" w:hAnsi="TimesNewRomanPSMT"/>
        </w:rPr>
      </w:pPr>
      <w:r>
        <w:rPr>
          <w:rFonts w:ascii="TimesNewRomanPSMT" w:hAnsi="TimesNewRomanPSMT"/>
        </w:rPr>
      </w:r>
    </w:p>
    <w:p>
      <w:pPr>
        <w:pStyle w:val="Normal"/>
        <w:jc w:val="center"/>
        <w:rPr/>
      </w:pPr>
      <w:r>
        <w:rPr>
          <w:rFonts w:ascii="TimesNewRomanPSMT" w:hAnsi="TimesNewRomanPSMT"/>
          <w:i/>
          <w:iCs/>
        </w:rPr>
        <w:t>Durée du contrat de location et congé donné par le locataire.</w:t>
      </w:r>
    </w:p>
    <w:p>
      <w:pPr>
        <w:pStyle w:val="Normal"/>
        <w:jc w:val="center"/>
        <w:rPr/>
      </w:pPr>
      <w:r>
        <w:rPr/>
      </w:r>
    </w:p>
    <w:p>
      <w:pPr>
        <w:pStyle w:val="Normal"/>
        <w:jc w:val="both"/>
        <w:rPr>
          <w:rFonts w:ascii="TimesNewRomanPSMT" w:hAnsi="TimesNewRomanPSMT"/>
        </w:rPr>
      </w:pPr>
      <w:r>
        <w:rPr>
          <w:rFonts w:ascii="TimesNewRomanPSMT" w:hAnsi="TimesNewRomanPSMT"/>
        </w:rPr>
        <w:t>Le contrat de location est conclu pour une durée de trois ans.</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14.</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Modalités du paiement du loyer. Le loyer est payé mensuellement à terme échu.</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15.</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Dépôt de garantie.</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b/>
          <w:bCs/>
        </w:rPr>
        <w:t>IV. - Dispositions spécifiques au statut de résidence universitaire.</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16.</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Régime des rapports locatifs applicables aux logements.</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Les stipulations particulières suivantes s’appliquent :</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1°- Conditions de location des logements de la résidence universitaire.</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Les logements peuvent également être loués dans les conditions prévues aux quatrième et cinquième alinéas du I de l’article L. 442-8-1 du code de la construction et de l’habitation.</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2°- Modalités de fixation et de révision du loyer pratiqué des logements de la résidence universitaire.</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 loyer pratiqué pour chaque logement est fixé dans la limite du loyer maximum prévu par la présente convention.</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Il ne peut donner lieu à révision en cours de bail.</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Si le contrat de location est renouvelé dans les conditions prévues au 3° ci-dessous, le loyer peut être réévalué conformément aux dispositions du code de la construction et de l’habitation.</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3°- Durée du contrat et congé donné par le locataire.</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4°- Forfait de charges.</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Si le bailleur a opté pour cette modalité de récupération des charges, il indique sur la quittance le montant du forfait.</w:t>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17.</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Renonciation au statut de résidence universitaire.</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b/>
          <w:bCs/>
        </w:rPr>
        <w:t>V. - Engagements du bailleur à l'égard des organismes chargés de la liquidation et du paiement de l'APL.</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18.</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Obligations générales.</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ListParagraph"/>
        <w:numPr>
          <w:ilvl w:val="0"/>
          <w:numId w:val="4"/>
        </w:numPr>
        <w:jc w:val="both"/>
        <w:rPr>
          <w:rFonts w:ascii="TimesNewRomanPSMT" w:hAnsi="TimesNewRomanPSMT"/>
        </w:rPr>
      </w:pPr>
      <w:r>
        <w:rPr>
          <w:rFonts w:ascii="TimesNewRomanPSMT" w:hAnsi="TimesNewRomanPSMT"/>
        </w:rPr>
        <w:t>une attestation concernant le montant du loyer applicable à chaque logement concerné par laprésente convention, à compter du 1er juillet de l'année en cours</w:t>
      </w:r>
      <w:r>
        <w:rPr>
          <w:rFonts w:ascii="TimesNewRomanPSMT" w:hAnsi="TimesNewRomanPSMT"/>
          <w:lang w:val="fr-FR"/>
        </w:rPr>
        <w:t> </w:t>
      </w:r>
      <w:r>
        <w:rPr>
          <w:rFonts w:ascii="TimesNewRomanPSMT" w:hAnsi="TimesNewRomanPSMT"/>
        </w:rPr>
        <w:t>;</w:t>
      </w:r>
    </w:p>
    <w:p>
      <w:pPr>
        <w:pStyle w:val="ListParagraph"/>
        <w:numPr>
          <w:ilvl w:val="0"/>
          <w:numId w:val="4"/>
        </w:numPr>
        <w:jc w:val="both"/>
        <w:rPr>
          <w:rFonts w:ascii="TimesNewRomanPSMT" w:hAnsi="TimesNewRomanPSMT"/>
        </w:rPr>
      </w:pPr>
      <w:r>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Ces transmissions peuvent s’effectuer grâce à un dispositif de collecte dématérialisé.</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19.</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Obligations en cas d’impayé.</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b/>
          <w:bCs/>
        </w:rPr>
        <w:t>VI. - Dispositions relatives à l'application de la convention.</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20.</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Contrôle.</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21.</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Inexécution de la convention par le bailleur.</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2° - En application de l'article L. 353-2 du code de la construction et de l'habitation, des sanctions administratives peuvent être mises en œuvre.</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Lorsque le préfet écarte ces observations, sa décision doit être motivée.</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Dans ce cas, il est fait application des dispositions prévues à l'article L. 353-6 du code de la construction et de l'habitation.</w:t>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22.</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Publication.</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23.</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Révision de la convention.</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La présente convention pourra être révisée à la demande de l'une ou l'autre des parties par voie d'avenant.</w:t>
      </w:r>
    </w:p>
    <w:p>
      <w:pPr>
        <w:pStyle w:val="Normal"/>
        <w:jc w:val="both"/>
        <w:rPr>
          <w:rFonts w:ascii="TimesNewRomanPSMT" w:hAnsi="TimesNewRomanPSMT"/>
        </w:rPr>
      </w:pPr>
      <w:r>
        <w:rPr>
          <w:rFonts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mc:AlternateContent>
          <mc:Choice Requires="wps">
            <w:drawing>
              <wp:inline distT="0" distB="1905" distL="0" distR="635" wp14:anchorId="4F8DC28C">
                <wp:extent cx="5233670" cy="2717800"/>
                <wp:effectExtent l="0" t="0" r="635" b="1905"/>
                <wp:docPr id="1" name="Forme1"/>
                <a:graphic xmlns:a="http://schemas.openxmlformats.org/drawingml/2006/main">
                  <a:graphicData uri="http://schemas.microsoft.com/office/word/2010/wordprocessingShape">
                    <wps:wsp>
                      <wps:cNvSpPr/>
                      <wps:spPr>
                        <a:xfrm>
                          <a:off x="0" y="0"/>
                          <a:ext cx="5232960" cy="2717280"/>
                        </a:xfrm>
                        <a:prstGeom prst="rect">
                          <a:avLst/>
                        </a:prstGeom>
                        <a:solidFill>
                          <a:schemeClr val="lt1"/>
                        </a:solidFill>
                        <a:ln w="6350">
                          <a:noFill/>
                        </a:ln>
                      </wps:spPr>
                      <wps:style>
                        <a:lnRef idx="0"/>
                        <a:fillRef idx="0"/>
                        <a:effectRef idx="0"/>
                        <a:fontRef idx="minor"/>
                      </wps:style>
                      <wps:txb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color w:val="000000"/>
                              </w:rPr>
                            </w:pPr>
                            <w:r>
                              <w:rPr>
                                <w:rFonts w:cs="TimesNewRomanPSMT" w:ascii="TimesNewRomanPSMT" w:hAnsi="TimesNewRomanPSMT"/>
                                <w:color w:val="000000"/>
                              </w:rPr>
                              <w:t>Le bailleur (</w:t>
                            </w:r>
                            <w:r>
                              <w:rPr>
                                <w:rFonts w:cs="TimesNewRomanPSMT" w:ascii="TimesNewRomanPSMT" w:hAnsi="TimesNewRomanPSMT"/>
                                <w:color w:val="000000"/>
                                <w:lang w:val="fr-FR"/>
                              </w:rPr>
                              <w:t>4</w:t>
                            </w:r>
                            <w:r>
                              <w:rPr>
                                <w:rFonts w:cs="TimesNewRomanPSMT" w:ascii="TimesNewRomanPSMT" w:hAnsi="TimesNewRomanPSMT"/>
                                <w:color w:val="000000"/>
                              </w:rPr>
                              <w:t>),</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color w:val="000000"/>
                              </w:rPr>
                            </w:pPr>
                            <w:r>
                              <w:rPr>
                                <w:color w:val="000000"/>
                              </w:rPr>
                            </w:r>
                          </w:p>
                          <w:p>
                            <w:pPr>
                              <w:pStyle w:val="Contenudecadre"/>
                              <w:rPr>
                                <w:color w:val="000000"/>
                              </w:rPr>
                            </w:pPr>
                            <w:r>
                              <w:rPr/>
                            </w:r>
                          </w:p>
                        </w:txbxContent>
                      </wps:txbx>
                      <wps:bodyPr lIns="0" rIns="0" tIns="0" bIns="0" anchor="t">
                        <a:prstTxWarp prst="textNoShape"/>
                        <a:noAutofit/>
                      </wps:bodyPr>
                    </wps:wsp>
                  </a:graphicData>
                </a:graphic>
              </wp:inline>
            </w:drawing>
          </mc:Choice>
          <mc:Fallback>
            <w:pict>
              <v:rect id="shape_0" ID="Forme1" path="m0,0l-2147483645,0l-2147483645,-2147483646l0,-2147483646xe" fillcolor="white" stroked="f" o:allowincell="f" style="position:absolute;margin-left:0pt;margin-top:-214.15pt;width:412pt;height:213.9pt;mso-wrap-style:square;v-text-anchor:top;mso-position-vertical:top" wp14:anchorId="4F8DC28C">
                <v:fill o:detectmouseclick="t" type="solid" color2="black"/>
                <v:stroke color="#3465a4" weight="6480" joinstyle="round" endcap="flat"/>
                <v:textbo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color w:val="000000"/>
                        </w:rPr>
                      </w:pPr>
                      <w:r>
                        <w:rPr>
                          <w:rFonts w:cs="TimesNewRomanPSMT" w:ascii="TimesNewRomanPSMT" w:hAnsi="TimesNewRomanPSMT"/>
                          <w:color w:val="000000"/>
                        </w:rPr>
                        <w:t>Le bailleur (</w:t>
                      </w:r>
                      <w:r>
                        <w:rPr>
                          <w:rFonts w:cs="TimesNewRomanPSMT" w:ascii="TimesNewRomanPSMT" w:hAnsi="TimesNewRomanPSMT"/>
                          <w:color w:val="000000"/>
                          <w:lang w:val="fr-FR"/>
                        </w:rPr>
                        <w:t>4</w:t>
                      </w:r>
                      <w:r>
                        <w:rPr>
                          <w:rFonts w:cs="TimesNewRomanPSMT" w:ascii="TimesNewRomanPSMT" w:hAnsi="TimesNewRomanPSMT"/>
                          <w:color w:val="000000"/>
                        </w:rPr>
                        <w:t>),</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color w:val="000000"/>
                        </w:rPr>
                      </w:pPr>
                      <w:r>
                        <w:rPr>
                          <w:color w:val="000000"/>
                        </w:rPr>
                      </w:r>
                    </w:p>
                    <w:p>
                      <w:pPr>
                        <w:pStyle w:val="Contenudecadre"/>
                        <w:rPr>
                          <w:color w:val="000000"/>
                        </w:rPr>
                      </w:pPr>
                      <w:r>
                        <w:rPr/>
                      </w:r>
                    </w:p>
                  </w:txbxContent>
                </v:textbox>
                <w10:wrap type="square"/>
              </v:rect>
            </w:pict>
          </mc:Fallback>
        </mc:AlternateContent>
      </w:r>
      <w:r>
        <w:br w:type="page"/>
      </w:r>
    </w:p>
    <w:p>
      <w:pPr>
        <w:pStyle w:val="Normal"/>
        <w:jc w:val="center"/>
        <w:rPr/>
      </w:pPr>
      <w:r>
        <w:rPr>
          <w:rFonts w:cs="TimesNewRomanPS-BoldMT" w:ascii="TimesNewRomanPS-BoldMT" w:hAnsi="TimesNewRomanPS-BoldMT"/>
          <w:b/>
        </w:rPr>
        <w:t>Document prévu par l'article 1er des annexes I et II à l'article D. 353-1 du code de la construction et de l’habitation lorsque le loyer maximum des logements est exprimé en surface utile.</w:t>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rFonts w:cs="TimesNewRomanPSMT" w:ascii="TimesNewRomanPSMT" w:hAnsi="TimesNewRomanPSMT"/>
        </w:rPr>
        <w:t>Description d</w:t>
      </w:r>
      <w:bookmarkStart w:id="14" w:name="NomProgramme3"/>
      <w:bookmarkEnd w:id="14"/>
      <w:r>
        <w:rPr>
          <w:rFonts w:cs="TimesNewRomanPSMT" w:ascii="TimesNewRomanPSMT" w:hAnsi="TimesNewRomanPSMT"/>
        </w:rPr>
        <w:t xml:space="preserve">u programme {{ programme.nom }}, pour </w:t>
      </w:r>
      <w:bookmarkStart w:id="15" w:name="NbLogement3"/>
      <w:bookmarkEnd w:id="15"/>
      <w:r>
        <w:rPr>
          <w:rFonts w:cs="TimesNewRomanPSMT" w:ascii="TimesNewRomanPSMT" w:hAnsi="TimesNewRomanPSMT"/>
        </w:rPr>
        <w:t xml:space="preserve">{{ lot.nb_logements }} logement{{lot.nb_logements|pl }} </w:t>
      </w:r>
      <w:bookmarkStart w:id="16" w:name="Fi3"/>
      <w:bookmarkEnd w:id="16"/>
      <w:r>
        <w:rPr>
          <w:rFonts w:cs="TimesNewRomanPSMT" w:ascii="TimesNewRomanPSMT" w:hAnsi="TimesNewRomanPSMT"/>
        </w:rPr>
        <w:t xml:space="preserve">{{ lot.financement }}, </w:t>
      </w:r>
      <w:bookmarkStart w:id="17" w:name="Adresse3"/>
      <w:bookmarkEnd w:id="17"/>
      <w:r>
        <w:rPr>
          <w:rFonts w:cs="TimesNewRomanPSMT" w:ascii="TimesNewRomanPSMT" w:hAnsi="TimesNewRomanPSMT"/>
        </w:rPr>
        <w:t xml:space="preserve">{{ programme.adresse|inline_text_multiline }} à </w:t>
      </w:r>
      <w:bookmarkStart w:id="18" w:name="CodePostal3"/>
      <w:bookmarkEnd w:id="18"/>
      <w:r>
        <w:rPr>
          <w:rFonts w:cs="TimesNewRomanPSMT" w:ascii="TimesNewRomanPSMT" w:hAnsi="TimesNewRomanPSMT"/>
        </w:rPr>
        <w:t xml:space="preserve">{{ programme.code_postal }}, </w:t>
      </w:r>
      <w:bookmarkStart w:id="19" w:name="Ville3"/>
      <w:bookmarkEnd w:id="19"/>
      <w:r>
        <w:rPr>
          <w:rFonts w:cs="TimesNewRomanPSMT" w:ascii="TimesNewRomanPSMT" w:hAnsi="TimesNewRomanPSMT"/>
        </w:rPr>
        <w:t>{{ programme.ville }} (2).</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Désignation du ou des immeubles (</w:t>
      </w:r>
      <w:r>
        <w:rPr>
          <w:rFonts w:cs="TimesNewRomanPSMT" w:ascii="TimesNewRomanPSMT" w:hAnsi="TimesNewRomanPSMT"/>
          <w:lang w:val="fr-FR"/>
        </w:rPr>
        <w:t>5</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Figurant au cadastre</w:t>
      </w:r>
    </w:p>
    <w:p>
      <w:pPr>
        <w:pStyle w:val="Normal"/>
        <w:jc w:val="both"/>
        <w:rPr>
          <w:rFonts w:ascii="TimesNewRomanPSMT" w:hAnsi="TimesNewRomanPSMT" w:cs="TimesNewRomanPSMT"/>
        </w:rPr>
      </w:pPr>
      <w:bookmarkStart w:id="20" w:name="S3"/>
      <w:bookmarkEnd w:id="20"/>
      <w:r>
        <w:rPr>
          <w:rFonts w:cs="TimesNewRomanPSMT" w:ascii="TimesNewRomanPSMT" w:hAnsi="TimesNewRomanPSMT"/>
        </w:rPr>
        <w:t>{% for image in reference_cadastrale_images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lang w:val="en-US"/>
        </w:rPr>
      </w:pPr>
      <w:r>
        <w:rPr>
          <w:rFonts w:cs="TimesNewRomanPSMT" w:ascii="TimesNewRomanPSMT" w:hAnsi="TimesNewRomanPSMT"/>
          <w:lang w:val="en-US"/>
        </w:rPr>
        <w:t>{% endfor %}</w:t>
      </w:r>
      <w:r>
        <w:rPr>
          <w:rFonts w:cs="TimesNewRomanPSMT" w:ascii="TimesNewRomanPSMT" w:hAnsi="TimesNewRomanPSMT"/>
        </w:rPr>
        <w:t>{% if references_cadastrales|len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Section</w:t>
            </w:r>
          </w:p>
        </w:tc>
        <w:tc>
          <w:tcPr>
            <w:tcW w:w="2136"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Numéro</w:t>
            </w:r>
          </w:p>
        </w:tc>
        <w:tc>
          <w:tcPr>
            <w:tcW w:w="2110"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Lieudit</w:t>
            </w:r>
          </w:p>
        </w:tc>
        <w:tc>
          <w:tcPr>
            <w:tcW w:w="2494"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Surface</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for rc in references_cadastrales %}</w:t>
            </w:r>
          </w:p>
        </w:tc>
      </w:tr>
      <w:tr>
        <w:trPr/>
        <w:tc>
          <w:tcPr>
            <w:tcW w:w="1527"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rc.section }}</w:t>
            </w:r>
          </w:p>
        </w:tc>
        <w:tc>
          <w:tcPr>
            <w:tcW w:w="2136"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rc.numero }}</w:t>
            </w:r>
          </w:p>
        </w:tc>
        <w:tc>
          <w:tcPr>
            <w:tcW w:w="2110"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rc.lieudit }}</w:t>
            </w:r>
          </w:p>
        </w:tc>
        <w:tc>
          <w:tcPr>
            <w:tcW w:w="249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rc.surface }}</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r>
        <w:rPr>
          <w:rFonts w:cs="TimesNewRomanPSMT" w:ascii="TimesNewRomanPSMT" w:hAnsi="TimesNewRomanPSMT"/>
        </w:rPr>
        <w:t>{% for image in effet_relatif_images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lang w:val="en-US"/>
        </w:rPr>
        <w:t>{% endfor %}</w:t>
      </w:r>
      <w:r>
        <w:rPr>
          <w:rFonts w:cs="TimesNewRomanPSMT" w:ascii="TimesNewRomanPSMT" w:hAnsi="TimesNewRomanPSMT"/>
        </w:rPr>
        <w:t xml:space="preserve">{% if </w:t>
      </w:r>
      <w:r>
        <w:rPr>
          <w:rFonts w:cs="TimesNewRomanPSMT" w:ascii="TimesNewRomanPSMT" w:hAnsi="TimesNewRomanPSMT"/>
          <w:lang w:val="en-US"/>
        </w:rPr>
        <w:t>lot</w:t>
      </w:r>
      <w:r>
        <w:rPr>
          <w:rFonts w:cs="TimesNewRomanPSMT" w:ascii="TimesNewRomanPSMT" w:hAnsi="TimesNewRomanPSMT"/>
        </w:rPr>
        <w:t>.edd_volumetrique_text()|len %}</w:t>
      </w:r>
    </w:p>
    <w:p>
      <w:pPr>
        <w:pStyle w:val="Normal"/>
        <w:jc w:val="both"/>
        <w:rPr>
          <w:rFonts w:ascii="TimesNewRomanPSMT" w:hAnsi="TimesNewRomanPSMT" w:cs="TimesNewRomanPSMT"/>
        </w:rPr>
      </w:pPr>
      <w:r>
        <w:rPr>
          <w:rFonts w:cs="TimesNewRomanPSMT" w:ascii="TimesNewRomanPSMT" w:hAnsi="TimesNewRomanPSMT"/>
        </w:rPr>
        <w:t>{{ lot.edd_volumetrique_text() }}</w:t>
      </w:r>
      <w:bookmarkStart w:id="21" w:name="S4"/>
      <w:bookmarkEnd w:id="21"/>
    </w:p>
    <w:p>
      <w:pPr>
        <w:pStyle w:val="Normal"/>
        <w:jc w:val="both"/>
        <w:rPr>
          <w:rFonts w:ascii="TimesNewRomanPSMT" w:hAnsi="TimesNewRomanPSMT" w:cs="TimesNewRomanPSMT"/>
        </w:rPr>
      </w:pPr>
      <w:r>
        <w:rPr>
          <w:rFonts w:cs="TimesNewRomanPSMT" w:ascii="TimesNewRomanPSMT" w:hAnsi="TimesNewRomanPSMT"/>
        </w:rPr>
        <w:t>{% endif %}{% for image in edd_volumetrique_images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endif %}{% if lot.edd_classique_text()|len %}</w:t>
      </w:r>
    </w:p>
    <w:p>
      <w:pPr>
        <w:pStyle w:val="Normal"/>
        <w:jc w:val="both"/>
        <w:rPr>
          <w:rFonts w:ascii="TimesNewRomanPSMT" w:hAnsi="TimesNewRomanPSMT" w:cs="TimesNewRomanPSMT"/>
        </w:rPr>
      </w:pPr>
      <w:r>
        <w:rPr>
          <w:rFonts w:cs="TimesNewRomanPSMT" w:ascii="TimesNewRomanPSMT" w:hAnsi="TimesNewRomanPSMT"/>
        </w:rPr>
        <w:t>{{ lot.edd_classique_text() }}</w:t>
      </w:r>
    </w:p>
    <w:p>
      <w:pPr>
        <w:pStyle w:val="Normal"/>
        <w:jc w:val="both"/>
        <w:rPr>
          <w:rFonts w:ascii="TimesNewRomanPSMT" w:hAnsi="TimesNewRomanPSMT" w:cs="TimesNewRomanPSMT"/>
        </w:rPr>
      </w:pPr>
      <w:r>
        <w:rPr>
          <w:rFonts w:cs="TimesNewRomanPSMT" w:ascii="TimesNewRomanPSMT" w:hAnsi="TimesNewRomanPSMT"/>
        </w:rPr>
        <w:t>{% endif %}{% for image in edd_classique_images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programme.mention_publication_edd_classique %}</w:t>
      </w:r>
    </w:p>
    <w:p>
      <w:pPr>
        <w:pStyle w:val="Normal"/>
        <w:jc w:val="both"/>
        <w:rPr>
          <w:rFonts w:ascii="TimesNewRomanPSMT" w:hAnsi="TimesNewRomanPSMT" w:cs="TimesNewRomanPSMT"/>
        </w:rPr>
      </w:pPr>
      <w:r>
        <w:rPr>
          <w:rFonts w:cs="TimesNewRomanPSMT" w:ascii="TimesNewRomanPSMT" w:hAnsi="TimesNewRomanPSMT"/>
        </w:rPr>
        <w:t>{{ programme.mention_publication_edd_classique }}</w:t>
      </w:r>
    </w:p>
    <w:p>
      <w:pPr>
        <w:pStyle w:val="Normal"/>
        <w:jc w:val="both"/>
        <w:rPr>
          <w:rFonts w:ascii="TimesNewRomanPSMT" w:hAnsi="TimesNewRomanPSMT" w:cs="TimesNewRomanPSMT"/>
        </w:rPr>
      </w:pPr>
      <w:r>
        <w:rPr>
          <w:rFonts w:cs="TimesNewRomanPSMT" w:ascii="TimesNewRomanPSMT" w:hAnsi="TimesNewRomanPSMT"/>
        </w:rPr>
        <w:t>{% endif %}{% if logement_edds|len %}</w:t>
      </w:r>
    </w:p>
    <w:p>
      <w:pPr>
        <w:pStyle w:val="Normal"/>
        <w:jc w:val="both"/>
        <w:rPr>
          <w:b/>
          <w:b/>
          <w:sz w:val="22"/>
          <w:szCs w:val="22"/>
          <w:lang w:eastAsia="fr-FR"/>
        </w:rPr>
      </w:pPr>
      <w:r>
        <w:rPr>
          <w:b/>
          <w:sz w:val="22"/>
          <w:szCs w:val="22"/>
          <w:lang w:eastAsia="fr-FR"/>
        </w:rPr>
        <w:t>Pour les besoins de la publication foncière, il y a lieu d’établir un état descriptif de</w:t>
      </w:r>
    </w:p>
    <w:p>
      <w:pPr>
        <w:pStyle w:val="Normal"/>
        <w:jc w:val="both"/>
        <w:rPr>
          <w:rFonts w:ascii="TimesNewRomanPSMT" w:hAnsi="TimesNewRomanPSMT" w:cs="TimesNewRomanPSMT"/>
          <w:b/>
          <w:b/>
        </w:rPr>
      </w:pPr>
      <w:r>
        <w:rPr>
          <w:b/>
          <w:sz w:val="22"/>
          <w:szCs w:val="22"/>
          <w:lang w:eastAsia="fr-FR"/>
        </w:rPr>
        <w:t>division simplifié afin de désigner les parties objet du conventionnement :</w:t>
      </w:r>
    </w:p>
    <w:p>
      <w:pPr>
        <w:pStyle w:val="Normal"/>
        <w:jc w:val="both"/>
        <w:rPr>
          <w:rFonts w:ascii="TimesNewRomanPSMT" w:hAnsi="TimesNewRomanPSMT" w:cs="TimesNewRomanPSMT"/>
        </w:rPr>
      </w:pPr>
      <w:r>
        <w:rPr>
          <w:rFonts w:cs="TimesNewRomanPSMT" w:ascii="TimesNewRomanPSMT" w:hAnsi="TimesNewRomanPSMT"/>
        </w:rPr>
      </w:r>
      <w:bookmarkStart w:id="22" w:name="S6"/>
      <w:bookmarkStart w:id="23" w:name="S6"/>
      <w:bookmarkEnd w:id="23"/>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Numéro du lot</w:t>
            </w:r>
          </w:p>
        </w:tc>
        <w:tc>
          <w:tcPr>
            <w:tcW w:w="2136"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Financement</w:t>
            </w:r>
          </w:p>
        </w:tc>
        <w:tc>
          <w:tcPr>
            <w:tcW w:w="2110"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Désignation</w:t>
            </w:r>
          </w:p>
        </w:tc>
        <w:tc>
          <w:tcPr>
            <w:tcW w:w="2494"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 xml:space="preserve">Numéro de lot des logements </w:t>
            </w:r>
          </w:p>
          <w:p>
            <w:pPr>
              <w:pStyle w:val="Normal"/>
              <w:widowControl w:val="false"/>
              <w:suppressAutoHyphens w:val="true"/>
              <w:spacing w:before="0" w:after="0"/>
              <w:jc w:val="left"/>
              <w:rPr>
                <w:b/>
                <w:b/>
                <w:bCs/>
                <w:sz w:val="16"/>
                <w:szCs w:val="16"/>
                <w:lang w:val="en-US"/>
              </w:rPr>
            </w:pPr>
            <w:r>
              <w:rPr>
                <w:rFonts w:eastAsia="Times New Roman" w:cs="Times New Roman"/>
                <w:b w:val="false"/>
                <w:bCs w:val="false"/>
                <w:kern w:val="0"/>
                <w:sz w:val="16"/>
                <w:szCs w:val="16"/>
                <w:lang w:val="en-US" w:eastAsia="en-GB" w:bidi="ar-SA"/>
              </w:rPr>
              <w:t>(tel que inscrit dans les actes de vente/propriété…)</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for i in logement_edds %}</w:t>
            </w:r>
          </w:p>
        </w:tc>
      </w:tr>
      <w:tr>
        <w:trPr/>
        <w:tc>
          <w:tcPr>
            <w:tcW w:w="1527"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{{i.lot_num}}</w:t>
            </w:r>
          </w:p>
        </w:tc>
        <w:tc>
          <w:tcPr>
            <w:tcW w:w="2136"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i.financement }}</w:t>
            </w:r>
          </w:p>
        </w:tc>
        <w:tc>
          <w:tcPr>
            <w:tcW w:w="2110"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i.designation }}</w:t>
            </w:r>
          </w:p>
        </w:tc>
        <w:tc>
          <w:tcPr>
            <w:tcW w:w="249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i.numero_lot}}</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bookmarkStart w:id="24" w:name="S7"/>
      <w:bookmarkStart w:id="25" w:name="S7"/>
      <w:bookmarkEnd w:id="25"/>
    </w:p>
    <w:p>
      <w:pPr>
        <w:pStyle w:val="Normal"/>
        <w:jc w:val="both"/>
        <w:rPr>
          <w:rFonts w:ascii="TimesNewRomanPSMT" w:hAnsi="TimesNewRomanPSMT" w:cs="TimesNewRomanPSMT"/>
          <w:b/>
          <w:b/>
        </w:rPr>
      </w:pPr>
      <w:r>
        <w:rPr>
          <w:rFonts w:cs="TimesNewRomanPSMT" w:ascii="TimesNewRomanPSMT" w:hAnsi="TimesNewRomanPSMT"/>
          <w:b/>
        </w:rPr>
        <w:t>La convention porte sur le lot n° {{ lot_num }}</w:t>
      </w:r>
    </w:p>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Nature de l'opération et financement.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t xml:space="preserve">Programme de </w:t>
      </w:r>
      <w:bookmarkStart w:id="26" w:name="NbLogement4"/>
      <w:bookmarkStart w:id="27" w:name="AutreType"/>
      <w:bookmarkStart w:id="28" w:name="Type2"/>
      <w:bookmarkEnd w:id="26"/>
      <w:bookmarkEnd w:id="27"/>
      <w:bookmarkEnd w:id="28"/>
      <w:r>
        <w:rPr/>
        <w:t>{{ lot.nb_logements }} logement</w:t>
      </w:r>
      <w:r>
        <w:rPr>
          <w:rFonts w:cs="TimesNewRomanPSMT" w:ascii="TimesNewRomanPSMT" w:hAnsi="TimesNewRomanPSMT"/>
        </w:rPr>
        <w:t>{{lot.nb_logements|pl</w:t>
      </w:r>
      <w:r>
        <w:rPr/>
        <w:t xml:space="preserve"> }}{{ lot.get_type_habitat_advanced_display(lot.nb_logements) }}</w:t>
      </w:r>
      <w:bookmarkStart w:id="29" w:name="Fi4"/>
      <w:bookmarkEnd w:id="29"/>
      <w:r>
        <w:rPr/>
        <w:t>{{ programme.get_type_operation_advanced_display()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3° Composition </w:t>
      </w:r>
      <w:r>
        <w:rPr>
          <w:rFonts w:cs="TimesNewRomanPSMT" w:ascii="TimesNewRomanPSMT" w:hAnsi="TimesNewRomanPSMT"/>
          <w:lang w:val="fr-FR"/>
        </w:rPr>
        <w:t>du programme</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éléments ci-après sont décrits par immeuble ou ensemble immobilier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A.-Locaux auxquels s'applique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Nombre des logements locatifs par type de logements :</w:t>
      </w:r>
    </w:p>
    <w:p>
      <w:pPr>
        <w:pStyle w:val="Normal"/>
        <w:jc w:val="both"/>
        <w:rPr>
          <w:rFonts w:ascii="TimesNewRomanPSMT" w:hAnsi="TimesNewRomanPSMT" w:cs="TimesNewRomanPSMT"/>
        </w:rPr>
      </w:pPr>
      <w:r>
        <w:rPr>
          <w:rFonts w:cs="TimesNewRomanPSMT" w:ascii="TimesNewRomanPSMT" w:hAnsi="TimesNewRomanPSMT"/>
        </w:rPr>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34"/>
        <w:gridCol w:w="4133"/>
      </w:tblGrid>
      <w:tr>
        <w:trPr/>
        <w:tc>
          <w:tcPr>
            <w:tcW w:w="4134" w:type="dxa"/>
            <w:tcBorders/>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de logements</w:t>
            </w:r>
          </w:p>
        </w:tc>
        <w:tc>
          <w:tcPr>
            <w:tcW w:w="4133" w:type="dxa"/>
            <w:tcBorders/>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Nombre de logements</w:t>
            </w:r>
          </w:p>
        </w:tc>
      </w:tr>
      <w:tr>
        <w:trPr/>
        <w:tc>
          <w:tcPr>
            <w:tcW w:w="8267" w:type="dxa"/>
            <w:gridSpan w:val="2"/>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{%tr for k,v in nb_logements_par_type.items() %}</w:t>
            </w:r>
          </w:p>
        </w:tc>
      </w:tr>
      <w:tr>
        <w:trPr/>
        <w:tc>
          <w:tcPr>
            <w:tcW w:w="4134"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{{k}}</w:t>
            </w:r>
          </w:p>
        </w:tc>
        <w:tc>
          <w:tcPr>
            <w:tcW w:w="4133"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{{v}}</w:t>
            </w:r>
          </w:p>
        </w:tc>
      </w:tr>
      <w:tr>
        <w:trPr/>
        <w:tc>
          <w:tcPr>
            <w:tcW w:w="8267" w:type="dxa"/>
            <w:gridSpan w:val="2"/>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FR"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p>
    <w:p>
      <w:pPr>
        <w:pStyle w:val="Normal"/>
        <w:jc w:val="both"/>
        <w:rPr/>
      </w:pPr>
      <w:r>
        <w:rPr>
          <w:rFonts w:cs="TimesNewRomanPSMT" w:ascii="TimesNewRomanPSMT" w:hAnsi="TimesNewRomanPSMT"/>
        </w:rPr>
        <w:t xml:space="preserve">2. Surface habitable totale (art. R. 111-2 du code de la construction et de l’habitation) : </w:t>
      </w:r>
      <w:bookmarkStart w:id="30" w:name="SH"/>
      <w:bookmarkEnd w:id="30"/>
      <w:r>
        <w:rPr>
          <w:rFonts w:cs="TimesNewRomanPSMT" w:ascii="TimesNewRomanPSMT" w:hAnsi="TimesNewRomanPSMT"/>
        </w:rPr>
        <w:t>{{ sh_totale|f }} 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3. Surface totale des annexes entrant dans le calcul de la surface utile (art. D. 353-16 (2°) du code de la construction et de l’habitation) : </w:t>
      </w:r>
      <w:bookmarkStart w:id="31" w:name="SA"/>
      <w:bookmarkEnd w:id="31"/>
      <w:r>
        <w:rPr>
          <w:rFonts w:cs="TimesNewRomanPSMT" w:ascii="TimesNewRomanPSMT" w:hAnsi="TimesNewRomanPSMT"/>
        </w:rPr>
        <w:t>{{ sar_totale</w:t>
      </w:r>
      <w:r>
        <w:rPr>
          <w:rFonts w:cs="TimesNewRomanPSMT" w:ascii="TimesNewRomanPSMT" w:hAnsi="TimesNewRomanPSMT"/>
          <w:lang w:val="fr-FR"/>
        </w:rPr>
        <w:t>|f</w:t>
      </w:r>
      <w:r>
        <w:rPr>
          <w:rFonts w:cs="TimesNewRomanPSMT" w:ascii="TimesNewRomanPSMT" w:hAnsi="TimesNewRomanPSMT"/>
        </w:rPr>
        <w:t xml:space="preserve"> }}</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bis. Liste de ces annexes, conforme à l'arrêté modifié du 9 mai 1995 du ministre du logement pris en application de l'article D. 353-16 précité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lot.annexe_caves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32" w:name="__Fieldmark__15895_2465517801"/>
      <w:bookmarkStart w:id="33" w:name="__Fieldmark__15895_2465517801"/>
      <w:bookmarkEnd w:id="33"/>
      <w:r>
        <w:rPr>
          <w:rFonts w:ascii="TimesNewRomanPSMT" w:hAnsi="TimesNewRomanPSMT"/>
          <w:sz w:val="16"/>
          <w:szCs w:val="16"/>
        </w:rPr>
      </w:r>
      <w:r>
        <w:rPr>
          <w:sz w:val="16"/>
          <w:szCs w:val="16"/>
          <w:rFonts w:ascii="TimesNewRomanPSMT" w:hAnsi="TimesNewRomanPSMT"/>
        </w:rPr>
        <w:fldChar w:fldCharType="end"/>
      </w:r>
      <w:bookmarkStart w:id="34" w:name="__Fieldmark__6933_816879668"/>
      <w:bookmarkStart w:id="35" w:name="__Fieldmark__8303_2465517801"/>
      <w:bookmarkEnd w:id="34"/>
      <w:bookmarkEnd w:id="35"/>
      <w:r>
        <w:rPr>
          <w:rFonts w:cs="TimesNewRomanPSMT" w:ascii="TimesNewRomanPSMT" w:hAnsi="TimesNewRomanPSMT"/>
        </w:rPr>
        <w:t xml:space="preserve"> Caves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lot.annexe_soussols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36" w:name="__Fieldmark__15911_2465517801"/>
      <w:bookmarkStart w:id="37" w:name="__Fieldmark__15911_2465517801"/>
      <w:bookmarkEnd w:id="37"/>
      <w:r>
        <w:rPr>
          <w:rFonts w:ascii="TimesNewRomanPSMT" w:hAnsi="TimesNewRomanPSMT"/>
          <w:sz w:val="16"/>
          <w:szCs w:val="16"/>
        </w:rPr>
      </w:r>
      <w:r>
        <w:rPr>
          <w:sz w:val="16"/>
          <w:szCs w:val="16"/>
          <w:rFonts w:ascii="TimesNewRomanPSMT" w:hAnsi="TimesNewRomanPSMT"/>
        </w:rPr>
        <w:fldChar w:fldCharType="end"/>
      </w:r>
      <w:bookmarkStart w:id="38" w:name="__Fieldmark__6946_816879668"/>
      <w:bookmarkStart w:id="39" w:name="__Fieldmark__8316_2465517801"/>
      <w:bookmarkEnd w:id="38"/>
      <w:bookmarkEnd w:id="39"/>
      <w:r>
        <w:rPr>
          <w:rFonts w:cs="TimesNewRomanPSMT" w:ascii="TimesNewRomanPSMT" w:hAnsi="TimesNewRomanPSMT"/>
        </w:rPr>
        <w:t xml:space="preserve"> Sous-sols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remises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en-US"/>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0" w:name="__Fieldmark__15931_2465517801"/>
      <w:bookmarkStart w:id="41" w:name="__Fieldmark__15931_2465517801"/>
      <w:bookmarkEnd w:id="41"/>
      <w:r>
        <w:rPr>
          <w:rFonts w:ascii="TimesNewRomanPSMT" w:hAnsi="TimesNewRomanPSMT"/>
          <w:sz w:val="16"/>
          <w:szCs w:val="16"/>
        </w:rPr>
      </w:r>
      <w:r>
        <w:rPr>
          <w:sz w:val="16"/>
          <w:szCs w:val="16"/>
          <w:rFonts w:ascii="TimesNewRomanPSMT" w:hAnsi="TimesNewRomanPSMT"/>
        </w:rPr>
        <w:fldChar w:fldCharType="end"/>
      </w:r>
      <w:bookmarkStart w:id="42" w:name="__Fieldmark__6960_816879668"/>
      <w:bookmarkStart w:id="43" w:name="__Fieldmark__8333_2465517801"/>
      <w:bookmarkEnd w:id="42"/>
      <w:bookmarkEnd w:id="43"/>
      <w:r>
        <w:rPr>
          <w:rFonts w:cs="TimesNewRomanPSMT" w:ascii="TimesNewRomanPSMT" w:hAnsi="TimesNewRomanPSMT"/>
          <w:sz w:val="16"/>
          <w:szCs w:val="16"/>
        </w:rPr>
        <w:t xml:space="preserve"> </w:t>
      </w:r>
      <w:r>
        <w:rPr>
          <w:rFonts w:cs="TimesNewRomanPSMT" w:ascii="TimesNewRomanPSMT" w:hAnsi="TimesNewRomanPSMT"/>
          <w:lang w:val="en-US"/>
        </w:rPr>
        <w:t>Remise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lot.annexe_ateliers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4" w:name="__Fieldmark__15947_2465517801"/>
      <w:bookmarkStart w:id="45" w:name="__Fieldmark__15947_2465517801"/>
      <w:bookmarkEnd w:id="45"/>
      <w:r>
        <w:rPr>
          <w:rFonts w:ascii="TimesNewRomanPSMT" w:hAnsi="TimesNewRomanPSMT"/>
          <w:sz w:val="16"/>
          <w:szCs w:val="16"/>
        </w:rPr>
      </w:r>
      <w:r>
        <w:rPr>
          <w:sz w:val="16"/>
          <w:szCs w:val="16"/>
          <w:rFonts w:ascii="TimesNewRomanPSMT" w:hAnsi="TimesNewRomanPSMT"/>
        </w:rPr>
        <w:fldChar w:fldCharType="end"/>
      </w:r>
      <w:bookmarkStart w:id="46" w:name="__Fieldmark__6973_816879668"/>
      <w:bookmarkStart w:id="47" w:name="__Fieldmark__8346_2465517801"/>
      <w:bookmarkEnd w:id="46"/>
      <w:bookmarkEnd w:id="47"/>
      <w:r>
        <w:rPr>
          <w:rFonts w:cs="TimesNewRomanPSMT" w:ascii="TimesNewRomanPSMT" w:hAnsi="TimesNewRomanPSMT"/>
          <w:sz w:val="16"/>
          <w:szCs w:val="16"/>
        </w:rPr>
        <w:t xml:space="preserve"> </w:t>
      </w:r>
      <w:r>
        <w:rPr>
          <w:rFonts w:cs="TimesNewRomanPSMT" w:ascii="TimesNewRomanPSMT" w:hAnsi="TimesNewRomanPSMT"/>
        </w:rPr>
        <w:t>Ateliers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lot.annexe_sechoirs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8" w:name="__Fieldmark__15961_2465517801"/>
      <w:bookmarkStart w:id="49" w:name="__Fieldmark__15961_2465517801"/>
      <w:bookmarkEnd w:id="49"/>
      <w:r>
        <w:rPr>
          <w:rFonts w:ascii="TimesNewRomanPSMT" w:hAnsi="TimesNewRomanPSMT"/>
          <w:sz w:val="16"/>
          <w:szCs w:val="16"/>
        </w:rPr>
      </w:r>
      <w:r>
        <w:rPr>
          <w:sz w:val="16"/>
          <w:szCs w:val="16"/>
          <w:rFonts w:ascii="TimesNewRomanPSMT" w:hAnsi="TimesNewRomanPSMT"/>
        </w:rPr>
        <w:fldChar w:fldCharType="end"/>
      </w:r>
      <w:bookmarkStart w:id="50" w:name="__Fieldmark__6986_816879668"/>
      <w:bookmarkStart w:id="51" w:name="__Fieldmark__8357_2465517801"/>
      <w:bookmarkEnd w:id="50"/>
      <w:bookmarkEnd w:id="51"/>
      <w:r>
        <w:rPr>
          <w:rFonts w:cs="TimesNewRomanPSMT" w:ascii="TimesNewRomanPSMT" w:hAnsi="TimesNewRomanPSMT"/>
          <w:sz w:val="16"/>
          <w:szCs w:val="16"/>
        </w:rPr>
        <w:t xml:space="preserve"> </w:t>
      </w:r>
      <w:r>
        <w:rPr>
          <w:rFonts w:cs="TimesNewRomanPSMT" w:ascii="TimesNewRomanPSMT" w:hAnsi="TimesNewRomanPSMT"/>
        </w:rPr>
        <w:t>Séchoirs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celliers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2" w:name="__Fieldmark__15979_2465517801"/>
      <w:bookmarkStart w:id="53" w:name="__Fieldmark__15979_2465517801"/>
      <w:bookmarkEnd w:id="53"/>
      <w:r>
        <w:rPr>
          <w:rFonts w:ascii="TimesNewRomanPSMT" w:hAnsi="TimesNewRomanPSMT"/>
          <w:sz w:val="16"/>
          <w:szCs w:val="16"/>
        </w:rPr>
      </w:r>
      <w:r>
        <w:rPr>
          <w:sz w:val="16"/>
          <w:szCs w:val="16"/>
          <w:rFonts w:ascii="TimesNewRomanPSMT" w:hAnsi="TimesNewRomanPSMT"/>
        </w:rPr>
        <w:fldChar w:fldCharType="end"/>
      </w:r>
      <w:bookmarkStart w:id="54" w:name="__Fieldmark__6999_816879668"/>
      <w:bookmarkStart w:id="55" w:name="__Fieldmark__8372_2465517801"/>
      <w:bookmarkEnd w:id="54"/>
      <w:bookmarkEnd w:id="55"/>
      <w:r>
        <w:rPr>
          <w:rFonts w:cs="TimesNewRomanPSMT" w:ascii="TimesNewRomanPSMT" w:hAnsi="TimesNewRomanPSMT"/>
          <w:sz w:val="16"/>
          <w:szCs w:val="16"/>
        </w:rPr>
        <w:t xml:space="preserve"> </w:t>
      </w:r>
      <w:r>
        <w:rPr>
          <w:rFonts w:cs="TimesNewRomanPSMT" w:ascii="TimesNewRomanPSMT" w:hAnsi="TimesNewRomanPSMT"/>
          <w:lang w:val="fr-FR"/>
        </w:rPr>
        <w:t>Celliers extérieurs au logement</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resserres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en-US"/>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6" w:name="__Fieldmark__15999_2465517801"/>
      <w:bookmarkStart w:id="57" w:name="__Fieldmark__15999_2465517801"/>
      <w:bookmarkEnd w:id="57"/>
      <w:r>
        <w:rPr>
          <w:rFonts w:ascii="TimesNewRomanPSMT" w:hAnsi="TimesNewRomanPSMT"/>
          <w:sz w:val="16"/>
          <w:szCs w:val="16"/>
        </w:rPr>
      </w:r>
      <w:r>
        <w:rPr>
          <w:sz w:val="16"/>
          <w:szCs w:val="16"/>
          <w:rFonts w:ascii="TimesNewRomanPSMT" w:hAnsi="TimesNewRomanPSMT"/>
        </w:rPr>
        <w:fldChar w:fldCharType="end"/>
      </w:r>
      <w:bookmarkStart w:id="58" w:name="__Fieldmark__7013_816879668"/>
      <w:bookmarkStart w:id="59" w:name="__Fieldmark__8389_2465517801"/>
      <w:bookmarkEnd w:id="58"/>
      <w:bookmarkEnd w:id="59"/>
      <w:r>
        <w:rPr>
          <w:rFonts w:cs="TimesNewRomanPSMT" w:ascii="TimesNewRomanPSMT" w:hAnsi="TimesNewRomanPSMT"/>
          <w:sz w:val="16"/>
          <w:szCs w:val="16"/>
        </w:rPr>
        <w:t xml:space="preserve"> </w:t>
      </w:r>
      <w:r>
        <w:rPr>
          <w:rFonts w:cs="TimesNewRomanPSMT" w:ascii="TimesNewRomanPSMT" w:hAnsi="TimesNewRomanPSMT"/>
          <w:lang w:val="en-US"/>
        </w:rPr>
        <w:t>Resserres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w:t>
      </w:r>
      <w:r>
        <w:rPr>
          <w:rFonts w:cs="TimesNewRomanPSMT" w:ascii="TimesNewRomanPSMT" w:hAnsi="TimesNewRomanPSMT"/>
          <w:sz w:val="16"/>
          <w:szCs w:val="16"/>
          <w:lang w:val="en-US"/>
        </w:rPr>
        <w:t>_combles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0" w:name="__Fieldmark__16019_2465517801"/>
      <w:bookmarkStart w:id="61" w:name="__Fieldmark__16019_2465517801"/>
      <w:bookmarkEnd w:id="61"/>
      <w:r>
        <w:rPr>
          <w:rFonts w:ascii="TimesNewRomanPSMT" w:hAnsi="TimesNewRomanPSMT"/>
          <w:sz w:val="16"/>
          <w:szCs w:val="16"/>
        </w:rPr>
      </w:r>
      <w:r>
        <w:rPr>
          <w:sz w:val="16"/>
          <w:szCs w:val="16"/>
          <w:rFonts w:ascii="TimesNewRomanPSMT" w:hAnsi="TimesNewRomanPSMT"/>
        </w:rPr>
        <w:fldChar w:fldCharType="end"/>
      </w:r>
      <w:bookmarkStart w:id="62" w:name="__Fieldmark__7027_816879668"/>
      <w:bookmarkStart w:id="63" w:name="__Fieldmark__8406_2465517801"/>
      <w:bookmarkEnd w:id="62"/>
      <w:bookmarkEnd w:id="63"/>
      <w:r>
        <w:rPr>
          <w:rFonts w:cs="TimesNewRomanPSMT" w:ascii="TimesNewRomanPSMT" w:hAnsi="TimesNewRomanPSMT"/>
          <w:sz w:val="16"/>
          <w:szCs w:val="16"/>
        </w:rPr>
        <w:t xml:space="preserve"> </w:t>
      </w:r>
      <w:r>
        <w:rPr>
          <w:rFonts w:cs="TimesNewRomanPSMT" w:ascii="TimesNewRomanPSMT" w:hAnsi="TimesNewRomanPSMT"/>
          <w:lang w:val="fr-FR"/>
        </w:rPr>
        <w:t>Combles et greniers aménageable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balcons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4" w:name="__Fieldmark__16039_2465517801"/>
      <w:bookmarkStart w:id="65" w:name="__Fieldmark__16039_2465517801"/>
      <w:bookmarkEnd w:id="65"/>
      <w:r>
        <w:rPr>
          <w:rFonts w:ascii="TimesNewRomanPSMT" w:hAnsi="TimesNewRomanPSMT"/>
          <w:sz w:val="16"/>
          <w:szCs w:val="16"/>
        </w:rPr>
      </w:r>
      <w:r>
        <w:rPr>
          <w:sz w:val="16"/>
          <w:szCs w:val="16"/>
          <w:rFonts w:ascii="TimesNewRomanPSMT" w:hAnsi="TimesNewRomanPSMT"/>
        </w:rPr>
        <w:fldChar w:fldCharType="end"/>
      </w:r>
      <w:bookmarkStart w:id="66" w:name="__Fieldmark__7040_816879668"/>
      <w:bookmarkStart w:id="67" w:name="__Fieldmark__8423_2465517801"/>
      <w:bookmarkEnd w:id="66"/>
      <w:bookmarkEnd w:id="67"/>
      <w:r>
        <w:rPr>
          <w:rFonts w:cs="TimesNewRomanPSMT" w:ascii="TimesNewRomanPSMT" w:hAnsi="TimesNewRomanPSMT"/>
          <w:sz w:val="16"/>
          <w:szCs w:val="16"/>
        </w:rPr>
        <w:t xml:space="preserve"> </w:t>
      </w:r>
      <w:r>
        <w:rPr>
          <w:rFonts w:cs="TimesNewRomanPSMT" w:ascii="TimesNewRomanPSMT" w:hAnsi="TimesNewRomanPSMT"/>
        </w:rPr>
        <w:t>Balcons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lot.annexe_loggias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8" w:name="__Fieldmark__16053_2465517801"/>
      <w:bookmarkStart w:id="69" w:name="__Fieldmark__16053_2465517801"/>
      <w:bookmarkEnd w:id="69"/>
      <w:r>
        <w:rPr>
          <w:rFonts w:ascii="TimesNewRomanPSMT" w:hAnsi="TimesNewRomanPSMT"/>
          <w:sz w:val="16"/>
          <w:szCs w:val="16"/>
        </w:rPr>
      </w:r>
      <w:r>
        <w:rPr>
          <w:sz w:val="16"/>
          <w:szCs w:val="16"/>
          <w:rFonts w:ascii="TimesNewRomanPSMT" w:hAnsi="TimesNewRomanPSMT"/>
        </w:rPr>
        <w:fldChar w:fldCharType="end"/>
      </w:r>
      <w:bookmarkStart w:id="70" w:name="__Fieldmark__7053_816879668"/>
      <w:bookmarkStart w:id="71" w:name="__Fieldmark__8434_2465517801"/>
      <w:bookmarkEnd w:id="70"/>
      <w:bookmarkEnd w:id="71"/>
      <w:r>
        <w:rPr>
          <w:rFonts w:cs="TimesNewRomanPSMT" w:ascii="TimesNewRomanPSMT" w:hAnsi="TimesNewRomanPSMT"/>
          <w:sz w:val="16"/>
          <w:szCs w:val="16"/>
        </w:rPr>
        <w:t xml:space="preserve"> </w:t>
      </w:r>
      <w:r>
        <w:rPr>
          <w:rFonts w:cs="TimesNewRomanPSMT" w:ascii="TimesNewRomanPSMT" w:hAnsi="TimesNewRomanPSMT"/>
          <w:lang w:val="fr-FR"/>
        </w:rPr>
        <w:t>Loggias et Vérandas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left="708" w:hanging="0"/>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fr-FR"/>
        </w:rPr>
        <w:t>terrasses</w:t>
      </w:r>
      <w:r>
        <w:rPr>
          <w:rFonts w:cs="TimesNewRomanPSMT" w:ascii="TimesNewRomanPSMT" w:hAnsi="TimesNewRomanPSMT"/>
          <w:sz w:val="16"/>
          <w:szCs w:val="16"/>
        </w:rPr>
        <w:t xml:space="preserve"> %}</w:t>
      </w:r>
    </w:p>
    <w:p>
      <w:pPr>
        <w:pStyle w:val="Normal"/>
        <w:ind w:left="708" w:hanging="0"/>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72" w:name="__Fieldmark__16073_2465517801"/>
      <w:bookmarkStart w:id="73" w:name="__Fieldmark__16073_2465517801"/>
      <w:bookmarkEnd w:id="73"/>
      <w:r>
        <w:rPr>
          <w:rFonts w:ascii="TimesNewRomanPSMT" w:hAnsi="TimesNewRomanPSMT"/>
          <w:sz w:val="16"/>
          <w:szCs w:val="16"/>
        </w:rPr>
      </w:r>
      <w:r>
        <w:rPr>
          <w:sz w:val="16"/>
          <w:szCs w:val="16"/>
          <w:rFonts w:ascii="TimesNewRomanPSMT" w:hAnsi="TimesNewRomanPSMT"/>
        </w:rPr>
        <w:fldChar w:fldCharType="end"/>
      </w:r>
      <w:bookmarkStart w:id="74" w:name="__Fieldmark__7066_816879668"/>
      <w:bookmarkStart w:id="75" w:name="__Fieldmark__8451_2465517801"/>
      <w:bookmarkEnd w:id="74"/>
      <w:bookmarkEnd w:id="75"/>
      <w:r>
        <w:rPr>
          <w:rFonts w:cs="TimesNewRomanPSMT" w:ascii="TimesNewRomanPSMT" w:hAnsi="TimesNewRomanPSMT"/>
          <w:sz w:val="16"/>
          <w:szCs w:val="16"/>
        </w:rPr>
        <w:t xml:space="preserve"> </w:t>
      </w:r>
      <w:r>
        <w:rPr>
          <w:rFonts w:cs="TimesNewRomanPSMT" w:ascii="TimesNewRomanPSMT" w:hAnsi="TimesNewRomanPSMT"/>
          <w:lang w:val="fr-FR"/>
        </w:rPr>
        <w:t>Dans la limite de 9 m2, les parties de terrasses accessibles en étage ou aménagées sur ouvrage enterré ou à moitié enterré</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jc w:val="both"/>
        <w:rPr>
          <w:rFonts w:ascii="Open Sans" w:hAnsi="Open Sans" w:cs="Open Sans"/>
          <w:color w:val="3F4350"/>
          <w:sz w:val="20"/>
          <w:szCs w:val="20"/>
        </w:rPr>
      </w:pPr>
      <w:r>
        <w:rPr>
          <w:rFonts w:cs="Open Sans" w:ascii="Open Sans" w:hAnsi="Open Sans"/>
          <w:color w:val="3F4350"/>
          <w:sz w:val="20"/>
          <w:szCs w:val="20"/>
        </w:rPr>
      </w:r>
    </w:p>
    <w:p>
      <w:pPr>
        <w:pStyle w:val="Normal"/>
        <w:jc w:val="both"/>
        <w:rPr/>
      </w:pPr>
      <w:r>
        <w:rPr>
          <w:rFonts w:cs="TimesNewRomanPSMT" w:ascii="TimesNewRomanPSMT" w:hAnsi="TimesNewRomanPSMT"/>
        </w:rPr>
        <w:t>3 ter. Surface des locaux collectifs résidentiels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4. Surface utile totale de l'opération (art. D. 353-16 (2°) précité) : </w:t>
      </w:r>
      <w:bookmarkStart w:id="76" w:name="SU"/>
      <w:bookmarkEnd w:id="76"/>
      <w:r>
        <w:rPr>
          <w:rFonts w:cs="TimesNewRomanPSMT" w:ascii="TimesNewRomanPSMT" w:hAnsi="TimesNewRomanPSMT"/>
        </w:rPr>
        <w:t>{{ su_totale</w:t>
      </w:r>
      <w:r>
        <w:rPr>
          <w:rFonts w:cs="TimesNewRomanPSMT" w:ascii="TimesNewRomanPSMT" w:hAnsi="TimesNewRomanPSMT"/>
          <w:lang w:val="fr-FR"/>
        </w:rPr>
        <w:t xml:space="preserve">|f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5. Décompte des surfaces et des coefficients propres au logement appliqués pour le calcul du loyer :</w:t>
      </w:r>
    </w:p>
    <w:p>
      <w:pPr>
        <w:pStyle w:val="Normal"/>
        <w:jc w:val="both"/>
        <w:rPr>
          <w:rFonts w:ascii="TimesNewRomanPSMT" w:hAnsi="TimesNewRomanPSMT" w:cs="TimesNewRomanPSMT"/>
          <w:sz w:val="20"/>
          <w:lang w:val="en-US"/>
        </w:rPr>
      </w:pPr>
      <w:bookmarkStart w:id="77" w:name="S1"/>
      <w:bookmarkEnd w:id="77"/>
      <w:r>
        <w:rPr>
          <w:rFonts w:cs="TimesNewRomanPSMT" w:ascii="TimesNewRomanPSMT" w:hAnsi="TimesNewRomanPSMT"/>
          <w:sz w:val="20"/>
          <w:lang w:val="en-US"/>
        </w:rPr>
        <w:t>{% if logements.count()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r>
    </w:p>
    <w:tbl>
      <w:tblPr>
        <w:tblStyle w:val="TableGrid"/>
        <w:tblW w:w="82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3"/>
        <w:gridCol w:w="1136"/>
        <w:gridCol w:w="849"/>
        <w:gridCol w:w="1276"/>
        <w:gridCol w:w="1134"/>
        <w:gridCol w:w="1136"/>
        <w:gridCol w:w="1185"/>
      </w:tblGrid>
      <w:tr>
        <w:trPr/>
        <w:tc>
          <w:tcPr>
            <w:tcW w:w="1553"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FR" w:eastAsia="en-GB" w:bidi="ar-SA"/>
              </w:rPr>
              <w:t>D</w:t>
            </w:r>
            <w:r>
              <w:rPr>
                <w:rFonts w:eastAsia="Times New Roman" w:cs="TimesNewRomanPSMT" w:ascii="TimesNewRomanPSMT" w:hAnsi="TimesNewRomanPSMT"/>
                <w:kern w:val="0"/>
                <w:sz w:val="14"/>
                <w:szCs w:val="14"/>
                <w:lang w:val="fr-FR" w:eastAsia="en-GB" w:bidi="ar-SA"/>
              </w:rPr>
              <w:t>ÉSIGNATION</w:t>
              <w:br/>
            </w:r>
            <w:r>
              <w:rPr>
                <w:rFonts w:eastAsia="Times New Roman" w:cs="TimesNewRomanPSMT" w:ascii="TimesNewRomanPSMT" w:hAnsi="TimesNewRomanPSMT"/>
                <w:kern w:val="0"/>
                <w:sz w:val="14"/>
                <w:szCs w:val="14"/>
                <w:lang w:val="en-FR" w:eastAsia="en-GB" w:bidi="ar-SA"/>
              </w:rPr>
              <w:t>des logements</w:t>
            </w:r>
          </w:p>
        </w:tc>
        <w:tc>
          <w:tcPr>
            <w:tcW w:w="1136"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habitable</w:t>
            </w:r>
          </w:p>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(art. R. 111-2)</w:t>
            </w:r>
          </w:p>
        </w:tc>
        <w:tc>
          <w:tcPr>
            <w:tcW w:w="849"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réelle</w:t>
            </w:r>
            <w:r>
              <w:rPr>
                <w:rFonts w:eastAsia="Times New Roman" w:cs="TimesNewRomanPSMT" w:ascii="TimesNewRomanPSMT" w:hAnsi="TimesNewRomanPSMT"/>
                <w:kern w:val="0"/>
                <w:sz w:val="14"/>
                <w:szCs w:val="14"/>
                <w:lang w:val="en-FR" w:eastAsia="en-GB" w:bidi="ar-SA"/>
              </w:rPr>
              <w:t xml:space="preserve"> des annexes</w:t>
            </w:r>
          </w:p>
        </w:tc>
        <w:tc>
          <w:tcPr>
            <w:tcW w:w="1276"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 UTILE</w:t>
            </w:r>
          </w:p>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en-FR" w:eastAsia="en-GB" w:bidi="ar-SA"/>
              </w:rPr>
              <w:t>(surface habitable augmentée de 50% de la surface des annexes)</w:t>
            </w:r>
          </w:p>
        </w:tc>
        <w:tc>
          <w:tcPr>
            <w:tcW w:w="1134"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maxinum </w:t>
            </w:r>
            <w:r>
              <w:rPr>
                <w:rFonts w:eastAsia="Times New Roman" w:cs="TimesNewRomanPSMT" w:ascii="TimesNewRomanPSMT" w:hAnsi="TimesNewRomanPSMT"/>
                <w:kern w:val="0"/>
                <w:sz w:val="14"/>
                <w:szCs w:val="14"/>
                <w:lang w:val="fr-FR" w:eastAsia="en-GB" w:bidi="ar-SA"/>
              </w:rPr>
              <w:t xml:space="preserve">du logement </w:t>
            </w:r>
            <w:r>
              <w:rPr>
                <w:rFonts w:eastAsia="Times New Roman" w:cs="TimesNewRomanPSMT" w:ascii="TimesNewRomanPSMT" w:hAnsi="TimesNewRomanPSMT"/>
                <w:kern w:val="0"/>
                <w:sz w:val="14"/>
                <w:szCs w:val="14"/>
                <w:lang w:val="en-FR" w:eastAsia="en-GB" w:bidi="ar-SA"/>
              </w:rPr>
              <w:t xml:space="preserve">en </w:t>
            </w:r>
            <w:r>
              <w:rPr>
                <w:rFonts w:eastAsia="Times New Roman" w:cs="TimesNewRomanPSMT" w:ascii="TimesNewRomanPSMT" w:hAnsi="TimesNewRomanPSMT"/>
                <w:kern w:val="0"/>
                <w:sz w:val="14"/>
                <w:szCs w:val="14"/>
                <w:lang w:val="fr-FR" w:eastAsia="en-GB" w:bidi="ar-SA"/>
              </w:rPr>
              <w:t>euros</w:t>
            </w:r>
            <w:r>
              <w:rPr>
                <w:rFonts w:eastAsia="Times New Roman" w:cs="TimesNewRomanPSMT" w:ascii="TimesNewRomanPSMT" w:hAnsi="TimesNewRomanPSMT"/>
                <w:kern w:val="0"/>
                <w:sz w:val="14"/>
                <w:szCs w:val="14"/>
                <w:lang w:val="en-FR" w:eastAsia="en-GB" w:bidi="ar-SA"/>
              </w:rPr>
              <w:t xml:space="preserve"> par </w:t>
            </w:r>
            <w:r>
              <w:rPr>
                <w:rFonts w:eastAsia="Times New Roman" w:cs="TimesNewRomanPSMT" w:ascii="TimesNewRomanPSMT" w:hAnsi="TimesNewRomanPSMT"/>
                <w:kern w:val="0"/>
                <w:sz w:val="14"/>
                <w:szCs w:val="14"/>
                <w:lang w:val="fr-FR" w:eastAsia="en-GB" w:bidi="ar-SA"/>
              </w:rPr>
              <w:t>mètre carré de surface utile</w:t>
            </w:r>
          </w:p>
        </w:tc>
        <w:tc>
          <w:tcPr>
            <w:tcW w:w="1136"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 xml:space="preserve">COEFFICIENT </w:t>
            </w:r>
            <w:r>
              <w:rPr>
                <w:rFonts w:eastAsia="Times New Roman" w:cs="TimesNewRomanPSMT" w:ascii="TimesNewRomanPSMT" w:hAnsi="TimesNewRomanPSMT"/>
                <w:kern w:val="0"/>
                <w:sz w:val="14"/>
                <w:szCs w:val="14"/>
                <w:lang w:val="en-FR" w:eastAsia="en-GB" w:bidi="ar-SA"/>
              </w:rPr>
              <w:t>propre au logement</w:t>
            </w:r>
          </w:p>
        </w:tc>
        <w:tc>
          <w:tcPr>
            <w:tcW w:w="1185"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w:t>
            </w:r>
            <w:r>
              <w:rPr>
                <w:rFonts w:eastAsia="Times New Roman" w:cs="TimesNewRomanPSMT" w:ascii="TimesNewRomanPSMT" w:hAnsi="TimesNewRomanPSMT"/>
                <w:kern w:val="0"/>
                <w:sz w:val="14"/>
                <w:szCs w:val="14"/>
                <w:lang w:val="fr-FR" w:eastAsia="en-GB" w:bidi="ar-SA"/>
              </w:rPr>
              <w:t>MAXIMUM</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du logement</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 xml:space="preserve">(col 4 </w:t>
            </w:r>
            <w:r>
              <w:rPr>
                <w:rFonts w:eastAsia="Times New Roman" w:cs="TimesNewRomanPSMT" w:ascii="TimesNewRomanPSMT" w:hAnsi="TimesNewRomanPSMT"/>
                <w:kern w:val="0"/>
                <w:sz w:val="14"/>
                <w:szCs w:val="14"/>
                <w:lang w:val="fr-FR" w:eastAsia="en-GB" w:bidi="ar-SA"/>
              </w:rPr>
              <w:t>x</w:t>
            </w:r>
            <w:r>
              <w:rPr>
                <w:rFonts w:eastAsia="Times New Roman" w:cs="TimesNewRomanPSMT" w:ascii="TimesNewRomanPSMT" w:hAnsi="TimesNewRomanPSMT"/>
                <w:kern w:val="0"/>
                <w:sz w:val="14"/>
                <w:szCs w:val="14"/>
                <w:lang w:val="en-FR" w:eastAsia="en-GB" w:bidi="ar-SA"/>
              </w:rPr>
              <w:t xml:space="preserve"> col 5 </w:t>
            </w:r>
          </w:p>
          <w:p>
            <w:pPr>
              <w:pStyle w:val="Normal"/>
              <w:widowControl w:val="false"/>
              <w:suppressAutoHyphens w:val="true"/>
              <w:spacing w:before="0" w:after="0"/>
              <w:jc w:val="left"/>
              <w:rPr>
                <w:rFonts w:ascii="TimesNewRomanPSMT" w:hAnsi="TimesNewRomanPSMT" w:cs="TimesNewRomanPSMT"/>
                <w:sz w:val="12"/>
                <w:szCs w:val="12"/>
                <w:lang w:val="en-US"/>
              </w:rPr>
            </w:pPr>
            <w:r>
              <w:rPr>
                <w:rFonts w:eastAsia="Times New Roman" w:cs="TimesNewRomanPSMT" w:ascii="TimesNewRomanPSMT" w:hAnsi="TimesNewRomanPSMT"/>
                <w:kern w:val="0"/>
                <w:sz w:val="14"/>
                <w:szCs w:val="14"/>
                <w:lang w:val="en-US" w:eastAsia="en-GB" w:bidi="ar-SA"/>
              </w:rPr>
              <w:t>x</w:t>
            </w:r>
            <w:r>
              <w:rPr>
                <w:rFonts w:eastAsia="Times New Roman" w:cs="TimesNewRomanPSMT" w:ascii="TimesNewRomanPSMT" w:hAnsi="TimesNewRomanPSMT"/>
                <w:kern w:val="0"/>
                <w:sz w:val="14"/>
                <w:szCs w:val="14"/>
                <w:lang w:val="en-FR" w:eastAsia="en-GB" w:bidi="ar-SA"/>
              </w:rPr>
              <w:t xml:space="preserve"> col 6)</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1</w:t>
            </w:r>
          </w:p>
        </w:tc>
        <w:tc>
          <w:tcPr>
            <w:tcW w:w="113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2</w:t>
            </w:r>
          </w:p>
        </w:tc>
        <w:tc>
          <w:tcPr>
            <w:tcW w:w="849"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3</w:t>
            </w:r>
          </w:p>
        </w:tc>
        <w:tc>
          <w:tcPr>
            <w:tcW w:w="127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4</w:t>
            </w:r>
          </w:p>
        </w:tc>
        <w:tc>
          <w:tcPr>
            <w:tcW w:w="1134"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5</w:t>
            </w:r>
          </w:p>
        </w:tc>
        <w:tc>
          <w:tcPr>
            <w:tcW w:w="113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6</w:t>
            </w:r>
          </w:p>
        </w:tc>
        <w:tc>
          <w:tcPr>
            <w:tcW w:w="1185"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7</w:t>
            </w:r>
          </w:p>
        </w:tc>
      </w:tr>
      <w:tr>
        <w:trPr/>
        <w:tc>
          <w:tcPr>
            <w:tcW w:w="8269" w:type="dxa"/>
            <w:gridSpan w:val="7"/>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l in logements %}</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{{l.d}}</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{{l.sh|f }}</w:t>
            </w:r>
          </w:p>
        </w:tc>
        <w:tc>
          <w:tcPr>
            <w:tcW w:w="849"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{{l.sa|f }}</w:t>
            </w:r>
          </w:p>
        </w:tc>
        <w:tc>
          <w:tcPr>
            <w:tcW w:w="127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{{l.su|f }}</w:t>
            </w:r>
          </w:p>
        </w:tc>
        <w:tc>
          <w:tcPr>
            <w:tcW w:w="113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{{l.lpmc|f }}</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{{l.c|f(d=4)}}</w:t>
            </w:r>
          </w:p>
        </w:tc>
        <w:tc>
          <w:tcPr>
            <w:tcW w:w="118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{{l.l|f}}</w:t>
            </w:r>
          </w:p>
        </w:tc>
      </w:tr>
      <w:tr>
        <w:trPr/>
        <w:tc>
          <w:tcPr>
            <w:tcW w:w="8269" w:type="dxa"/>
            <w:gridSpan w:val="7"/>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kern w:val="0"/>
                <w:sz w:val="16"/>
                <w:szCs w:val="16"/>
                <w:lang w:val="en-US" w:eastAsia="en-GB" w:bidi="ar-SA"/>
              </w:rPr>
              <w:t>{%tr endfor %}</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Total</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{{sh_totale|f }}</w:t>
            </w:r>
          </w:p>
        </w:tc>
        <w:tc>
          <w:tcPr>
            <w:tcW w:w="849"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{{sa_totale|f }}</w:t>
            </w:r>
          </w:p>
        </w:tc>
        <w:tc>
          <w:tcPr>
            <w:tcW w:w="127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{{su_totale|f}}</w:t>
            </w:r>
          </w:p>
        </w:tc>
        <w:tc>
          <w:tcPr>
            <w:tcW w:w="113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cs="TimesNewRomanPSMT" w:ascii="TimesNewRomanPSMT" w:hAnsi="TimesNewRomanPSMT"/>
                <w:sz w:val="16"/>
                <w:szCs w:val="16"/>
                <w:lang w:val="en-US"/>
              </w:rPr>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cs="TimesNewRomanPSMT" w:ascii="TimesNewRomanPSMT" w:hAnsi="TimesNewRomanPSMT"/>
                <w:sz w:val="16"/>
                <w:szCs w:val="16"/>
                <w:lang w:val="en-US"/>
              </w:rPr>
            </w:r>
          </w:p>
        </w:tc>
        <w:tc>
          <w:tcPr>
            <w:tcW w:w="118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{{loyer_total|f}}</w:t>
            </w:r>
          </w:p>
        </w:tc>
      </w:tr>
    </w:tbl>
    <w:p>
      <w:pPr>
        <w:pStyle w:val="Normal"/>
        <w:jc w:val="both"/>
        <w:rPr>
          <w:rFonts w:ascii="TimesNewRomanPSMT" w:hAnsi="TimesNewRomanPSMT" w:cs="TimesNewRomanPSMT"/>
          <w:sz w:val="20"/>
        </w:rPr>
      </w:pPr>
      <w:r>
        <w:rPr>
          <w:rFonts w:cs="TimesNewRomanPSMT" w:ascii="TimesNewRomanPSMT" w:hAnsi="TimesNewRomanPSMT"/>
          <w:lang w:eastAsia="fr-FR"/>
        </w:rPr>
        <w:t xml:space="preserve">* </w:t>
      </w:r>
      <w:r>
        <w:rPr>
          <w:rFonts w:cs="TimesNewRomanPSMT" w:ascii="TimesNewRomanPSMT" w:hAnsi="TimesNewRomanPSMT"/>
          <w:sz w:val="20"/>
          <w:lang w:eastAsia="fr-FR"/>
        </w:rPr>
        <w:t>La majoration prévue à l’article 9 de la convention est susceptible de s’appliquer à ces loyers.</w:t>
      </w:r>
    </w:p>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lang w:val="fr-FR"/>
        </w:rPr>
      </w:pPr>
      <w:r>
        <w:rPr>
          <w:rFonts w:cs="TimesNewRomanPSMT" w:ascii="TimesNewRomanPSMT" w:hAnsi="TimesNewRomanPSMT"/>
        </w:rPr>
        <w:t>6. Nombre et liste des annexes susceptibles de donner lieu à perception d'un loyer accessoire :</w:t>
      </w:r>
      <w:r>
        <w:rPr>
          <w:rFonts w:cs="TimesNewRomanPSMT" w:ascii="TimesNewRomanPSMT" w:hAnsi="TimesNewRomanPSMT"/>
          <w:lang w:val="fr-FR"/>
        </w:rPr>
        <w:t xml:space="preserve"> {{ liste_des_annexes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ascii="TimesNewRomanPSMT" w:hAnsi="TimesNewRomanPSMT" w:cs="TimesNewRomanPSMT"/>
          <w:sz w:val="20"/>
        </w:rPr>
      </w:pPr>
      <w:r>
        <w:rPr>
          <w:rFonts w:cs="TimesNewRomanPSMT" w:ascii="TimesNewRomanPSMT" w:hAnsi="TimesNewRomanPSMT"/>
          <w:sz w:val="20"/>
        </w:rPr>
      </w:r>
    </w:p>
    <w:p>
      <w:pPr>
        <w:pStyle w:val="Normal"/>
        <w:jc w:val="both"/>
        <w:rPr>
          <w:rFonts w:ascii="TimesNewRomanPSMT" w:hAnsi="TimesNewRomanPSMT" w:cs="TimesNewRomanPSMT"/>
          <w:sz w:val="20"/>
        </w:rPr>
      </w:pPr>
      <w:r>
        <w:rPr>
          <w:rFonts w:cs="TimesNewRomanPSMT" w:ascii="TimesNewRomanPSMT" w:hAnsi="TimesNewRomanPSMT"/>
          <w:sz w:val="20"/>
        </w:rPr>
        <w:t>{% if stationnements.count()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13"/>
        <w:gridCol w:w="3454"/>
      </w:tblGrid>
      <w:tr>
        <w:trPr/>
        <w:tc>
          <w:tcPr>
            <w:tcW w:w="4813"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D’ANNEXE DÉFINIE</w:t>
              <w:br/>
              <w:t>à l’articke D. 353-16</w:t>
              <w:br/>
              <w:t>dernier alinéa du 2°</w:t>
            </w:r>
          </w:p>
        </w:tc>
        <w:tc>
          <w:tcPr>
            <w:tcW w:w="3454"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LOYER MAXIMUM</w:t>
              <w:br/>
              <w:t>conventionné de l’annexe</w:t>
              <w:br/>
              <w:t>en euros par mois</w:t>
            </w:r>
          </w:p>
        </w:tc>
      </w:tr>
      <w:tr>
        <w:trPr/>
        <w:tc>
          <w:tcPr>
            <w:tcW w:w="8267" w:type="dxa"/>
            <w:gridSpan w:val="2"/>
            <w:tcBorders/>
          </w:tcPr>
          <w:p>
            <w:pPr>
              <w:pStyle w:val="Normal"/>
              <w:widowControl w:val="false"/>
              <w:suppressAutoHyphens w:val="true"/>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for s in stationnements %}</w:t>
            </w:r>
          </w:p>
        </w:tc>
      </w:tr>
      <w:tr>
        <w:trPr/>
        <w:tc>
          <w:tcPr>
            <w:tcW w:w="4813" w:type="dxa"/>
            <w:tcBorders/>
          </w:tcPr>
          <w:p>
            <w:pPr>
              <w:pStyle w:val="Normal"/>
              <w:widowControl w:val="false"/>
              <w:suppressAutoHyphens w:val="true"/>
              <w:spacing w:before="0" w:after="0"/>
              <w:jc w:val="both"/>
              <w:rPr>
                <w:rFonts w:ascii="TimesNewRomanPSMT" w:hAnsi="TimesNewRomanPSMT" w:cs="TimesNewRomanPSMT"/>
                <w:sz w:val="20"/>
              </w:rPr>
            </w:pPr>
            <w:r>
              <w:rPr>
                <w:rFonts w:eastAsia="Times New Roman" w:cs="TimesNewRomanPSMT" w:ascii="TimesNewRomanPSMT" w:hAnsi="TimesNewRomanPSMT"/>
                <w:kern w:val="0"/>
                <w:sz w:val="16"/>
                <w:szCs w:val="16"/>
                <w:lang w:val="en-FR" w:eastAsia="en-GB" w:bidi="ar-SA"/>
              </w:rPr>
              <w:t>{{ s.nb }} stationnement{{s.nb|pl}} de type {{ s.t }}</w:t>
            </w:r>
          </w:p>
        </w:tc>
        <w:tc>
          <w:tcPr>
            <w:tcW w:w="3454" w:type="dxa"/>
            <w:tcBorders/>
          </w:tcPr>
          <w:p>
            <w:pPr>
              <w:pStyle w:val="Normal"/>
              <w:widowControl w:val="false"/>
              <w:suppressAutoHyphens w:val="true"/>
              <w:spacing w:before="0" w:after="0"/>
              <w:jc w:val="both"/>
              <w:rPr>
                <w:rFonts w:ascii="TimesNewRomanPSMT" w:hAnsi="TimesNewRomanPSMT" w:cs="TimesNewRomanPSMT"/>
                <w:sz w:val="16"/>
                <w:szCs w:val="16"/>
              </w:rPr>
            </w:pPr>
            <w:r>
              <w:rPr>
                <w:rFonts w:eastAsia="Times New Roman" w:cs="TimesNewRomanPSMT" w:ascii="TimesNewRomanPSMT" w:hAnsi="TimesNewRomanPSMT"/>
                <w:kern w:val="0"/>
                <w:sz w:val="16"/>
                <w:szCs w:val="16"/>
                <w:lang w:val="en-FR" w:eastAsia="en-GB" w:bidi="ar-SA"/>
              </w:rPr>
              <w:t>{{s.l</w:t>
            </w:r>
            <w:r>
              <w:rPr>
                <w:rFonts w:eastAsia="Times New Roman" w:cs="TimesNewRomanPSMT" w:ascii="TimesNewRomanPSMT" w:hAnsi="TimesNewRomanPSMT"/>
                <w:kern w:val="0"/>
                <w:sz w:val="16"/>
                <w:szCs w:val="16"/>
                <w:lang w:val="en-US" w:eastAsia="en-GB" w:bidi="ar-SA"/>
              </w:rPr>
              <w:t>|f</w:t>
            </w:r>
            <w:r>
              <w:rPr>
                <w:rFonts w:eastAsia="Times New Roman" w:cs="TimesNewRomanPSMT" w:ascii="TimesNewRomanPSMT" w:hAnsi="TimesNewRomanPSMT"/>
                <w:kern w:val="0"/>
                <w:sz w:val="16"/>
                <w:szCs w:val="16"/>
                <w:lang w:val="en-FR" w:eastAsia="en-GB" w:bidi="ar-SA"/>
              </w:rPr>
              <w:t>}}</w:t>
            </w:r>
          </w:p>
        </w:tc>
      </w:tr>
      <w:tr>
        <w:trPr/>
        <w:tc>
          <w:tcPr>
            <w:tcW w:w="8267" w:type="dxa"/>
            <w:gridSpan w:val="2"/>
            <w:tcBorders/>
          </w:tcPr>
          <w:p>
            <w:pPr>
              <w:pStyle w:val="Normal"/>
              <w:widowControl w:val="false"/>
              <w:suppressAutoHyphens w:val="true"/>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t>{% if annexes.count()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3"/>
        <w:gridCol w:w="1558"/>
        <w:gridCol w:w="1417"/>
        <w:gridCol w:w="1275"/>
        <w:gridCol w:w="1277"/>
        <w:gridCol w:w="1327"/>
      </w:tblGrid>
      <w:tr>
        <w:trPr/>
        <w:tc>
          <w:tcPr>
            <w:tcW w:w="1413" w:type="dxa"/>
            <w:tcBorders/>
            <w:vAlign w:val="center"/>
          </w:tcPr>
          <w:p>
            <w:pPr>
              <w:pStyle w:val="Normal"/>
              <w:widowControl w:val="false"/>
              <w:suppressAutoHyphens w:val="true"/>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Type d’annexe</w:t>
            </w:r>
          </w:p>
        </w:tc>
        <w:tc>
          <w:tcPr>
            <w:tcW w:w="1558" w:type="dxa"/>
            <w:tcBorders/>
            <w:vAlign w:val="center"/>
          </w:tcPr>
          <w:p>
            <w:pPr>
              <w:pStyle w:val="Normal"/>
              <w:widowControl w:val="false"/>
              <w:suppressAutoHyphens w:val="true"/>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Désignation des logement</w:t>
            </w:r>
          </w:p>
        </w:tc>
        <w:tc>
          <w:tcPr>
            <w:tcW w:w="1417" w:type="dxa"/>
            <w:tcBorders/>
            <w:vAlign w:val="center"/>
          </w:tcPr>
          <w:p>
            <w:pPr>
              <w:pStyle w:val="Normal"/>
              <w:widowControl w:val="false"/>
              <w:suppressAutoHyphens w:val="true"/>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Typologie des logements</w:t>
            </w:r>
          </w:p>
        </w:tc>
        <w:tc>
          <w:tcPr>
            <w:tcW w:w="1275" w:type="dxa"/>
            <w:tcBorders/>
            <w:vAlign w:val="center"/>
          </w:tcPr>
          <w:p>
            <w:pPr>
              <w:pStyle w:val="Normal"/>
              <w:widowControl w:val="false"/>
              <w:suppressAutoHyphens w:val="true"/>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Surface de l’annexe</w:t>
            </w:r>
          </w:p>
        </w:tc>
        <w:tc>
          <w:tcPr>
            <w:tcW w:w="1277" w:type="dxa"/>
            <w:tcBorders/>
            <w:vAlign w:val="center"/>
          </w:tcPr>
          <w:p>
            <w:pPr>
              <w:pStyle w:val="Normal"/>
              <w:widowControl w:val="false"/>
              <w:suppressAutoHyphens w:val="true"/>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unitaire en €</w:t>
            </w:r>
          </w:p>
        </w:tc>
        <w:tc>
          <w:tcPr>
            <w:tcW w:w="1327" w:type="dxa"/>
            <w:tcBorders/>
            <w:vAlign w:val="center"/>
          </w:tcPr>
          <w:p>
            <w:pPr>
              <w:pStyle w:val="Normal"/>
              <w:widowControl w:val="false"/>
              <w:suppressAutoHyphens w:val="true"/>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maximun en €</w:t>
            </w:r>
          </w:p>
        </w:tc>
      </w:tr>
      <w:tr>
        <w:trPr/>
        <w:tc>
          <w:tcPr>
            <w:tcW w:w="8267" w:type="dxa"/>
            <w:gridSpan w:val="6"/>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a in annexes %}</w:t>
            </w:r>
          </w:p>
        </w:tc>
      </w:tr>
      <w:tr>
        <w:trPr/>
        <w:tc>
          <w:tcPr>
            <w:tcW w:w="141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{{a.t}}</w:t>
            </w:r>
          </w:p>
        </w:tc>
        <w:tc>
          <w:tcPr>
            <w:tcW w:w="1558"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{{a.lgt.d}}</w:t>
            </w:r>
          </w:p>
        </w:tc>
        <w:tc>
          <w:tcPr>
            <w:tcW w:w="141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{{a.lgt.t}}</w:t>
            </w:r>
          </w:p>
        </w:tc>
        <w:tc>
          <w:tcPr>
            <w:tcW w:w="127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{{a.shsr|f}}</w:t>
            </w:r>
          </w:p>
        </w:tc>
        <w:tc>
          <w:tcPr>
            <w:tcW w:w="127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{{a.lpmc|f }}</w:t>
            </w:r>
          </w:p>
        </w:tc>
        <w:tc>
          <w:tcPr>
            <w:tcW w:w="132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{{a.l|f }}</w:t>
            </w:r>
          </w:p>
        </w:tc>
      </w:tr>
      <w:tr>
        <w:trPr/>
        <w:tc>
          <w:tcPr>
            <w:tcW w:w="8267" w:type="dxa"/>
            <w:gridSpan w:val="6"/>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lang w:val="en-US"/>
        </w:rPr>
        <w:t>{% endif %}</w:t>
      </w:r>
      <w:bookmarkStart w:id="78" w:name="S10"/>
      <w:bookmarkStart w:id="79" w:name="S9"/>
      <w:bookmarkEnd w:id="78"/>
      <w:bookmarkEnd w:id="79"/>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t xml:space="preserve"> </w:t>
      </w:r>
      <w:r>
        <w:rPr>
          <w:rFonts w:cs="TimesNewRomanPSMT" w:ascii="TimesNewRomanPSMT" w:hAnsi="TimesNewRomanPSMT"/>
        </w:rPr>
        <w:t>opposable. Cette faculté n'est utilisable que pour autant qu'aucun locataire du patrimoine appartenant ou géré par le bailleur ne manifeste sa volonté de louer les annexes en cause.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B.-Locaux auxquels ne s'applique pas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bookmarkStart w:id="80" w:name="Locaux"/>
      <w:bookmarkEnd w:id="80"/>
      <w:r>
        <w:rPr>
          <w:rFonts w:cs="TimesNewRomanPSMT" w:ascii="TimesNewRomanPSMT" w:hAnsi="TimesNewRomanPSMT"/>
        </w:rPr>
        <w:t xml:space="preserve">Locaux commerciaux (nombre) :  </w:t>
      </w:r>
      <w:bookmarkStart w:id="81" w:name="Commerce"/>
      <w:bookmarkEnd w:id="81"/>
      <w:r>
        <w:rPr>
          <w:rFonts w:cs="TimesNewRomanPSMT" w:ascii="TimesNewRomanPSMT" w:hAnsi="TimesNewRomanPSMT"/>
        </w:rPr>
        <w:t>{{ programme.nb_locaux_commerciaux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Bureaux (nombre) : </w:t>
      </w:r>
      <w:bookmarkStart w:id="82" w:name="Bureau"/>
      <w:bookmarkEnd w:id="82"/>
      <w:r>
        <w:rPr>
          <w:rFonts w:cs="TimesNewRomanPSMT" w:ascii="TimesNewRomanPSMT" w:hAnsi="TimesNewRomanPSMT"/>
        </w:rPr>
        <w:t>{{ programme.nb_bureaux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Autres : </w:t>
      </w:r>
      <w:bookmarkStart w:id="83" w:name="Autre"/>
      <w:bookmarkEnd w:id="83"/>
      <w:r>
        <w:rPr>
          <w:rFonts w:cs="TimesNewRomanPSMT" w:ascii="TimesNewRomanPSMT" w:hAnsi="TimesNewRomanPSMT"/>
        </w:rPr>
        <w:t>{{ programme.autre_locaux_hors_convention or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4° Origine des propriétés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Vendeur : </w:t>
      </w:r>
      <w:bookmarkStart w:id="84" w:name="Vendeur"/>
      <w:bookmarkEnd w:id="84"/>
      <w:r>
        <w:rPr>
          <w:rFonts w:cs="TimesNewRomanPSMT" w:ascii="TimesNewRomanPSMT" w:hAnsi="TimesNewRomanPSMT"/>
        </w:rPr>
        <w:t>{{ programme.vendeur</w:t>
      </w:r>
      <w:r>
        <w:rPr>
          <w:rFonts w:cs="TimesNewRomanPSMT" w:ascii="TimesNewRomanPSMT" w:hAnsi="TimesNewRomanPSMT"/>
          <w:lang w:val="fr-FR"/>
        </w:rPr>
        <w:t>_text()</w:t>
      </w:r>
      <w:r>
        <w:rPr>
          <w:rFonts w:cs="TimesNewRomanPSMT" w:ascii="TimesNewRomanPSMT" w:hAnsi="TimesNewRomanPSMT"/>
        </w:rPr>
        <w:t xml:space="preserve">  }}</w:t>
      </w:r>
    </w:p>
    <w:p>
      <w:pPr>
        <w:pStyle w:val="Normal"/>
        <w:jc w:val="both"/>
        <w:rPr>
          <w:rFonts w:ascii="TimesNewRomanPSMT" w:hAnsi="TimesNewRomanPSMT" w:cs="TimesNewRomanPSMT"/>
          <w:lang w:val="fr-FR"/>
        </w:rPr>
      </w:pPr>
      <w:r>
        <w:rPr>
          <w:rFonts w:cs="TimesNewRomanPSMT" w:ascii="TimesNewRomanPSMT" w:hAnsi="TimesNewRomanPSMT"/>
          <w:lang w:val="fr-FR"/>
        </w:rPr>
        <w:t>{% for image in vendeur_images %}</w:t>
      </w:r>
    </w:p>
    <w:p>
      <w:pPr>
        <w:pStyle w:val="Normal"/>
        <w:jc w:val="both"/>
        <w:rPr>
          <w:rFonts w:ascii="TimesNewRomanPSMT" w:hAnsi="TimesNewRomanPSMT" w:cs="TimesNewRomanPSMT"/>
          <w:lang w:val="fr-FR"/>
        </w:rPr>
      </w:pPr>
      <w:r>
        <w:rPr>
          <w:rFonts w:cs="TimesNewRomanPSMT" w:ascii="TimesNewRomanPSMT" w:hAnsi="TimesNewRomanPSMT"/>
          <w:lang w:val="fr-FR"/>
        </w:rPr>
        <w:t>{{image}}</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rFonts w:ascii="TimesNewRomanPSMT" w:hAnsi="TimesNewRomanPSMT" w:cs="TimesNewRomanPSMT"/>
          <w:lang w:val="fr-FR"/>
        </w:rPr>
      </w:pPr>
      <w:r>
        <w:rPr>
          <w:rFonts w:cs="TimesNewRomanPSMT" w:ascii="TimesNewRomanPSMT" w:hAnsi="TimesNewRomanPSMT"/>
          <w:lang w:val="fr-FR"/>
        </w:rPr>
        <w:t>{% endfor %}</w:t>
      </w:r>
    </w:p>
    <w:p>
      <w:pPr>
        <w:pStyle w:val="Normal"/>
        <w:jc w:val="both"/>
        <w:rPr>
          <w:rFonts w:ascii="TimesNewRomanPSMT" w:hAnsi="TimesNewRomanPSMT" w:cs="TimesNewRomanPSMT"/>
        </w:rPr>
      </w:pPr>
      <w:r>
        <w:rPr>
          <w:rFonts w:cs="TimesNewRomanPSMT" w:ascii="TimesNewRomanPSMT" w:hAnsi="TimesNewRomanPSMT"/>
        </w:rPr>
        <w:t xml:space="preserve">Acquéreur : </w:t>
      </w:r>
      <w:bookmarkStart w:id="85" w:name="Acquereur"/>
      <w:bookmarkEnd w:id="85"/>
      <w:r>
        <w:rPr>
          <w:rFonts w:cs="TimesNewRomanPSMT" w:ascii="TimesNewRomanPSMT" w:hAnsi="TimesNewRomanPSMT"/>
        </w:rPr>
        <w:t>{{ programme.acquereu</w:t>
      </w:r>
      <w:r>
        <w:rPr>
          <w:rFonts w:cs="TimesNewRomanPSMT" w:ascii="TimesNewRomanPSMT" w:hAnsi="TimesNewRomanPSMT"/>
          <w:lang w:val="fr-FR"/>
        </w:rPr>
        <w:t>r_text()</w:t>
      </w:r>
      <w:r>
        <w:rPr>
          <w:rFonts w:cs="TimesNewRomanPSMT" w:ascii="TimesNewRomanPSMT" w:hAnsi="TimesNewRomanPSMT"/>
        </w:rPr>
        <w:t xml:space="preserve"> }}</w:t>
      </w:r>
    </w:p>
    <w:p>
      <w:pPr>
        <w:pStyle w:val="Normal"/>
        <w:jc w:val="both"/>
        <w:rPr>
          <w:rFonts w:ascii="TimesNewRomanPSMT" w:hAnsi="TimesNewRomanPSMT" w:cs="TimesNewRomanPSMT"/>
        </w:rPr>
      </w:pPr>
      <w:r>
        <w:rPr>
          <w:rFonts w:cs="TimesNewRomanPSMT" w:ascii="TimesNewRomanPSMT" w:hAnsi="TimesNewRomanPSMT"/>
        </w:rPr>
        <w:t>{% for image in acquereur_images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Acte notarié : </w:t>
      </w:r>
      <w:bookmarkStart w:id="86" w:name="ActeNotaire"/>
      <w:bookmarkEnd w:id="86"/>
      <w:r>
        <w:rPr>
          <w:rFonts w:cs="TimesNewRomanPSMT" w:ascii="TimesNewRomanPSMT" w:hAnsi="TimesNewRomanPSMT"/>
        </w:rPr>
        <w:t>{{ programme.date_acte_notarie|d }}</w:t>
      </w:r>
    </w:p>
    <w:p>
      <w:pPr>
        <w:pStyle w:val="Normal"/>
        <w:jc w:val="both"/>
        <w:rPr/>
      </w:pPr>
      <w:r>
        <w:rPr/>
      </w:r>
    </w:p>
    <w:p>
      <w:pPr>
        <w:pStyle w:val="Normal"/>
        <w:jc w:val="both"/>
        <w:rPr/>
      </w:pPr>
      <w:r>
        <w:rPr/>
        <w:t xml:space="preserve">Notaire : </w:t>
      </w:r>
      <w:bookmarkStart w:id="87" w:name="Notaire"/>
      <w:bookmarkEnd w:id="87"/>
      <w:r>
        <w:rPr>
          <w:rFonts w:cs="TimesNewRomanPSMT" w:ascii="TimesNewRomanPSMT" w:hAnsi="TimesNewRomanPSMT"/>
        </w:rPr>
        <w:t>{{ programme.reference_notaire_text()  }}</w:t>
      </w:r>
    </w:p>
    <w:p>
      <w:pPr>
        <w:pStyle w:val="Normal"/>
        <w:jc w:val="both"/>
        <w:rPr>
          <w:rFonts w:ascii="TimesNewRomanPSMT" w:hAnsi="TimesNewRomanPSMT" w:cs="TimesNewRomanPSMT"/>
        </w:rPr>
      </w:pPr>
      <w:r>
        <w:rPr>
          <w:rFonts w:cs="TimesNewRomanPSMT" w:ascii="TimesNewRomanPSMT" w:hAnsi="TimesNewRomanPSMT"/>
        </w:rPr>
        <w:t>{% for image in reference_notaire_images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Référence publicitaire : </w:t>
      </w:r>
      <w:bookmarkStart w:id="88" w:name="Refpublic"/>
      <w:bookmarkEnd w:id="88"/>
      <w:r>
        <w:rPr>
          <w:rFonts w:cs="TimesNewRomanPSMT" w:ascii="TimesNewRomanPSMT" w:hAnsi="TimesNewRomanPSMT"/>
        </w:rPr>
        <w:t>{{ programme.reference_publication_acte_text() }}</w:t>
      </w:r>
    </w:p>
    <w:p>
      <w:pPr>
        <w:pStyle w:val="Normal"/>
        <w:jc w:val="both"/>
        <w:rPr>
          <w:rFonts w:ascii="TimesNewRomanPSMT" w:hAnsi="TimesNewRomanPSMT" w:cs="TimesNewRomanPSMT"/>
        </w:rPr>
      </w:pPr>
      <w:r>
        <w:rPr>
          <w:rFonts w:cs="TimesNewRomanPSMT" w:ascii="TimesNewRomanPSMT" w:hAnsi="TimesNewRomanPSMT"/>
        </w:rPr>
        <w:t>{% for image in reference_publication</w:t>
      </w:r>
      <w:r>
        <w:rPr>
          <w:rFonts w:cs="TimesNewRomanPSMT" w:ascii="TimesNewRomanPSMT" w:hAnsi="TimesNewRomanPSMT"/>
          <w:lang w:val="en-US"/>
        </w:rPr>
        <w:t>_acte</w:t>
      </w:r>
      <w:r>
        <w:rPr>
          <w:rFonts w:cs="TimesNewRomanPSMT" w:ascii="TimesNewRomanPSMT" w:hAnsi="TimesNewRomanPSMT"/>
        </w:rPr>
        <w:t>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endfor %}</w:t>
      </w:r>
    </w:p>
    <w:p>
      <w:pPr>
        <w:pStyle w:val="Normal"/>
        <w:jc w:val="both"/>
        <w:rPr>
          <w:rFonts w:ascii="TimesNewRomanPSMT" w:hAnsi="TimesNewRomanPSMT" w:cs="TimesNewRomanPSMT"/>
        </w:rPr>
      </w:pPr>
      <w:r>
        <w:rPr>
          <w:rFonts w:cs="TimesNewRomanPSMT" w:ascii="TimesNewRomanPSMT" w:hAnsi="TimesNewRomanPSMT"/>
        </w:rPr>
        <w:t xml:space="preserve">5° Renseignements administratifs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5.1. Permis de construire : </w:t>
      </w:r>
      <w:bookmarkStart w:id="89" w:name="PC"/>
      <w:bookmarkEnd w:id="89"/>
      <w:r>
        <w:rPr>
          <w:rFonts w:cs="TimesNewRomanPSMT" w:ascii="TimesNewRomanPSMT" w:hAnsi="TimesNewRomanPSMT"/>
        </w:rPr>
        <w:t>{{ programme.permis_construire or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5.2. Date prévisible ou effective d'achèvement des travaux de construction ou d'amélioration : {{ programme.date_achevement_</w:t>
      </w:r>
      <w:r>
        <w:rPr>
          <w:rFonts w:cs="TimesNewRomanPSMT" w:ascii="TimesNewRomanPSMT" w:hAnsi="TimesNewRomanPSMT"/>
          <w:lang w:val="fr-FR"/>
        </w:rPr>
        <w:t>compile</w:t>
      </w:r>
      <w:r>
        <w:rPr>
          <w:rFonts w:cs="TimesNewRomanPSMT" w:ascii="TimesNewRomanPSMT" w:hAnsi="TimesNewRomanPSMT"/>
        </w:rPr>
        <w: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5.3. Date d'achat : </w:t>
      </w:r>
      <w:bookmarkStart w:id="90" w:name="Achat"/>
      <w:bookmarkEnd w:id="90"/>
      <w:r>
        <w:rPr>
          <w:rFonts w:cs="TimesNewRomanPSMT" w:ascii="TimesNewRomanPSMT" w:hAnsi="TimesNewRomanPSMT"/>
        </w:rPr>
        <w:t>{{ programme.date_achat|d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5.4. Modalités de financement.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lang w:val="fr-FR"/>
        </w:rPr>
      </w:pPr>
      <w:r>
        <w:rPr>
          <w:rFonts w:cs="TimesNewRomanPSMT" w:ascii="TimesNewRomanPSMT" w:hAnsi="TimesNewRomanPSMT"/>
        </w:rPr>
        <w:t>{% if prets_cdc.count() %}</w:t>
      </w:r>
      <w:r>
        <w:rPr>
          <w:rFonts w:cs="TimesNewRomanPSMT" w:ascii="TimesNewRomanPSMT" w:hAnsi="TimesNewRomanPSMT"/>
          <w:lang w:val="fr-FR"/>
        </w:rPr>
        <w:t>Financement principal :</w:t>
      </w:r>
    </w:p>
    <w:p>
      <w:pPr>
        <w:pStyle w:val="Normal"/>
        <w:jc w:val="both"/>
        <w:rPr>
          <w:rFonts w:ascii="TimesNewRomanPSMT" w:hAnsi="TimesNewRomanPSMT" w:cs="TimesNewRomanPSMT"/>
        </w:rPr>
      </w:pPr>
      <w:r>
        <w:rPr>
          <w:rFonts w:cs="TimesNewRomanPSMT" w:ascii="TimesNewRomanPSMT" w:hAnsi="TimesNewRomanPSMT"/>
        </w:rPr>
        <w:t>{% for p in prets_cdc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Numéro : {{ p.n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Date d’octroi : {{ p.do|sd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Durée: {{ p.d }} an{{ p.d|pl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Montant : {{ p.m|f }}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Prêteur : {{ p.p_full() }}</w:t>
      </w:r>
    </w:p>
    <w:p>
      <w:pPr>
        <w:pStyle w:val="Normal"/>
        <w:jc w:val="both"/>
        <w:rPr>
          <w:rFonts w:ascii="TimesNewRomanPSMT" w:hAnsi="TimesNewRomanPSMT" w:cs="TimesNewRomanPSMT"/>
          <w:lang w:val="en-US"/>
        </w:rPr>
      </w:pPr>
      <w:r>
        <w:rPr>
          <w:rFonts w:cs="TimesNewRomanPSMT" w:ascii="TimesNewRomanPSMT" w:hAnsi="TimesNewRomanPSMT"/>
          <w:lang w:val="en-US"/>
        </w:rPr>
        <w:t>{% endfor %}</w:t>
      </w:r>
      <w:r>
        <w:rPr/>
        <w:t>{% endif %}</w:t>
      </w:r>
    </w:p>
    <w:p>
      <w:pPr>
        <w:pStyle w:val="Normal"/>
        <w:jc w:val="both"/>
        <w:rPr/>
      </w:pPr>
      <w:bookmarkStart w:id="91" w:name="Etat"/>
      <w:bookmarkEnd w:id="91"/>
      <w:r>
        <w:rPr>
          <w:rFonts w:cs="TimesNewRomanPSMT" w:ascii="TimesNewRomanPSMT" w:hAnsi="TimesNewRomanPSMT"/>
        </w:rPr>
        <w:t>{% if autres_prets.count() %} Financement complémentaire :</w:t>
      </w:r>
    </w:p>
    <w:p>
      <w:pPr>
        <w:pStyle w:val="Normal"/>
        <w:jc w:val="both"/>
        <w:rPr>
          <w:rFonts w:ascii="TimesNewRomanPSMT" w:hAnsi="TimesNewRomanPSMT" w:cs="TimesNewRomanPSMT"/>
          <w:lang w:val="en-US"/>
        </w:rPr>
      </w:pPr>
      <w:r>
        <w:rPr>
          <w:rFonts w:cs="TimesNewRomanPSMT" w:ascii="TimesNewRomanPSMT" w:hAnsi="TimesNewRomanPSMT"/>
        </w:rPr>
        <w:t xml:space="preserve">{% for p in </w:t>
      </w:r>
      <w:r>
        <w:rPr>
          <w:rFonts w:cs="TimesNewRomanPSMT" w:ascii="TimesNewRomanPSMT" w:hAnsi="TimesNewRomanPSMT"/>
          <w:lang w:val="en-US"/>
        </w:rPr>
        <w:t>autres_</w:t>
      </w:r>
      <w:r>
        <w:rPr>
          <w:rFonts w:cs="TimesNewRomanPSMT" w:ascii="TimesNewRomanPSMT" w:hAnsi="TimesNewRomanPSMT"/>
        </w:rPr>
        <w:t>prets %}</w:t>
      </w:r>
      <w:r>
        <w:rPr>
          <w:rFonts w:cs="TimesNewRomanPSMT" w:ascii="TimesNewRomanPSMT" w:hAnsi="TimesNewRomanPSMT"/>
          <w:lang w:val="en-US"/>
        </w:rPr>
        <w:t>{% if p.n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Numéro : {{ p.n }}</w:t>
      </w:r>
      <w:r>
        <w:rPr/>
        <w:t>{% endif %}</w:t>
      </w:r>
      <w:r>
        <w:rPr>
          <w:rFonts w:cs="TimesNewRomanPSMT" w:ascii="TimesNewRomanPSMT" w:hAnsi="TimesNewRomanPSMT"/>
          <w:lang w:val="en-US"/>
        </w:rPr>
        <w:t>{% if p.do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Date d’octroi : {{ p.do|sd }}</w:t>
      </w:r>
      <w:r>
        <w:rPr/>
        <w:t>{% endif %}</w:t>
      </w:r>
      <w:r>
        <w:rPr>
          <w:rFonts w:cs="TimesNewRomanPSMT" w:ascii="TimesNewRomanPSMT" w:hAnsi="TimesNewRomanPSMT"/>
          <w:lang w:val="en-US"/>
        </w:rPr>
        <w:t>{% if p.d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Durée : {{ p.d }} an{{ p.d|pl }}</w:t>
      </w:r>
      <w:r>
        <w:rPr/>
        <w:t>{% endif %}</w:t>
      </w:r>
      <w:r>
        <w:rPr>
          <w:rFonts w:cs="TimesNewRomanPSMT" w:ascii="TimesNewRomanPSMT" w:hAnsi="TimesNewRomanPSMT"/>
          <w:lang w:val="en-US"/>
        </w:rPr>
        <w:t>{% if p.m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Montant : {{ p.m|f }} €</w:t>
      </w:r>
      <w:r>
        <w:rPr/>
        <w:t>{% endif %}</w:t>
      </w:r>
      <w:r>
        <w:rPr>
          <w:rFonts w:cs="TimesNewRomanPSMT" w:ascii="TimesNewRomanPSMT" w:hAnsi="TimesNewRomanPSMT"/>
          <w:lang w:val="en-US"/>
        </w:rPr>
        <w:t>{% if p.preteur_display()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Prêteur : {{ p.preteur_display() }}</w:t>
      </w:r>
      <w:r>
        <w:rPr/>
        <w:t>{% endif %}</w:t>
      </w:r>
    </w:p>
    <w:p>
      <w:pPr>
        <w:pStyle w:val="Normal"/>
        <w:jc w:val="both"/>
        <w:rPr>
          <w:rFonts w:ascii="TimesNewRomanPSMT" w:hAnsi="TimesNewRomanPSMT" w:cs="TimesNewRomanPSMT"/>
          <w:lang w:val="fr-FR"/>
        </w:rPr>
      </w:pPr>
      <w:r>
        <w:rPr>
          <w:rFonts w:cs="TimesNewRomanPSMT" w:ascii="TimesNewRomanPSMT" w:hAnsi="TimesNewRomanPSMT"/>
          <w:lang w:val="fr-FR"/>
        </w:rPr>
        <w:t>{% endfor %}</w:t>
      </w:r>
      <w:r>
        <w:rPr/>
        <w:t>{% endif %}</w:t>
      </w:r>
    </w:p>
    <w:p>
      <w:pPr>
        <w:pStyle w:val="Normal"/>
        <w:jc w:val="both"/>
        <w:rPr>
          <w:rFonts w:ascii="TimesNewRomanPSMT" w:hAnsi="TimesNewRomanPSMT" w:cs="TimesNewRomanPSMT"/>
        </w:rPr>
      </w:pPr>
      <w:bookmarkStart w:id="92" w:name="Fondpropre"/>
      <w:bookmarkEnd w:id="92"/>
      <w:r>
        <w:rPr>
          <w:rFonts w:cs="TimesNewRomanPSMT" w:ascii="TimesNewRomanPSMT" w:hAnsi="TimesNewRomanPSMT"/>
        </w:rPr>
        <w:t>{% if convention.fond_propre %}Fond propre : {{ convention.fond_propre|f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endif %}Date d'achèvement de la construction ou certificat de conformité : </w:t>
      </w:r>
      <w:bookmarkStart w:id="93" w:name="Construc"/>
      <w:bookmarkEnd w:id="93"/>
      <w:r>
        <w:rPr>
          <w:rFonts w:cs="TimesNewRomanPSMT" w:ascii="TimesNewRomanPSMT" w:hAnsi="TimesNewRomanPSMT"/>
        </w:rPr>
        <w:t>{{ programme.date_achevement|d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mc:AlternateContent>
          <mc:Choice Requires="wps">
            <w:drawing>
              <wp:inline distT="0" distB="1905" distL="0" distR="635" wp14:anchorId="146E7DB9">
                <wp:extent cx="5233670" cy="2717800"/>
                <wp:effectExtent l="0" t="0" r="635" b="1905"/>
                <wp:docPr id="3" name="Forme2"/>
                <a:graphic xmlns:a="http://schemas.openxmlformats.org/drawingml/2006/main">
                  <a:graphicData uri="http://schemas.microsoft.com/office/word/2010/wordprocessingShape">
                    <wps:wsp>
                      <wps:cNvSpPr/>
                      <wps:spPr>
                        <a:xfrm>
                          <a:off x="0" y="0"/>
                          <a:ext cx="5232960" cy="2717280"/>
                        </a:xfrm>
                        <a:prstGeom prst="rect">
                          <a:avLst/>
                        </a:prstGeom>
                        <a:solidFill>
                          <a:schemeClr val="lt1"/>
                        </a:solidFill>
                        <a:ln w="6350">
                          <a:noFill/>
                        </a:ln>
                      </wps:spPr>
                      <wps:style>
                        <a:lnRef idx="0"/>
                        <a:fillRef idx="0"/>
                        <a:effectRef idx="0"/>
                        <a:fontRef idx="minor"/>
                      </wps:style>
                      <wps:txb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color w:val="000000"/>
                              </w:rPr>
                            </w:pPr>
                            <w:r>
                              <w:rPr>
                                <w:rFonts w:cs="TimesNewRomanPSMT" w:ascii="TimesNewRomanPSMT" w:hAnsi="TimesNewRomanPSMT"/>
                                <w:color w:val="000000"/>
                              </w:rPr>
                              <w:t>Le bailleur (</w:t>
                            </w:r>
                            <w:r>
                              <w:rPr>
                                <w:rFonts w:cs="TimesNewRomanPSMT" w:ascii="TimesNewRomanPSMT" w:hAnsi="TimesNewRomanPSMT"/>
                                <w:color w:val="000000"/>
                                <w:lang w:val="fr-FR"/>
                              </w:rPr>
                              <w:t>4</w:t>
                            </w:r>
                            <w:r>
                              <w:rPr>
                                <w:rFonts w:cs="TimesNewRomanPSMT" w:ascii="TimesNewRomanPSMT" w:hAnsi="TimesNewRomanPSMT"/>
                                <w:color w:val="000000"/>
                              </w:rPr>
                              <w:t>),</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color w:val="000000"/>
                              </w:rPr>
                            </w:pPr>
                            <w:r>
                              <w:rPr>
                                <w:color w:val="000000"/>
                              </w:rPr>
                            </w:r>
                          </w:p>
                          <w:p>
                            <w:pPr>
                              <w:pStyle w:val="Contenudecadre"/>
                              <w:rPr>
                                <w:color w:val="000000"/>
                              </w:rPr>
                            </w:pPr>
                            <w:r>
                              <w:rPr/>
                            </w:r>
                          </w:p>
                        </w:txbxContent>
                      </wps:txbx>
                      <wps:bodyPr lIns="0" rIns="0" tIns="0" bIns="0" anchor="t">
                        <a:prstTxWarp prst="textNoShape"/>
                        <a:noAutofit/>
                      </wps:bodyPr>
                    </wps:wsp>
                  </a:graphicData>
                </a:graphic>
              </wp:inline>
            </w:drawing>
          </mc:Choice>
          <mc:Fallback>
            <w:pict>
              <v:rect id="shape_0" ID="Forme2" path="m0,0l-2147483645,0l-2147483645,-2147483646l0,-2147483646xe" fillcolor="white" stroked="f" o:allowincell="f" style="position:absolute;margin-left:0pt;margin-top:-214.15pt;width:412pt;height:213.9pt;mso-wrap-style:square;v-text-anchor:top;mso-position-vertical:top" wp14:anchorId="146E7DB9">
                <v:fill o:detectmouseclick="t" type="solid" color2="black"/>
                <v:stroke color="#3465a4" weight="6480" joinstyle="round" endcap="flat"/>
                <v:textbo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color w:val="000000"/>
                        </w:rPr>
                      </w:pPr>
                      <w:r>
                        <w:rPr>
                          <w:rFonts w:cs="TimesNewRomanPSMT" w:ascii="TimesNewRomanPSMT" w:hAnsi="TimesNewRomanPSMT"/>
                          <w:color w:val="000000"/>
                        </w:rPr>
                        <w:t>Le bailleur (</w:t>
                      </w:r>
                      <w:r>
                        <w:rPr>
                          <w:rFonts w:cs="TimesNewRomanPSMT" w:ascii="TimesNewRomanPSMT" w:hAnsi="TimesNewRomanPSMT"/>
                          <w:color w:val="000000"/>
                          <w:lang w:val="fr-FR"/>
                        </w:rPr>
                        <w:t>4</w:t>
                      </w:r>
                      <w:r>
                        <w:rPr>
                          <w:rFonts w:cs="TimesNewRomanPSMT" w:ascii="TimesNewRomanPSMT" w:hAnsi="TimesNewRomanPSMT"/>
                          <w:color w:val="000000"/>
                        </w:rPr>
                        <w:t>),</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color w:val="000000"/>
                        </w:rPr>
                      </w:pPr>
                      <w:r>
                        <w:rPr>
                          <w:color w:val="000000"/>
                        </w:rPr>
                      </w:r>
                    </w:p>
                    <w:p>
                      <w:pPr>
                        <w:pStyle w:val="Contenudecadre"/>
                        <w:rPr>
                          <w:color w:val="000000"/>
                        </w:rPr>
                      </w:pPr>
                      <w:r>
                        <w:rPr/>
                      </w:r>
                    </w:p>
                  </w:txbxContent>
                </v:textbox>
                <w10:wrap type="square"/>
              </v:rect>
            </w:pict>
          </mc:Fallback>
        </mc:AlternateContent>
      </w:r>
    </w:p>
    <w:p>
      <w:pPr>
        <w:pStyle w:val="Normal"/>
        <w:rPr/>
      </w:pPr>
      <w:r>
        <w:rPr/>
      </w:r>
    </w:p>
    <w:p>
      <w:pPr>
        <w:pStyle w:val="Normal"/>
        <w:rPr>
          <w:rFonts w:ascii="TimesNewRomanPSMT" w:hAnsi="TimesNewRomanPSMT" w:cs="TimesNewRomanPSMT"/>
          <w:sz w:val="16"/>
          <w:szCs w:val="16"/>
        </w:rPr>
      </w:pPr>
      <w:r>
        <w:rPr>
          <w:rFonts w:cs="TimesNewRomanPSMT" w:ascii="TimesNewRomanPSMT" w:hAnsi="TimesNewRomanPSMT"/>
          <w:sz w:val="16"/>
          <w:szCs w:val="16"/>
          <w:lang w:val="fr-FR"/>
        </w:rPr>
        <w:t>(1</w:t>
      </w:r>
      <w:r>
        <w:rPr>
          <w:rFonts w:cs="TimesNewRomanPSMT" w:ascii="TimesNewRomanPSMT" w:hAnsi="TimesNewRomanPSMT"/>
          <w:sz w:val="16"/>
          <w:szCs w:val="16"/>
        </w:rPr>
        <w:t>) Nom de la personne physique ou morale identifiée conformément aux dispositions, selon le cas,des articles 5 ou 6 du décret n° 55-22 du 4 janvier 1955 modifié portant réforme de la publicité foncière.</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(3) Si le propriétaire est une personne morale, indiquer le nom de son représentant.</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(4) Le bailleur doit avoir, préalablement à sa signature, paraphé chacune des pages.</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(5) Etablie conformément à l'article 7 du décret n° 55-22 du 4 janvier 1955 modifié portant réformede la publicité foncière.</w:t>
      </w:r>
      <w:r>
        <w:br w:type="page"/>
      </w:r>
    </w:p>
    <w:p>
      <w:pPr>
        <w:pStyle w:val="Normal"/>
        <w:keepLines/>
        <w:jc w:val="both"/>
        <w:rPr/>
      </w:pPr>
      <w:r>
        <w:rPr>
          <w:rFonts w:cs="TimesNewRomanPSMT" w:ascii="TimesNewRomanPSMT" w:hAnsi="TimesNewRomanPSMT"/>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cs="TimesNewRomanPSMT" w:ascii="TimesNewRomanPSMT" w:hAnsi="TimesNewRomanPSMT"/>
          <w:b/>
          <w:szCs w:val="22"/>
          <w:highlight w:val="yellow"/>
        </w:rPr>
        <w:fldChar w:fldCharType="begin"/>
      </w:r>
      <w:r>
        <w:rPr>
          <w:b/>
          <w:szCs w:val="22"/>
          <w:highlight w:val="yellow"/>
          <w:rFonts w:cs="TimesNewRomanPSMT" w:ascii="TimesNewRomanPSMT" w:hAnsi="TimesNewRomanPSMT"/>
        </w:rPr>
        <w:instrText> NUMPAGES </w:instrText>
      </w:r>
      <w:r>
        <w:rPr>
          <w:b/>
          <w:szCs w:val="22"/>
          <w:highlight w:val="yellow"/>
          <w:rFonts w:cs="TimesNewRomanPSMT" w:ascii="TimesNewRomanPSMT" w:hAnsi="TimesNewRomanPSMT"/>
        </w:rPr>
        <w:fldChar w:fldCharType="separate"/>
      </w:r>
      <w:r>
        <w:rPr>
          <w:b/>
          <w:szCs w:val="22"/>
          <w:highlight w:val="yellow"/>
          <w:rFonts w:cs="TimesNewRomanPSMT" w:ascii="TimesNewRomanPSMT" w:hAnsi="TimesNewRomanPSMT"/>
        </w:rPr>
        <w:t>18</w:t>
      </w:r>
      <w:r>
        <w:rPr>
          <w:b/>
          <w:szCs w:val="22"/>
          <w:highlight w:val="yellow"/>
          <w:rFonts w:cs="TimesNewRomanPSMT" w:ascii="TimesNewRomanPSMT" w:hAnsi="TimesNewRomanPSMT"/>
        </w:rPr>
        <w:fldChar w:fldCharType="end"/>
      </w:r>
      <w:r>
        <w:rPr>
          <w:rFonts w:cs="TimesNewRomanPSMT" w:ascii="TimesNewRomanPSMT" w:hAnsi="TimesNewRomanPSMT"/>
          <w:szCs w:val="22"/>
        </w:rPr>
        <w:t xml:space="preserve"> pages de texte, conforme à la minute et à l'expédition destinée à recevoir la mention de publicité foncière et approuve sans renvoi ou mot rayé.</w:t>
      </w:r>
    </w:p>
    <w:p>
      <w:pPr>
        <w:pStyle w:val="Normal"/>
        <w:ind w:left="2127" w:right="-6" w:hanging="0"/>
        <w:jc w:val="both"/>
        <w:rPr>
          <w:rFonts w:ascii="TimesNewRomanPSMT" w:hAnsi="TimesNewRomanPSMT" w:cs="TimesNewRomanPSMT"/>
          <w:szCs w:val="22"/>
        </w:rPr>
      </w:pPr>
      <w:r>
        <w:rPr>
          <w:rFonts w:cs="TimesNewRomanPSMT" w:ascii="TimesNewRomanPSMT" w:hAnsi="TimesNewRomanPSMT"/>
          <w:szCs w:val="22"/>
        </w:rPr>
      </w:r>
    </w:p>
    <w:p>
      <w:pPr>
        <w:pStyle w:val="Normal"/>
        <w:keepLines/>
        <w:jc w:val="both"/>
        <w:rPr>
          <w:lang w:val="fr-FR"/>
        </w:rPr>
      </w:pPr>
      <w:r>
        <w:rPr>
          <w:rFonts w:cs="TimesNewRomanPSMT" w:ascii="TimesNewRomanPSMT" w:hAnsi="TimesNewRomanPSMT"/>
          <w:szCs w:val="22"/>
        </w:rPr>
        <w:t xml:space="preserve">Il certifie que l'identité complète des parties dénommées en en-tête du présent document lui a été régulièrement justifiée </w:t>
      </w:r>
      <w:r>
        <w:rPr>
          <w:rFonts w:cs="TimesNewRomanPSMT" w:ascii="TimesNewRomanPSMT" w:hAnsi="TimesNewRomanPSMT"/>
          <w:szCs w:val="22"/>
          <w:lang w:eastAsia="fr-FR"/>
        </w:rPr>
        <w:t xml:space="preserve">au vu </w:t>
      </w:r>
      <w:r>
        <w:rPr>
          <w:rFonts w:cs="TimesNewRomanPSMT" w:ascii="TimesNewRomanPSMT" w:hAnsi="TimesNewRomanPSMT"/>
          <w:color w:val="000000"/>
          <w:szCs w:val="22"/>
          <w:lang w:eastAsia="fr-FR"/>
        </w:rPr>
        <w:t>des statuts et de l'avis d'identification délivré par l'INSEE par son numéro SIRE</w:t>
      </w:r>
      <w:r>
        <w:rPr>
          <w:rFonts w:cs="TimesNewRomanPSMT" w:ascii="TimesNewRomanPSMT" w:hAnsi="TimesNewRomanPSMT"/>
          <w:color w:val="000000"/>
          <w:szCs w:val="22"/>
          <w:lang w:val="fr-FR" w:eastAsia="fr-FR"/>
        </w:rPr>
        <w:t>T</w:t>
      </w:r>
      <w:r>
        <w:rPr>
          <w:rFonts w:cs="TimesNewRomanPSMT" w:ascii="TimesNewRomanPSMT" w:hAnsi="TimesNewRomanPSMT"/>
          <w:color w:val="000000"/>
          <w:szCs w:val="22"/>
          <w:lang w:eastAsia="fr-FR"/>
        </w:rPr>
        <w:t xml:space="preserve"> </w:t>
      </w:r>
      <w:bookmarkStart w:id="94" w:name="Siret2"/>
      <w:bookmarkEnd w:id="94"/>
      <w:r>
        <w:rPr>
          <w:rFonts w:cs="TimesNewRomanPSMT" w:ascii="TimesNewRomanPSMT" w:hAnsi="TimesNewRomanPSMT"/>
          <w:color w:val="000000"/>
          <w:szCs w:val="22"/>
          <w:lang w:eastAsia="fr-FR"/>
        </w:rPr>
        <w:t xml:space="preserve">{{ bailleur.siret </w:t>
      </w:r>
      <w:r>
        <w:rPr>
          <w:rFonts w:cs="TimesNewRomanPSMT" w:ascii="TimesNewRomanPSMT" w:hAnsi="TimesNewRomanPSMT"/>
          <w:color w:val="000000"/>
          <w:szCs w:val="22"/>
          <w:lang w:val="fr-FR" w:eastAsia="fr-FR"/>
        </w:rPr>
        <w:t>}}</w:t>
      </w:r>
    </w:p>
    <w:p>
      <w:pPr>
        <w:pStyle w:val="Normal"/>
        <w:ind w:left="2127" w:right="-6" w:hanging="0"/>
        <w:jc w:val="both"/>
        <w:rPr>
          <w:rFonts w:ascii="TimesNewRomanPSMT" w:hAnsi="TimesNewRomanPSMT" w:cs="TimesNewRomanPSMT"/>
          <w:color w:val="0000FF"/>
          <w:szCs w:val="22"/>
        </w:rPr>
      </w:pPr>
      <w:r>
        <w:rPr>
          <w:rFonts w:cs="TimesNewRomanPSMT" w:ascii="TimesNewRomanPSMT" w:hAnsi="TimesNewRomanPSMT"/>
          <w:color w:val="0000FF"/>
          <w:szCs w:val="22"/>
        </w:rPr>
      </w:r>
    </w:p>
    <w:p>
      <w:pPr>
        <w:pStyle w:val="Normal"/>
        <w:keepLines/>
        <w:jc w:val="both"/>
        <w:rPr/>
      </w:pPr>
      <w:r>
        <w:rPr>
          <w:rFonts w:cs="TimesNewRomanPSMT" w:ascii="TimesNewRomanPSMT" w:hAnsi="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keepLines/>
        <w:tabs>
          <w:tab w:val="clear" w:pos="708"/>
          <w:tab w:val="left" w:pos="9069" w:leader="none"/>
        </w:tabs>
        <w:ind w:right="283" w:hanging="0"/>
        <w:jc w:val="both"/>
        <w:rPr/>
      </w:pPr>
      <w:r>
        <w:rPr>
          <w:rFonts w:cs="TimesNewRomanPSMT" w:ascii="TimesNewRomanPSMT" w:hAnsi="TimesNewRomanPSMT"/>
          <w:color w:val="000000"/>
          <w:szCs w:val="22"/>
        </w:rPr>
        <w:t xml:space="preserve">A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 xml:space="preserve">_or_empty() </w:t>
      </w:r>
      <w:r>
        <w:rPr>
          <w:rFonts w:cs="TimesNewRomanPSMT" w:ascii="TimesNewRomanPSMT" w:hAnsi="TimesNewRomanPSMT"/>
        </w:rPr>
        <w:t>}}</w:t>
      </w:r>
      <w:r>
        <w:rPr>
          <w:rFonts w:cs="TimesNewRomanPSMT" w:ascii="TimesNewRomanPSMT" w:hAnsi="TimesNewRomanPSMT"/>
          <w:color w:val="000000"/>
          <w:szCs w:val="22"/>
        </w:rPr>
        <w:t>, le</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3"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Wingdings">
    <w:charset w:val="00"/>
    <w:family w:val="roman"/>
    <w:pitch w:val="variable"/>
  </w:font>
  <w:font w:name="Courier New">
    <w:charset w:val="00"/>
    <w:family w:val="roman"/>
    <w:pitch w:val="variable"/>
  </w:font>
  <w:font w:name="Liberation Sans">
    <w:altName w:val="Arial"/>
    <w:charset w:val="00"/>
    <w:family w:val="roman"/>
    <w:pitch w:val="variable"/>
  </w:font>
  <w:font w:name="Arial Unicode MS">
    <w:charset w:val="00"/>
    <w:family w:val="roman"/>
    <w:pitch w:val="variable"/>
  </w:font>
  <w:font w:name="TimesNewRomanPS-BoldMT">
    <w:charset w:val="00"/>
    <w:family w:val="roman"/>
    <w:pitch w:val="variable"/>
  </w:font>
  <w:font w:name="TimesNewRomanPSMT">
    <w:charset w:val="00"/>
    <w:family w:val="roman"/>
    <w:pitch w:val="variable"/>
  </w:font>
  <w:font w:name="Open Sans">
    <w:charset w:val="00"/>
    <w:family w:val="roman"/>
    <w:pitch w:val="variable"/>
  </w:font>
  <w:font w:name="Calibri">
    <w:charset w:val="00"/>
    <w:family w:val="auto"/>
    <w:pitch w:val="default"/>
  </w:font>
  <w:font w:name="TimesNewRomanPSMT">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mc:AlternateContent>
        <mc:Choice Requires="wps">
          <w:drawing>
            <wp:anchor behindDoc="1" distT="0" distB="0" distL="0" distR="0" simplePos="0" locked="0" layoutInCell="0" allowOverlap="1" relativeHeight="44" wp14:anchorId="1C468005">
              <wp:simplePos x="0" y="0"/>
              <wp:positionH relativeFrom="page">
                <wp:posOffset>6844665</wp:posOffset>
              </wp:positionH>
              <wp:positionV relativeFrom="page">
                <wp:posOffset>252095</wp:posOffset>
              </wp:positionV>
              <wp:extent cx="266065" cy="165100"/>
              <wp:effectExtent l="0" t="0" r="0" b="0"/>
              <wp:wrapSquare wrapText="largest"/>
              <wp:docPr id="5" name="Text Box 2"/>
              <a:graphic xmlns:a="http://schemas.openxmlformats.org/drawingml/2006/main">
                <a:graphicData uri="http://schemas.microsoft.com/office/word/2010/wordprocessingShape">
                  <wps:wsp>
                    <wps:cNvSpPr/>
                    <wps:spPr>
                      <a:xfrm>
                        <a:off x="0" y="0"/>
                        <a:ext cx="265320" cy="164520"/>
                      </a:xfrm>
                      <a:prstGeom prst="rect">
                        <a:avLst/>
                      </a:prstGeom>
                      <a:noFill/>
                      <a:ln w="0">
                        <a:noFill/>
                      </a:ln>
                    </wps:spPr>
                    <wps:style>
                      <a:lnRef idx="0"/>
                      <a:fillRef idx="0"/>
                      <a:effectRef idx="0"/>
                      <a:fontRef idx="minor"/>
                    </wps:style>
                    <wps:txb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18</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18</w:t>
                          </w:r>
                          <w:r>
                            <w:rPr>
                              <w:rStyle w:val="Pagenumber"/>
                              <w:color w:val="000000"/>
                            </w:rPr>
                            <w:fldChar w:fldCharType="end"/>
                          </w:r>
                          <w:r>
                            <w:rPr>
                              <w:rStyle w:val="Pagenumber"/>
                              <w:color w:val="000000"/>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95pt;margin-top:19.85pt;width:20.85pt;height:12.9pt;mso-wrap-style:square;v-text-anchor:top;mso-position-horizontal-relative:page;mso-position-vertical-relative:page" wp14:anchorId="1C468005">
              <v:fill o:detectmouseclick="t" on="false"/>
              <v:stroke color="#3465a4" joinstyle="round" endcap="flat"/>
              <v:textbo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18</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18</w:t>
                    </w:r>
                    <w:r>
                      <w:rPr>
                        <w:rStyle w:val="Pagenumber"/>
                        <w:color w:val="000000"/>
                      </w:rPr>
                      <w:fldChar w:fldCharType="end"/>
                    </w:r>
                    <w:r>
                      <w:rPr>
                        <w:rStyle w:val="Pagenumber"/>
                        <w:color w:val="000000"/>
                      </w:rPr>
                      <w:t xml:space="preserve"> -101010 878</w:t>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right="360" w:hanging="0"/>
      <w:rPr/>
    </w:pPr>
    <w:r>
      <mc:AlternateContent>
        <mc:Choice Requires="wps">
          <w:drawing>
            <wp:anchor behindDoc="1" distT="0" distB="0" distL="0" distR="0" simplePos="0" locked="0" layoutInCell="0" allowOverlap="1" relativeHeight="25" wp14:anchorId="6DE7176B">
              <wp:simplePos x="0" y="0"/>
              <wp:positionH relativeFrom="page">
                <wp:posOffset>6841490</wp:posOffset>
              </wp:positionH>
              <wp:positionV relativeFrom="page">
                <wp:posOffset>251460</wp:posOffset>
              </wp:positionV>
              <wp:extent cx="266065" cy="165100"/>
              <wp:effectExtent l="0" t="0" r="0" b="0"/>
              <wp:wrapSquare wrapText="largest"/>
              <wp:docPr id="7" name="Text Box 2"/>
              <a:graphic xmlns:a="http://schemas.openxmlformats.org/drawingml/2006/main">
                <a:graphicData uri="http://schemas.microsoft.com/office/word/2010/wordprocessingShape">
                  <wps:wsp>
                    <wps:cNvSpPr/>
                    <wps:spPr>
                      <a:xfrm>
                        <a:off x="0" y="0"/>
                        <a:ext cx="265320" cy="164520"/>
                      </a:xfrm>
                      <a:prstGeom prst="rect">
                        <a:avLst/>
                      </a:prstGeom>
                      <a:noFill/>
                      <a:ln w="0">
                        <a:noFill/>
                      </a:ln>
                    </wps:spPr>
                    <wps:style>
                      <a:lnRef idx="0"/>
                      <a:fillRef idx="0"/>
                      <a:effectRef idx="0"/>
                      <a:fontRef idx="minor"/>
                    </wps:style>
                    <wps:txb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19</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19</w:t>
                          </w:r>
                          <w:r>
                            <w:rPr>
                              <w:rStyle w:val="Pagenumber"/>
                              <w:color w:val="000000"/>
                            </w:rPr>
                            <w:fldChar w:fldCharType="end"/>
                          </w:r>
                          <w:r>
                            <w:rPr>
                              <w:rStyle w:val="Pagenumber"/>
                              <w:color w:val="000000"/>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7pt;margin-top:19.8pt;width:20.85pt;height:12.9pt;mso-wrap-style:square;v-text-anchor:top;mso-position-horizontal-relative:page;mso-position-vertical-relative:page" wp14:anchorId="6DE7176B">
              <v:fill o:detectmouseclick="t" on="false"/>
              <v:stroke color="#3465a4" joinstyle="round" endcap="flat"/>
              <v:textbo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19</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19</w:t>
                    </w:r>
                    <w:r>
                      <w:rPr>
                        <w:rStyle w:val="Pagenumber"/>
                        <w:color w:val="000000"/>
                      </w:rPr>
                      <w:fldChar w:fldCharType="end"/>
                    </w:r>
                    <w:r>
                      <w:rPr>
                        <w:rStyle w:val="Pagenumber"/>
                        <w:color w:val="000000"/>
                      </w:rPr>
                      <w:t xml:space="preserve"> -101010 878</w:t>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937"/>
      <w:gridCol w:w="2083"/>
      <w:gridCol w:w="3440"/>
    </w:tblGrid>
    <w:tr>
      <w:trPr/>
      <w:tc>
        <w:tcPr>
          <w:tcW w:w="8460" w:type="dxa"/>
          <w:gridSpan w:val="3"/>
          <w:tcBorders>
            <w:top w:val="nil"/>
            <w:left w:val="nil"/>
            <w:right w:val="nil"/>
          </w:tcBorders>
        </w:tcPr>
        <w:p>
          <w:pPr>
            <w:pStyle w:val="Normal"/>
            <w:widowControl w:val="false"/>
            <w:suppressAutoHyphens w:val="true"/>
            <w:spacing w:before="0" w:after="0"/>
            <w:jc w:val="left"/>
            <w:rPr>
              <w:sz w:val="12"/>
              <w:szCs w:val="12"/>
              <w:lang w:val="fr-FR"/>
            </w:rPr>
          </w:pPr>
          <w:r>
            <w:rPr>
              <w:sz w:val="12"/>
              <w:szCs w:val="12"/>
              <w:lang w:val="fr-FR"/>
            </w:rPr>
          </w:r>
        </w:p>
        <w:p>
          <w:pPr>
            <w:pStyle w:val="Normal"/>
            <w:widowControl w:val="false"/>
            <w:suppressAutoHyphens w:val="true"/>
            <w:spacing w:before="0" w:after="0"/>
            <w:jc w:val="center"/>
            <w:rPr>
              <w:lang w:val="fr-FR"/>
            </w:rPr>
          </w:pPr>
          <w:r>
            <w:rPr/>
            <mc:AlternateContent>
              <mc:Choice Requires="wps">
                <w:drawing>
                  <wp:anchor behindDoc="1" distT="0" distB="0" distL="0" distR="0" simplePos="0" locked="0" layoutInCell="1" allowOverlap="1" relativeHeight="9" wp14:anchorId="4BE100B5">
                    <wp:simplePos x="0" y="0"/>
                    <wp:positionH relativeFrom="column">
                      <wp:posOffset>4092575</wp:posOffset>
                    </wp:positionH>
                    <wp:positionV relativeFrom="page">
                      <wp:posOffset>184785</wp:posOffset>
                    </wp:positionV>
                    <wp:extent cx="800735" cy="308610"/>
                    <wp:effectExtent l="0" t="0" r="0" b="0"/>
                    <wp:wrapNone/>
                    <wp:docPr id="9" name="Text Box 18"/>
                    <a:graphic xmlns:a="http://schemas.openxmlformats.org/drawingml/2006/main">
                      <a:graphicData uri="http://schemas.microsoft.com/office/word/2010/wordprocessingShape">
                        <wps:wsp>
                          <wps:cNvSpPr/>
                          <wps:spPr>
                            <a:xfrm>
                              <a:off x="0" y="0"/>
                              <a:ext cx="800280" cy="307800"/>
                            </a:xfrm>
                            <a:prstGeom prst="rect">
                              <a:avLst/>
                            </a:prstGeom>
                            <a:noFill/>
                            <a:ln w="0">
                              <a:noFill/>
                            </a:ln>
                          </wps:spPr>
                          <wps:style>
                            <a:lnRef idx="0"/>
                            <a:fillRef idx="0"/>
                            <a:effectRef idx="0"/>
                            <a:fontRef idx="minor"/>
                          </wps:style>
                          <wps:txb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stroked="f" o:allowincell="t" style="position:absolute;margin-left:322.25pt;margin-top:14.55pt;width:62.95pt;height:24.2pt;mso-wrap-style:square;v-text-anchor:top;mso-position-vertical-relative:page" wp14:anchorId="4BE100B5">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drawing>
              <wp:inline distT="0" distB="0" distL="0" distR="0">
                <wp:extent cx="625475" cy="365760"/>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
                        <a:srcRect l="-687" t="-1151" r="-687" b="-1151"/>
                        <a:stretch>
                          <a:fillRect/>
                        </a:stretch>
                      </pic:blipFill>
                      <pic:spPr bwMode="auto">
                        <a:xfrm>
                          <a:off x="0" y="0"/>
                          <a:ext cx="625475" cy="365760"/>
                        </a:xfrm>
                        <a:prstGeom prst="rect">
                          <a:avLst/>
                        </a:prstGeom>
                      </pic:spPr>
                    </pic:pic>
                  </a:graphicData>
                </a:graphic>
              </wp:inline>
            </w:drawing>
          </w:r>
        </w:p>
        <w:p>
          <w:pPr>
            <w:pStyle w:val="Form16"/>
            <w:widowControl w:val="false"/>
            <w:spacing w:before="0" w:after="0"/>
            <w:rPr>
              <w:rFonts w:ascii="Times New Roman" w:hAnsi="Times New Roman" w:cs="Times New Roman"/>
              <w:kern w:val="0"/>
              <w:szCs w:val="20"/>
              <w:lang w:bidi="ar-SA"/>
            </w:rPr>
          </w:pPr>
          <w:r>
            <w:rPr>
              <w:rFonts w:cs="Times New Roman"/>
              <w:kern w:val="0"/>
              <w:szCs w:val="20"/>
              <w:lang w:bidi="ar-SA"/>
            </w:rPr>
            <w:t>Formule de publication</w:t>
          </w:r>
        </w:p>
        <w:p>
          <w:pPr>
            <w:pStyle w:val="Form9"/>
            <w:widowControl w:val="false"/>
            <w:spacing w:before="0" w:after="0"/>
            <w:rPr>
              <w:rFonts w:ascii="Times New Roman" w:hAnsi="Times New Roman" w:cs="Times New Roman"/>
              <w:kern w:val="0"/>
              <w:szCs w:val="20"/>
              <w:lang w:bidi="ar-SA"/>
            </w:rPr>
          </w:pPr>
          <w:r>
            <w:rPr>
              <w:rFonts w:cs="Times New Roman"/>
              <w:kern w:val="0"/>
              <w:szCs w:val="20"/>
              <w:lang w:bidi="ar-SA"/>
            </w:rPr>
            <w:t>(pour l'établissement d'expéditions, copies, extraits d'actes ou décisions judiciaires à publier)</w:t>
          </w:r>
        </w:p>
        <w:p>
          <w:pPr>
            <w:pStyle w:val="Normal"/>
            <w:widowControl w:val="false"/>
            <w:suppressAutoHyphens w:val="true"/>
            <w:spacing w:before="0" w:after="0"/>
            <w:jc w:val="left"/>
            <w:rPr>
              <w:lang w:val="fr-FR"/>
            </w:rPr>
          </w:pPr>
          <w:r>
            <w:rPr>
              <w:lang w:val="fr-FR"/>
            </w:rPr>
          </w:r>
        </w:p>
      </w:tc>
    </w:tr>
    <w:tr>
      <w:trPr/>
      <w:tc>
        <w:tcPr>
          <w:tcW w:w="2937" w:type="dxa"/>
          <w:tcBorders>
            <w:left w:val="nil"/>
          </w:tcBorders>
        </w:tcPr>
        <w:p>
          <w:pPr>
            <w:pStyle w:val="Normal"/>
            <w:widowControl w:val="false"/>
            <w:suppressAutoHyphens w:val="true"/>
            <w:spacing w:before="0" w:after="0"/>
            <w:jc w:val="center"/>
            <w:rPr>
              <w:sz w:val="4"/>
            </w:rPr>
          </w:pPr>
          <w:r>
            <w:rPr>
              <w:sz w:val="4"/>
            </w:rPr>
          </w:r>
        </w:p>
        <w:p>
          <w:pPr>
            <w:pStyle w:val="Form10C"/>
            <w:widowControl w:val="false"/>
            <w:spacing w:before="0" w:after="0"/>
            <w:rPr>
              <w:sz w:val="4"/>
            </w:rPr>
          </w:pPr>
          <w:r>
            <w:rPr>
              <w:sz w:val="4"/>
            </w:rPr>
          </w:r>
        </w:p>
        <w:p>
          <w:pPr>
            <w:pStyle w:val="Normal"/>
            <w:widowControl w:val="false"/>
            <w:suppressAutoHyphens w:val="true"/>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SERVICE</w:t>
          </w:r>
        </w:p>
        <w:p>
          <w:pPr>
            <w:pStyle w:val="Normal"/>
            <w:widowControl w:val="false"/>
            <w:suppressAutoHyphens w:val="true"/>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DE</w:t>
          </w:r>
        </w:p>
        <w:p>
          <w:pPr>
            <w:pStyle w:val="Form10C"/>
            <w:widowControl w:val="false"/>
            <w:spacing w:before="0" w:after="0"/>
            <w:rPr>
              <w:rFonts w:ascii="Times New Roman" w:hAnsi="Times New Roman" w:cs="Times New Roman"/>
              <w:kern w:val="0"/>
              <w:sz w:val="20"/>
              <w:szCs w:val="20"/>
              <w:lang w:bidi="ar-SA"/>
            </w:rPr>
          </w:pPr>
          <w:r>
            <w:rPr>
              <w:rFonts w:cs="Times New Roman"/>
              <w:kern w:val="0"/>
              <w:sz w:val="20"/>
              <w:szCs w:val="20"/>
              <w:lang w:eastAsia="fr-FR" w:bidi="ar-SA"/>
            </w:rPr>
            <w:t>LA PUBLICITE FONCIERE</w:t>
          </w:r>
        </w:p>
        <w:p>
          <w:pPr>
            <w:pStyle w:val="Normal"/>
            <w:widowControl w:val="false"/>
            <w:suppressAutoHyphens w:val="true"/>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2083" w:type="dxa"/>
          <w:tcBorders/>
        </w:tcPr>
        <w:p>
          <w:pPr>
            <w:pStyle w:val="Form10C"/>
            <w:widowControl w:val="false"/>
            <w:spacing w:before="0" w:after="0"/>
            <w:rPr>
              <w:sz w:val="4"/>
              <w:szCs w:val="4"/>
            </w:rPr>
          </w:pPr>
          <w:r>
            <w:rPr>
              <w:sz w:val="4"/>
              <w:szCs w:val="4"/>
            </w:rPr>
          </w:r>
        </w:p>
        <w:p>
          <w:pPr>
            <w:pStyle w:val="Form10C"/>
            <w:widowControl w:val="false"/>
            <w:spacing w:before="0" w:after="0"/>
            <w:rPr>
              <w:rFonts w:ascii="Times New Roman" w:hAnsi="Times New Roman" w:cs="Times New Roman"/>
              <w:kern w:val="0"/>
              <w:sz w:val="20"/>
              <w:szCs w:val="20"/>
              <w:lang w:bidi="ar-SA"/>
            </w:rPr>
          </w:pPr>
          <w:r>
            <w:rPr>
              <w:rFonts w:cs="Times New Roman"/>
              <w:kern w:val="0"/>
              <w:sz w:val="20"/>
              <w:szCs w:val="20"/>
              <w:lang w:bidi="ar-SA"/>
            </w:rPr>
            <w:t>DÉPÔT</w:t>
          </w:r>
        </w:p>
        <w:p>
          <w:pPr>
            <w:pStyle w:val="Normal"/>
            <w:widowControl w:val="false"/>
            <w:suppressAutoHyphens w:val="true"/>
            <w:spacing w:before="0" w:after="0"/>
            <w:jc w:val="left"/>
            <w:rPr>
              <w:lang w:val="fr-FR"/>
            </w:rPr>
          </w:pPr>
          <w:r>
            <w:rPr>
              <w:lang w:val="fr-FR"/>
            </w:rPr>
          </w:r>
        </w:p>
      </w:tc>
      <w:tc>
        <w:tcPr>
          <w:tcW w:w="3440" w:type="dxa"/>
          <w:tcBorders>
            <w:right w:val="nil"/>
          </w:tcBorders>
        </w:tcPr>
        <w:p>
          <w:pPr>
            <w:pStyle w:val="Normal"/>
            <w:widowControl w:val="false"/>
            <w:suppressAutoHyphens w:val="true"/>
            <w:spacing w:before="0" w:after="0"/>
            <w:jc w:val="left"/>
            <w:rPr>
              <w:sz w:val="4"/>
              <w:szCs w:val="4"/>
              <w:lang w:val="fr-FR"/>
            </w:rPr>
          </w:pPr>
          <w:r>
            <w:rPr>
              <w:sz w:val="4"/>
              <w:szCs w:val="4"/>
              <w:lang w:val="fr-FR"/>
            </w:rPr>
          </w:r>
        </w:p>
        <w:p>
          <w:pPr>
            <w:pStyle w:val="Normal"/>
            <w:widowControl w:val="false"/>
            <w:suppressAutoHyphens w:val="true"/>
            <w:spacing w:before="0" w:after="0"/>
            <w:jc w:val="left"/>
            <w:rPr>
              <w:sz w:val="20"/>
              <w:szCs w:val="20"/>
              <w:lang w:val="fr-FR"/>
            </w:rPr>
          </w:pPr>
          <w:r>
            <w:rPr>
              <w:rFonts w:eastAsia="Times New Roman" w:cs="Times New Roman"/>
              <w:kern w:val="0"/>
              <w:sz w:val="20"/>
              <w:szCs w:val="20"/>
              <w:lang w:val="fr-FR" w:eastAsia="en-GB" w:bidi="ar-SA"/>
            </w:rPr>
            <w:t>DATE</w:t>
          </w:r>
        </w:p>
        <w:p>
          <w:pPr>
            <w:pStyle w:val="Normal"/>
            <w:widowControl w:val="false"/>
            <w:suppressAutoHyphens w:val="true"/>
            <w:spacing w:before="0" w:after="0"/>
            <w:jc w:val="left"/>
            <w:rPr>
              <w:sz w:val="20"/>
              <w:szCs w:val="20"/>
              <w:lang w:val="fr-FR"/>
            </w:rPr>
          </w:pPr>
          <w:r>
            <w:rPr>
              <w:sz w:val="20"/>
              <w:szCs w:val="20"/>
              <w:lang w:val="fr-FR"/>
            </w:rPr>
          </w:r>
        </w:p>
        <w:p>
          <w:pPr>
            <w:pStyle w:val="Normal"/>
            <w:widowControl w:val="false"/>
            <w:suppressAutoHyphens w:val="true"/>
            <w:spacing w:before="0" w:after="0"/>
            <w:jc w:val="left"/>
            <w:rPr>
              <w:sz w:val="20"/>
              <w:szCs w:val="20"/>
              <w:lang w:val="fr-FR"/>
            </w:rPr>
          </w:pPr>
          <w:r>
            <w:rPr>
              <w:sz w:val="20"/>
              <w:szCs w:val="20"/>
              <w:lang w:val="fr-FR"/>
            </w:rPr>
          </w:r>
        </w:p>
        <w:p>
          <w:pPr>
            <w:pStyle w:val="Normal"/>
            <w:widowControl w:val="false"/>
            <w:suppressAutoHyphens w:val="true"/>
            <w:spacing w:before="0" w:after="0"/>
            <w:jc w:val="left"/>
            <w:rPr>
              <w:sz w:val="20"/>
              <w:szCs w:val="20"/>
              <w:lang w:val="fr-FR"/>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val="false"/>
            <w:suppressAutoHyphens w:val="true"/>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5523" w:type="dxa"/>
          <w:gridSpan w:val="2"/>
          <w:tcBorders>
            <w:right w:val="nil"/>
          </w:tcBorders>
        </w:tcPr>
        <w:p>
          <w:pPr>
            <w:pStyle w:val="Normal"/>
            <w:widowControl w:val="false"/>
            <w:suppressAutoHyphens w:val="true"/>
            <w:spacing w:before="0" w:after="0"/>
            <w:jc w:val="left"/>
            <w:rPr>
              <w:sz w:val="10"/>
            </w:rPr>
          </w:pPr>
          <w:r>
            <w:rPr>
              <w:sz w:val="10"/>
            </w:rPr>
          </w:r>
        </w:p>
        <w:p>
          <w:pPr>
            <w:pStyle w:val="Form10J"/>
            <w:widowControl w:val="false"/>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TAXES:</w:t>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val="false"/>
            <w:spacing w:before="0" w:after="0"/>
            <w:jc w:val="left"/>
            <w:rPr>
              <w:sz w:val="22"/>
            </w:rPr>
          </w:pPr>
          <w:r>
            <w:rPr>
              <w:sz w:val="22"/>
            </w:rPr>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t>CSI:</w:t>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tab/>
            <w:tab/>
            <w:tab/>
            <w:tab/>
          </w:r>
        </w:p>
        <w:p>
          <w:pPr>
            <w:pStyle w:val="Form10J"/>
            <w:widowControl w:val="false"/>
            <w:spacing w:before="0" w:after="0"/>
            <w:jc w:val="left"/>
            <w:rPr>
              <w:sz w:val="2"/>
            </w:rPr>
          </w:pPr>
          <w:r>
            <w:rPr>
              <w:sz w:val="2"/>
            </w:rPr>
          </w:r>
        </w:p>
        <w:p>
          <w:pPr>
            <w:pStyle w:val="Form10J"/>
            <w:widowControl w:val="false"/>
            <w:spacing w:before="0" w:after="0"/>
            <w:jc w:val="left"/>
            <w:rPr>
              <w:sz w:val="2"/>
            </w:rPr>
          </w:pPr>
          <w:r>
            <w:rPr>
              <w:sz w:val="2"/>
            </w:rPr>
          </w:r>
        </w:p>
        <w:p>
          <w:pPr>
            <w:pStyle w:val="Form10J"/>
            <w:widowControl w:val="false"/>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TOTAL</w:t>
          </w:r>
        </w:p>
        <w:p>
          <w:pPr>
            <w:pStyle w:val="Normal"/>
            <w:widowControl w:val="false"/>
            <w:suppressAutoHyphens w:val="true"/>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r>
  </w:tbl>
  <w:p>
    <w:pPr>
      <w:pStyle w:val="Entte"/>
      <w:tabs>
        <w:tab w:val="clear" w:pos="4536"/>
        <w:tab w:val="clear" w:pos="9072"/>
      </w:tabs>
      <w:rPr/>
    </w:pPr>
    <w:r>
      <w:rPr/>
      <mc:AlternateContent>
        <mc:Choice Requires="wps">
          <w:drawing>
            <wp:anchor behindDoc="1" distT="0" distB="0" distL="0" distR="0" simplePos="0" locked="0" layoutInCell="0" allowOverlap="1" relativeHeight="4" wp14:anchorId="314566BD">
              <wp:simplePos x="0" y="0"/>
              <wp:positionH relativeFrom="page">
                <wp:posOffset>5577840</wp:posOffset>
              </wp:positionH>
              <wp:positionV relativeFrom="page">
                <wp:posOffset>2743200</wp:posOffset>
              </wp:positionV>
              <wp:extent cx="1374140" cy="1905"/>
              <wp:effectExtent l="12700" t="12700" r="12065" b="12065"/>
              <wp:wrapNone/>
              <wp:docPr id="12" name="Line 8"/>
              <a:graphic xmlns:a="http://schemas.openxmlformats.org/drawingml/2006/main">
                <a:graphicData uri="http://schemas.microsoft.com/office/word/2010/wordprocessingShape">
                  <wps:wsp>
                    <wps:cNvSpPr/>
                    <wps:spPr>
                      <a:xfrm>
                        <a:off x="0" y="0"/>
                        <a:ext cx="1373400" cy="144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3pt,216.05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mc:AlternateContent>
        <mc:Choice Requires="wpg">
          <w:drawing>
            <wp:anchor behindDoc="1" distT="0" distB="0" distL="0" distR="0" simplePos="0" locked="0" layoutInCell="0" allowOverlap="1" relativeHeight="5" wp14:anchorId="0664A23D">
              <wp:simplePos x="0" y="0"/>
              <wp:positionH relativeFrom="page">
                <wp:posOffset>6884035</wp:posOffset>
              </wp:positionH>
              <wp:positionV relativeFrom="page">
                <wp:posOffset>196215</wp:posOffset>
              </wp:positionV>
              <wp:extent cx="273685" cy="182245"/>
              <wp:effectExtent l="0" t="0" r="0" b="0"/>
              <wp:wrapNone/>
              <wp:docPr id="13" name="Group 14"/>
              <a:graphic xmlns:a="http://schemas.openxmlformats.org/drawingml/2006/main">
                <a:graphicData uri="http://schemas.microsoft.com/office/word/2010/wordprocessingGroup">
                  <wpg:wgp>
                    <wpg:cNvGrpSpPr/>
                    <wpg:grpSpPr>
                      <a:xfrm>
                        <a:off x="0" y="0"/>
                        <a:ext cx="272880" cy="181440"/>
                        <a:chOff x="6883920" y="196200"/>
                        <a:chExt cx="272880" cy="181440"/>
                      </a:xfrm>
                    </wpg:grpSpPr>
                    <wps:wsp>
                      <wps:cNvSpPr/>
                      <wps:spPr>
                        <a:xfrm>
                          <a:off x="4320" y="4320"/>
                          <a:ext cx="268560" cy="177120"/>
                        </a:xfrm>
                        <a:prstGeom prst="roundRect">
                          <a:avLst>
                            <a:gd name="adj" fmla="val 16667"/>
                          </a:avLst>
                        </a:prstGeom>
                        <a:noFill/>
                        <a:ln w="0">
                          <a:noFill/>
                        </a:ln>
                      </wps:spPr>
                      <wps:style>
                        <a:lnRef idx="0"/>
                        <a:fillRef idx="0"/>
                        <a:effectRef idx="0"/>
                        <a:fontRef idx="minor"/>
                      </wps:style>
                      <wps:bodyPr/>
                    </wps:wsp>
                    <wps:wsp>
                      <wps:cNvSpPr/>
                      <wps:spPr>
                        <a:xfrm>
                          <a:off x="0" y="0"/>
                          <a:ext cx="268560" cy="17712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A"/>
                              </w:rPr>
                              <w:t xml:space="preserve">  1</w:t>
                            </w:r>
                            <w:r>
                              <w:rPr>
                                <w:b w:val="false"/>
                                <w:u w:val="none"/>
                                <w:dstrike w:val="false"/>
                                <w:strike w:val="false"/>
                                <w:i w:val="false"/>
                                <w:vertAlign w:val="baseline"/>
                                <w:position w:val="0"/>
                                <w:sz w:val="20"/>
                                <w:spacing w:val="0"/>
                                <w:bCs w:val="false"/>
                                <w:iCs w:val="false"/>
                                <w:smallCaps w:val="false"/>
                                <w:caps w:val="false"/>
                                <w:sz w:val="20"/>
                                <w:szCs w:val="20"/>
                                <w:rFonts w:ascii="Calibri" w:hAnsi="Calibri"/>
                                <w:color w:val="00000A"/>
                              </w:rPr>
                              <w:t>1- 1 -- 1 -</w:t>
                            </w:r>
                          </w:p>
                        </w:txbxContent>
                      </wps:txbx>
                      <wps:bodyPr lIns="12600" rIns="12600" tIns="12600" bIns="12600" anchor="ctr">
                        <a:noAutofit/>
                      </wps:bodyPr>
                    </wps:wsp>
                  </wpg:wgp>
                </a:graphicData>
              </a:graphic>
            </wp:anchor>
          </w:drawing>
        </mc:Choice>
        <mc:Fallback>
          <w:pict>
            <v:group id="shape_0" alt="Group 14" style="position:absolute;margin-left:542.05pt;margin-top:15.45pt;width:21.45pt;height:14.3pt" coordorigin="10841,309" coordsize="429,286">
              <v:rect id="shape_0" path="m0,0l-2147483645,0l-2147483645,-2147483646l0,-2147483646xe" stroked="f" o:allowincell="f" style="position:absolute;left:10841;top:309;width:422;height:278;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A"/>
                        </w:rPr>
                        <w:t xml:space="preserve">  1</w:t>
                      </w:r>
                      <w:r>
                        <w:rPr>
                          <w:b w:val="false"/>
                          <w:u w:val="none"/>
                          <w:dstrike w:val="false"/>
                          <w:strike w:val="false"/>
                          <w:i w:val="false"/>
                          <w:vertAlign w:val="baseline"/>
                          <w:position w:val="0"/>
                          <w:sz w:val="20"/>
                          <w:spacing w:val="0"/>
                          <w:bCs w:val="false"/>
                          <w:iCs w:val="false"/>
                          <w:smallCaps w:val="false"/>
                          <w:caps w:val="false"/>
                          <w:sz w:val="20"/>
                          <w:szCs w:val="20"/>
                          <w:rFonts w:ascii="Calibri" w:hAnsi="Calibri"/>
                          <w:color w:val="00000A"/>
                        </w:rPr>
                        <w:t>1- 1 -- 1 -</w:t>
                      </w:r>
                    </w:p>
                  </w:txbxContent>
                </v:textbox>
                <v:fill o:detectmouseclick="t" on="false"/>
                <v:stroke color="#3465a4" joinstyle="round" endcap="flat"/>
                <w10:wrap type="none"/>
              </v:rect>
            </v:group>
          </w:pict>
        </mc:Fallback>
      </mc:AlternateContent>
      <mc:AlternateContent>
        <mc:Choice Requires="wps">
          <w:drawing>
            <wp:anchor behindDoc="1" distT="0" distB="0" distL="0" distR="0" simplePos="0" locked="0" layoutInCell="0" allowOverlap="1" relativeHeight="6" wp14:anchorId="20DB70F0">
              <wp:simplePos x="0" y="0"/>
              <wp:positionH relativeFrom="page">
                <wp:posOffset>474345</wp:posOffset>
              </wp:positionH>
              <wp:positionV relativeFrom="page">
                <wp:posOffset>268605</wp:posOffset>
              </wp:positionV>
              <wp:extent cx="998855" cy="633095"/>
              <wp:effectExtent l="0" t="0" r="0" b="0"/>
              <wp:wrapNone/>
              <wp:docPr id="14" name="Text Box 17"/>
              <a:graphic xmlns:a="http://schemas.openxmlformats.org/drawingml/2006/main">
                <a:graphicData uri="http://schemas.microsoft.com/office/word/2010/wordprocessingShape">
                  <wps:wsp>
                    <wps:cNvSpPr/>
                    <wps:spPr>
                      <a:xfrm>
                        <a:off x="0" y="0"/>
                        <a:ext cx="998280" cy="632520"/>
                      </a:xfrm>
                      <a:prstGeom prst="rect">
                        <a:avLst/>
                      </a:prstGeom>
                      <a:noFill/>
                      <a:ln w="0">
                        <a:noFill/>
                      </a:ln>
                    </wps:spPr>
                    <wps:style>
                      <a:lnRef idx="0"/>
                      <a:fillRef idx="0"/>
                      <a:effectRef idx="0"/>
                      <a:fontRef idx="minor"/>
                    </wps:style>
                    <wps:txbx>
                      <w:txbxContent>
                        <w:p>
                          <w:pPr>
                            <w:pStyle w:val="Contenudecadre"/>
                            <w:jc w:val="center"/>
                            <w:rPr>
                              <w:sz w:val="16"/>
                            </w:rPr>
                          </w:pPr>
                          <w:r>
                            <w:rPr>
                              <w:sz w:val="16"/>
                            </w:rPr>
                          </w:r>
                        </w:p>
                        <w:p>
                          <w:pPr>
                            <w:pStyle w:val="Cerfa"/>
                            <w:rPr>
                              <w:sz w:val="16"/>
                              <w:szCs w:val="16"/>
                            </w:rPr>
                          </w:pPr>
                          <w:r>
                            <w:rPr/>
                            <w:object w:dxaOrig="401" w:dyaOrig="461">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8.65pt;height:26pt;mso-wrap-distance-right:0pt" filled="t" fillcolor="#FFFFFF" o:ole="">
                                <v:imagedata r:id="rId3" o:title=""/>
                              </v:shape>
                              <o:OLEObject Type="Embed" ProgID="Word.Picture.8" ShapeID="ole_rId2" DrawAspect="Content" ObjectID="_1156496177" r:id="rId2"/>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90000" rIns="90000" tIns="45000" bIns="45000" anchor="t">
                      <a:noAutofit/>
                    </wps:bodyPr>
                  </wps:wsp>
                </a:graphicData>
              </a:graphic>
            </wp:anchor>
          </w:drawing>
        </mc:Choice>
        <mc:Fallback>
          <w:pict>
            <v:rect id="shape_0" ID="Text Box 17" path="m0,0l-2147483645,0l-2147483645,-2147483646l0,-2147483646xe" stroked="f" o:allowincell="f" style="position:absolute;margin-left:37.35pt;margin-top:21.15pt;width:78.55pt;height:49.75pt;mso-wrap-style:square;v-text-anchor:top;mso-position-horizontal-relative:page;mso-position-vertical-relative:page" wp14:anchorId="20DB70F0">
              <v:fill o:detectmouseclick="t" on="false"/>
              <v:stroke color="#3465a4" joinstyle="round" endcap="flat"/>
              <v:textbox>
                <w:txbxContent>
                  <w:p>
                    <w:pPr>
                      <w:pStyle w:val="Contenudecadre"/>
                      <w:jc w:val="center"/>
                      <w:rPr>
                        <w:sz w:val="16"/>
                      </w:rPr>
                    </w:pPr>
                    <w:r>
                      <w:rPr>
                        <w:sz w:val="16"/>
                      </w:rPr>
                    </w:r>
                  </w:p>
                  <w:p>
                    <w:pPr>
                      <w:pStyle w:val="Cerfa"/>
                      <w:rPr>
                        <w:sz w:val="16"/>
                        <w:szCs w:val="16"/>
                      </w:rPr>
                    </w:pPr>
                    <w:r>
                      <w:rPr/>
                      <w:object w:dxaOrig="401" w:dyaOrig="461">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8.65pt;height:26pt;mso-wrap-distance-right:0pt" filled="t" fillcolor="#FFFFFF" o:ole="">
                          <v:imagedata r:id="rId5" o:title=""/>
                        </v:shape>
                        <o:OLEObject Type="Embed" ProgID="Word.Picture.8" ShapeID="ole_rId4" DrawAspect="Content" ObjectID="_1832893870" r:id="rId4"/>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432" w:hanging="432"/>
      </w:pPr>
    </w:lvl>
    <w:lvl w:ilvl="1">
      <w:start w:val="1"/>
      <w:pStyle w:val="Titre2"/>
      <w:numFmt w:val="none"/>
      <w:suff w:val="nothing"/>
      <w:lvlText w:val=""/>
      <w:lvlJc w:val="left"/>
      <w:pPr>
        <w:tabs>
          <w:tab w:val="num" w:pos="0"/>
        </w:tabs>
        <w:ind w:left="576" w:hanging="576"/>
      </w:pPr>
    </w:lvl>
    <w:lvl w:ilvl="2">
      <w:start w:val="1"/>
      <w:pStyle w:val="Titre3"/>
      <w:numFmt w:val="none"/>
      <w:suff w:val="nothing"/>
      <w:lvlText w:val=""/>
      <w:lvlJc w:val="left"/>
      <w:pPr>
        <w:tabs>
          <w:tab w:val="num" w:pos="0"/>
        </w:tabs>
        <w:ind w:left="720" w:hanging="720"/>
      </w:pPr>
    </w:lvl>
    <w:lvl w:ilvl="3">
      <w:start w:val="1"/>
      <w:pStyle w:val="Titre4"/>
      <w:numFmt w:val="none"/>
      <w:suff w:val="nothing"/>
      <w:lvlText w:val=""/>
      <w:lvlJc w:val="left"/>
      <w:pPr>
        <w:tabs>
          <w:tab w:val="num" w:pos="0"/>
        </w:tabs>
        <w:ind w:left="864" w:hanging="864"/>
      </w:pPr>
    </w:lvl>
    <w:lvl w:ilvl="4">
      <w:start w:val="1"/>
      <w:pStyle w:val="Titre5"/>
      <w:numFmt w:val="none"/>
      <w:suff w:val="nothing"/>
      <w:lvlText w:val=""/>
      <w:lvlJc w:val="left"/>
      <w:pPr>
        <w:tabs>
          <w:tab w:val="num" w:pos="0"/>
        </w:tabs>
        <w:ind w:left="1008" w:hanging="1008"/>
      </w:pPr>
    </w:lvl>
    <w:lvl w:ilvl="5">
      <w:start w:val="1"/>
      <w:pStyle w:val="Titre6"/>
      <w:numFmt w:val="none"/>
      <w:suff w:val="nothing"/>
      <w:lvlText w:val=""/>
      <w:lvlJc w:val="left"/>
      <w:pPr>
        <w:tabs>
          <w:tab w:val="num" w:pos="0"/>
        </w:tabs>
        <w:ind w:left="1152" w:hanging="1152"/>
      </w:pPr>
    </w:lvl>
    <w:lvl w:ilvl="6">
      <w:start w:val="1"/>
      <w:pStyle w:val="Titre7"/>
      <w:numFmt w:val="none"/>
      <w:suff w:val="nothing"/>
      <w:lvlText w:val=""/>
      <w:lvlJc w:val="left"/>
      <w:pPr>
        <w:tabs>
          <w:tab w:val="num" w:pos="0"/>
        </w:tabs>
        <w:ind w:left="1296" w:hanging="1296"/>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lvl>
    <w:lvl w:ilvl="2">
      <w:start w:val="1"/>
      <w:numFmt w:val="decimal"/>
      <w:lvlText w:val="%1.%2.%3."/>
      <w:lvlJc w:val="left"/>
      <w:pPr>
        <w:tabs>
          <w:tab w:val="num" w:pos="1088"/>
        </w:tabs>
        <w:ind w:left="0" w:hanging="0"/>
      </w:pPr>
    </w:lvl>
    <w:lvl w:ilvl="3">
      <w:start w:val="1"/>
      <w:numFmt w:val="decimal"/>
      <w:lvlText w:val="%1.%2.%3.%4."/>
      <w:lvlJc w:val="left"/>
      <w:pPr>
        <w:tabs>
          <w:tab w:val="num" w:pos="944"/>
        </w:tabs>
        <w:ind w:left="0" w:hanging="0"/>
      </w:pPr>
    </w:lvl>
    <w:lvl w:ilvl="4">
      <w:start w:val="1"/>
      <w:numFmt w:val="decimal"/>
      <w:lvlText w:val="%1.%2.%3.%4.%5. "/>
      <w:lvlJc w:val="left"/>
      <w:pPr>
        <w:tabs>
          <w:tab w:val="num" w:pos="1418"/>
        </w:tabs>
        <w:ind w:left="0" w:hanging="0"/>
      </w:pPr>
    </w:lvl>
    <w:lvl w:ilvl="5">
      <w:start w:val="1"/>
      <w:numFmt w:val="decimal"/>
      <w:lvlText w:val="%1.%2.%3.%4.%5.%6."/>
      <w:lvlJc w:val="left"/>
      <w:pPr>
        <w:tabs>
          <w:tab w:val="num" w:pos="2600"/>
        </w:tabs>
        <w:ind w:left="0" w:hanging="0"/>
      </w:pPr>
    </w:lvl>
    <w:lvl w:ilvl="6">
      <w:start w:val="1"/>
      <w:numFmt w:val="decimal"/>
      <w:lvlText w:val="%1.%2.%3.%4.%5.%6.%7."/>
      <w:lvlJc w:val="left"/>
      <w:pPr>
        <w:tabs>
          <w:tab w:val="num" w:pos="3104"/>
        </w:tabs>
        <w:ind w:left="0" w:hanging="0"/>
      </w:pPr>
    </w:lvl>
    <w:lvl w:ilvl="7">
      <w:start w:val="1"/>
      <w:numFmt w:val="decimal"/>
      <w:lvlText w:val="%1.%2.%3.%4.%5.%6.%7.%8."/>
      <w:lvlJc w:val="left"/>
      <w:pPr>
        <w:tabs>
          <w:tab w:val="num" w:pos="3608"/>
        </w:tabs>
        <w:ind w:left="0" w:hanging="0"/>
      </w:pPr>
    </w:lvl>
    <w:lvl w:ilvl="8">
      <w:start w:val="1"/>
      <w:numFmt w:val="decimal"/>
      <w:lvlText w:val="%1.%2.%3.%4.%5.%6.%7.%8.%9."/>
      <w:lvlJc w:val="left"/>
      <w:pPr>
        <w:tabs>
          <w:tab w:val="num" w:pos="4184"/>
        </w:tabs>
        <w:ind w:left="0" w:hanging="0"/>
      </w:p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isplayBackgroundShape/>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9d7"/>
    <w:pPr>
      <w:widowControl/>
      <w:suppressAutoHyphens w:val="true"/>
      <w:bidi w:val="0"/>
      <w:spacing w:before="0" w:after="0"/>
      <w:jc w:val="left"/>
    </w:pPr>
    <w:rPr>
      <w:rFonts w:ascii="Times New Roman" w:hAnsi="Times New Roman" w:eastAsia="Times New Roman" w:cs="Times New Roman"/>
      <w:color w:val="auto"/>
      <w:kern w:val="0"/>
      <w:sz w:val="24"/>
      <w:szCs w:val="24"/>
      <w:lang w:val="en-FR" w:eastAsia="en-GB" w:bidi="ar-SA"/>
    </w:rPr>
  </w:style>
  <w:style w:type="paragraph" w:styleId="Titre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true"/>
      <w:jc w:val="center"/>
      <w:textAlignment w:val="baseline"/>
      <w:outlineLvl w:val="0"/>
    </w:pPr>
    <w:rPr>
      <w:rFonts w:ascii="Arial" w:hAnsi="Arial" w:cs="Arial"/>
      <w:b/>
      <w:color w:val="FF0000"/>
      <w:sz w:val="28"/>
      <w:szCs w:val="20"/>
      <w:lang w:val="fr-FR" w:eastAsia="zh-CN"/>
    </w:rPr>
  </w:style>
  <w:style w:type="paragraph" w:styleId="Titre2">
    <w:name w:val="Heading 2"/>
    <w:basedOn w:val="Normal"/>
    <w:next w:val="Normal"/>
    <w:qFormat/>
    <w:pPr>
      <w:keepNext w:val="true"/>
      <w:keepLines/>
      <w:numPr>
        <w:ilvl w:val="1"/>
        <w:numId w:val="1"/>
      </w:numPr>
      <w:suppressAutoHyphens w:val="true"/>
      <w:overflowPunct w:val="true"/>
      <w:jc w:val="both"/>
      <w:textAlignment w:val="baseline"/>
      <w:outlineLvl w:val="1"/>
    </w:pPr>
    <w:rPr>
      <w:rFonts w:ascii="Arial" w:hAnsi="Arial" w:cs="Arial"/>
      <w:b/>
      <w:color w:val="FF00FF"/>
      <w:szCs w:val="20"/>
      <w:lang w:val="fr-FR" w:eastAsia="zh-CN"/>
    </w:rPr>
  </w:style>
  <w:style w:type="paragraph" w:styleId="Titre3">
    <w:name w:val="Heading 3"/>
    <w:basedOn w:val="Titre2"/>
    <w:next w:val="Normal"/>
    <w:qFormat/>
    <w:pPr>
      <w:numPr>
        <w:ilvl w:val="2"/>
        <w:numId w:val="1"/>
      </w:numPr>
      <w:outlineLvl w:val="2"/>
    </w:pPr>
    <w:rPr>
      <w:color w:val="800080"/>
    </w:rPr>
  </w:style>
  <w:style w:type="paragraph" w:styleId="Titre4">
    <w:name w:val="Heading 4"/>
    <w:basedOn w:val="Normal"/>
    <w:next w:val="Normal"/>
    <w:qFormat/>
    <w:pPr>
      <w:keepNext w:val="true"/>
      <w:numPr>
        <w:ilvl w:val="3"/>
        <w:numId w:val="1"/>
      </w:numPr>
      <w:suppressAutoHyphens w:val="true"/>
      <w:overflowPunct w:val="true"/>
      <w:jc w:val="center"/>
      <w:textAlignment w:val="baseline"/>
      <w:outlineLvl w:val="3"/>
    </w:pPr>
    <w:rPr>
      <w:i/>
      <w:szCs w:val="20"/>
      <w:lang w:val="fr-FR" w:eastAsia="zh-CN"/>
    </w:rPr>
  </w:style>
  <w:style w:type="paragraph" w:styleId="Titre5">
    <w:name w:val="Heading 5"/>
    <w:basedOn w:val="Normal"/>
    <w:next w:val="Normal"/>
    <w:qFormat/>
    <w:pPr>
      <w:keepNext w:val="true"/>
      <w:numPr>
        <w:ilvl w:val="4"/>
        <w:numId w:val="1"/>
      </w:numPr>
      <w:suppressAutoHyphens w:val="true"/>
      <w:overflowPunct w:val="true"/>
      <w:jc w:val="center"/>
      <w:textAlignment w:val="baseline"/>
      <w:outlineLvl w:val="4"/>
    </w:pPr>
    <w:rPr>
      <w:b/>
      <w:szCs w:val="20"/>
      <w:lang w:val="fr-FR" w:eastAsia="zh-CN"/>
    </w:rPr>
  </w:style>
  <w:style w:type="paragraph" w:styleId="Titre6">
    <w:name w:val="Heading 6"/>
    <w:basedOn w:val="Normal"/>
    <w:next w:val="Normal"/>
    <w:qFormat/>
    <w:pPr>
      <w:keepNext w:val="true"/>
      <w:numPr>
        <w:ilvl w:val="5"/>
        <w:numId w:val="1"/>
      </w:numPr>
      <w:suppressAutoHyphens w:val="true"/>
      <w:overflowPunct w:val="true"/>
      <w:jc w:val="center"/>
      <w:textAlignment w:val="baseline"/>
      <w:outlineLvl w:val="5"/>
    </w:pPr>
    <w:rPr>
      <w:b/>
      <w:sz w:val="20"/>
      <w:szCs w:val="20"/>
      <w:lang w:val="fr-FR" w:eastAsia="zh-CN"/>
    </w:rPr>
  </w:style>
  <w:style w:type="paragraph" w:styleId="Titre7">
    <w:name w:val="Heading 7"/>
    <w:basedOn w:val="Normal"/>
    <w:next w:val="Normal"/>
    <w:qFormat/>
    <w:pPr>
      <w:keepNext w:val="true"/>
      <w:numPr>
        <w:ilvl w:val="6"/>
        <w:numId w:val="1"/>
      </w:numPr>
      <w:suppressAutoHyphens w:val="true"/>
      <w:overflowPunct w:val="true"/>
      <w:ind w:left="1418" w:right="280" w:hanging="0"/>
      <w:jc w:val="center"/>
      <w:textAlignment w:val="baseline"/>
      <w:outlineLvl w:val="6"/>
    </w:pPr>
    <w:rPr>
      <w:b/>
      <w:iCs/>
      <w:szCs w:val="20"/>
      <w:lang w:val="fr-FR"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uppressAutoHyphens w:val="true"/>
      <w:overflowPunct w:val="true"/>
      <w:jc w:val="center"/>
      <w:textAlignment w:val="baseline"/>
    </w:pPr>
    <w:rPr>
      <w:b/>
      <w:szCs w:val="20"/>
      <w:lang w:val="fr-FR" w:eastAsia="zh-CN"/>
    </w:rPr>
  </w:style>
  <w:style w:type="paragraph" w:styleId="Liste">
    <w:name w:val="List"/>
    <w:basedOn w:val="Corpsdetexte"/>
    <w:pPr/>
    <w:rPr>
      <w:rFonts w:cs="Tahoma"/>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suppressAutoHyphens w:val="true"/>
    </w:pPr>
    <w:rPr>
      <w:rFonts w:ascii="Liberation Sans" w:hAnsi="Liberation Sans" w:cs="Tahoma"/>
      <w:lang w:val="fr-FR" w:eastAsia="zh-CN"/>
    </w:rPr>
  </w:style>
  <w:style w:type="paragraph" w:styleId="Titre21" w:customStyle="1">
    <w:name w:val="Titre2"/>
    <w:basedOn w:val="Normal"/>
    <w:next w:val="Corpsdetexte"/>
    <w:qFormat/>
    <w:pPr>
      <w:keepNext w:val="true"/>
      <w:suppressAutoHyphens w:val="true"/>
      <w:overflowPunct w:val="true"/>
      <w:spacing w:before="240" w:after="120"/>
      <w:jc w:val="both"/>
      <w:textAlignment w:val="baseline"/>
    </w:pPr>
    <w:rPr>
      <w:rFonts w:ascii="Arial" w:hAnsi="Arial" w:eastAsia="Lucida Sans Unicode" w:cs="Tahoma"/>
      <w:sz w:val="28"/>
      <w:szCs w:val="28"/>
      <w:lang w:val="fr-FR" w:eastAsia="zh-CN"/>
    </w:rPr>
  </w:style>
  <w:style w:type="paragraph" w:styleId="Caption">
    <w:name w:val="caption"/>
    <w:basedOn w:val="Normal"/>
    <w:qFormat/>
    <w:pPr>
      <w:suppressLineNumbers/>
      <w:suppressAutoHyphens w:val="true"/>
      <w:overflowPunct w:val="true"/>
      <w:spacing w:before="120" w:after="120"/>
      <w:jc w:val="both"/>
      <w:textAlignment w:val="baseline"/>
    </w:pPr>
    <w:rPr>
      <w:rFonts w:cs="Tahoma"/>
      <w:i/>
      <w:iCs/>
      <w:sz w:val="20"/>
      <w:szCs w:val="20"/>
      <w:lang w:val="fr-FR" w:eastAsia="zh-CN"/>
    </w:rPr>
  </w:style>
  <w:style w:type="paragraph" w:styleId="Rpertoire" w:customStyle="1">
    <w:name w:val="Répertoire"/>
    <w:basedOn w:val="Normal"/>
    <w:qFormat/>
    <w:pPr>
      <w:suppressLineNumbers/>
      <w:suppressAutoHyphens w:val="true"/>
      <w:overflowPunct w:val="true"/>
      <w:jc w:val="both"/>
      <w:textAlignment w:val="baseline"/>
    </w:pPr>
    <w:rPr>
      <w:rFonts w:cs="Tahoma"/>
      <w:szCs w:val="20"/>
      <w:lang w:val="fr-FR" w:eastAsia="zh-CN"/>
    </w:rPr>
  </w:style>
  <w:style w:type="paragraph" w:styleId="WWTitre" w:customStyle="1">
    <w:name w:val="WW-Titre"/>
    <w:basedOn w:val="Normal"/>
    <w:next w:val="Corpsdetexte"/>
    <w:qFormat/>
    <w:pPr>
      <w:keepNext w:val="true"/>
      <w:suppressAutoHyphens w:val="true"/>
      <w:overflowPunct w:val="true"/>
      <w:spacing w:before="240" w:after="120"/>
      <w:jc w:val="both"/>
      <w:textAlignment w:val="baseline"/>
    </w:pPr>
    <w:rPr>
      <w:rFonts w:ascii="Arial" w:hAnsi="Arial" w:eastAsia="MS Mincho" w:cs="Tahoma"/>
      <w:sz w:val="28"/>
      <w:szCs w:val="28"/>
      <w:lang w:val="fr-FR" w:eastAsia="zh-CN"/>
    </w:rPr>
  </w:style>
  <w:style w:type="paragraph" w:styleId="Soustitre">
    <w:name w:val="Subtitle"/>
    <w:basedOn w:val="Titre21"/>
    <w:next w:val="Corpsdetexte"/>
    <w:qFormat/>
    <w:pPr>
      <w:jc w:val="center"/>
    </w:pPr>
    <w:rPr>
      <w:i/>
      <w:iCs/>
    </w:rPr>
  </w:style>
  <w:style w:type="paragraph" w:styleId="Toto" w:customStyle="1">
    <w:name w:val="toto"/>
    <w:basedOn w:val="Normal"/>
    <w:qFormat/>
    <w:pPr>
      <w:suppressAutoHyphens w:val="true"/>
      <w:overflowPunct w:val="true"/>
      <w:jc w:val="both"/>
      <w:textAlignment w:val="baseline"/>
    </w:pPr>
    <w:rPr>
      <w:color w:val="0000FF"/>
      <w:sz w:val="52"/>
      <w:szCs w:val="20"/>
      <w:lang w:val="fr-FR" w:eastAsia="zh-CN"/>
    </w:rPr>
  </w:style>
  <w:style w:type="paragraph" w:styleId="Entteetpieddepage">
    <w:name w:val="En-tête et pied de page"/>
    <w:basedOn w:val="Normal"/>
    <w:qFormat/>
    <w:pPr/>
    <w:rPr/>
  </w:style>
  <w:style w:type="paragraph" w:styleId="Entte">
    <w:name w:val="Header"/>
    <w:basedOn w:val="Normal"/>
    <w:pPr>
      <w:tabs>
        <w:tab w:val="clear" w:pos="708"/>
        <w:tab w:val="center" w:pos="4536" w:leader="none"/>
        <w:tab w:val="right" w:pos="9072" w:leader="none"/>
      </w:tabs>
      <w:suppressAutoHyphens w:val="true"/>
      <w:overflowPunct w:val="true"/>
      <w:jc w:val="both"/>
      <w:textAlignment w:val="baseline"/>
    </w:pPr>
    <w:rPr>
      <w:szCs w:val="20"/>
      <w:lang w:val="fr-FR" w:eastAsia="zh-CN"/>
    </w:rPr>
  </w:style>
  <w:style w:type="paragraph" w:styleId="Pieddepage">
    <w:name w:val="Footer"/>
    <w:basedOn w:val="Normal"/>
    <w:pPr>
      <w:tabs>
        <w:tab w:val="clear" w:pos="708"/>
        <w:tab w:val="center" w:pos="4536" w:leader="none"/>
        <w:tab w:val="right" w:pos="9072" w:leader="none"/>
      </w:tabs>
      <w:suppressAutoHyphens w:val="true"/>
      <w:overflowPunct w:val="true"/>
      <w:jc w:val="both"/>
      <w:textAlignment w:val="baseline"/>
    </w:pPr>
    <w:rPr>
      <w:szCs w:val="20"/>
      <w:lang w:val="fr-FR" w:eastAsia="zh-CN"/>
    </w:rPr>
  </w:style>
  <w:style w:type="paragraph" w:styleId="Form12" w:customStyle="1">
    <w:name w:val="Form12"/>
    <w:qFormat/>
    <w:pPr>
      <w:widowControl/>
      <w:suppressAutoHyphens w:val="true"/>
      <w:bidi w:val="0"/>
      <w:spacing w:before="0" w:after="0"/>
      <w:jc w:val="both"/>
    </w:pPr>
    <w:rPr>
      <w:rFonts w:ascii="Times New Roman" w:hAnsi="Times New Roman" w:eastAsia="Arial" w:cs="Times New Roman"/>
      <w:b/>
      <w:color w:val="auto"/>
      <w:kern w:val="0"/>
      <w:sz w:val="24"/>
      <w:szCs w:val="20"/>
      <w:lang w:val="fr-FR" w:eastAsia="zh-CN" w:bidi="ar-SA"/>
    </w:rPr>
  </w:style>
  <w:style w:type="paragraph" w:styleId="Form16" w:customStyle="1">
    <w:name w:val="Form16"/>
    <w:qFormat/>
    <w:pPr>
      <w:widowControl/>
      <w:suppressAutoHyphens w:val="true"/>
      <w:bidi w:val="0"/>
      <w:spacing w:before="0" w:after="0"/>
      <w:jc w:val="center"/>
    </w:pPr>
    <w:rPr>
      <w:rFonts w:ascii="Times New Roman" w:hAnsi="Times New Roman" w:eastAsia="Arial" w:cs="Times New Roman"/>
      <w:b/>
      <w:color w:val="auto"/>
      <w:kern w:val="0"/>
      <w:sz w:val="32"/>
      <w:szCs w:val="20"/>
      <w:lang w:val="fr-FR" w:eastAsia="zh-CN" w:bidi="ar-SA"/>
    </w:rPr>
  </w:style>
  <w:style w:type="paragraph" w:styleId="Form9" w:customStyle="1">
    <w:name w:val="Form9"/>
    <w:qFormat/>
    <w:pPr>
      <w:widowControl/>
      <w:suppressAutoHyphens w:val="true"/>
      <w:bidi w:val="0"/>
      <w:spacing w:before="0" w:after="0"/>
      <w:jc w:val="center"/>
    </w:pPr>
    <w:rPr>
      <w:rFonts w:ascii="Times New Roman" w:hAnsi="Times New Roman" w:eastAsia="Arial" w:cs="Times New Roman"/>
      <w:color w:val="auto"/>
      <w:kern w:val="0"/>
      <w:sz w:val="18"/>
      <w:szCs w:val="20"/>
      <w:lang w:val="fr-FR" w:eastAsia="zh-CN" w:bidi="ar-SA"/>
    </w:rPr>
  </w:style>
  <w:style w:type="paragraph" w:styleId="Form10C" w:customStyle="1">
    <w:name w:val="Form10C"/>
    <w:qFormat/>
    <w:pPr>
      <w:widowControl/>
      <w:suppressAutoHyphens w:val="true"/>
      <w:bidi w:val="0"/>
      <w:spacing w:before="0" w:after="0"/>
      <w:jc w:val="center"/>
    </w:pPr>
    <w:rPr>
      <w:rFonts w:ascii="Times New Roman" w:hAnsi="Times New Roman" w:eastAsia="Arial" w:cs="Times New Roman"/>
      <w:color w:val="auto"/>
      <w:kern w:val="0"/>
      <w:sz w:val="20"/>
      <w:szCs w:val="20"/>
      <w:lang w:val="fr-FR" w:eastAsia="zh-CN" w:bidi="ar-SA"/>
    </w:rPr>
  </w:style>
  <w:style w:type="paragraph" w:styleId="Form10J" w:customStyle="1">
    <w:name w:val="Form10J"/>
    <w:qFormat/>
    <w:pPr>
      <w:widowControl/>
      <w:suppressAutoHyphens w:val="true"/>
      <w:bidi w:val="0"/>
      <w:spacing w:before="0" w:after="0"/>
      <w:jc w:val="left"/>
    </w:pPr>
    <w:rPr>
      <w:rFonts w:ascii="Times New Roman" w:hAnsi="Times New Roman" w:eastAsia="Arial" w:cs="Times New Roman"/>
      <w:color w:val="auto"/>
      <w:kern w:val="0"/>
      <w:sz w:val="20"/>
      <w:szCs w:val="20"/>
      <w:lang w:val="fr-FR" w:eastAsia="zh-CN"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val="fr-FR" w:eastAsia="zh-CN"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val="fr-FR" w:eastAsia="zh-CN" w:bidi="ar-SA"/>
    </w:rPr>
  </w:style>
  <w:style w:type="paragraph" w:styleId="Cerfa" w:customStyle="1">
    <w:name w:val="Cerfa"/>
    <w:qFormat/>
    <w:pPr>
      <w:widowControl/>
      <w:suppressAutoHyphens w:val="true"/>
      <w:bidi w:val="0"/>
      <w:spacing w:before="0" w:after="0"/>
      <w:jc w:val="center"/>
    </w:pPr>
    <w:rPr>
      <w:rFonts w:ascii="Times New Roman" w:hAnsi="Times New Roman" w:eastAsia="Arial" w:cs="Times New Roman"/>
      <w:color w:val="auto"/>
      <w:kern w:val="0"/>
      <w:sz w:val="36"/>
      <w:szCs w:val="20"/>
      <w:lang w:val="fr-FR" w:eastAsia="zh-CN" w:bidi="ar-SA"/>
    </w:rPr>
  </w:style>
  <w:style w:type="paragraph" w:styleId="Notedebasdepage">
    <w:name w:val="Footnote Text"/>
    <w:basedOn w:val="Normal"/>
    <w:pPr>
      <w:suppressAutoHyphens w:val="true"/>
      <w:overflowPunct w:val="true"/>
      <w:textAlignment w:val="baseline"/>
    </w:pPr>
    <w:rPr>
      <w:sz w:val="20"/>
      <w:szCs w:val="20"/>
      <w:lang w:val="fr-FR" w:eastAsia="zh-CN"/>
    </w:rPr>
  </w:style>
  <w:style w:type="paragraph" w:styleId="WWCorpsdetexte2" w:customStyle="1">
    <w:name w:val="WW-Corps de texte 2"/>
    <w:basedOn w:val="Normal"/>
    <w:qFormat/>
    <w:pPr>
      <w:suppressAutoHyphens w:val="true"/>
      <w:overflowPunct w:val="true"/>
      <w:jc w:val="center"/>
      <w:textAlignment w:val="baseline"/>
    </w:pPr>
    <w:rPr>
      <w:i/>
      <w:szCs w:val="20"/>
      <w:lang w:val="fr-FR" w:eastAsia="zh-CN"/>
    </w:rPr>
  </w:style>
  <w:style w:type="paragraph" w:styleId="Retraitcorpsdetexte21" w:customStyle="1">
    <w:name w:val="Retrait corps de texte 21"/>
    <w:basedOn w:val="Normal"/>
    <w:qFormat/>
    <w:pPr>
      <w:suppressAutoHyphens w:val="true"/>
      <w:overflowPunct w:val="true"/>
      <w:spacing w:lineRule="auto" w:line="480" w:before="0" w:after="120"/>
      <w:ind w:left="283" w:hanging="0"/>
      <w:jc w:val="both"/>
      <w:textAlignment w:val="baseline"/>
    </w:pPr>
    <w:rPr>
      <w:szCs w:val="20"/>
      <w:lang w:val="fr-FR" w:eastAsia="zh-CN"/>
    </w:rPr>
  </w:style>
  <w:style w:type="paragraph" w:styleId="Retraitcorpsdetexte31" w:customStyle="1">
    <w:name w:val="Retrait corps de texte 31"/>
    <w:basedOn w:val="Normal"/>
    <w:qFormat/>
    <w:pPr>
      <w:suppressAutoHyphens w:val="true"/>
      <w:overflowPunct w:val="true"/>
      <w:spacing w:before="0" w:after="120"/>
      <w:ind w:left="283" w:hanging="0"/>
      <w:jc w:val="both"/>
      <w:textAlignment w:val="baseline"/>
    </w:pPr>
    <w:rPr>
      <w:sz w:val="16"/>
      <w:szCs w:val="16"/>
      <w:lang w:val="fr-FR"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val="fr-FR" w:eastAsia="zh-CN"/>
    </w:rPr>
  </w:style>
  <w:style w:type="paragraph" w:styleId="Niv2" w:customStyle="1">
    <w:name w:val="Niv2"/>
    <w:basedOn w:val="Normal"/>
    <w:next w:val="Normal"/>
    <w:qFormat/>
    <w:pPr>
      <w:spacing w:before="480" w:after="240"/>
      <w:ind w:left="1560" w:hanging="0"/>
    </w:pPr>
    <w:rPr>
      <w:rFonts w:cs="Arial"/>
      <w:b/>
      <w:u w:val="single"/>
      <w:lang w:val="fr-FR"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val="fr-FR"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val="fr-FR"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val="fr-FR" w:eastAsia="zh-CN"/>
    </w:rPr>
  </w:style>
  <w:style w:type="paragraph" w:styleId="BodyText21" w:customStyle="1">
    <w:name w:val="Body Text 21"/>
    <w:basedOn w:val="Normal"/>
    <w:qFormat/>
    <w:pPr>
      <w:suppressAutoHyphens w:val="true"/>
      <w:overflowPunct w:val="true"/>
      <w:jc w:val="both"/>
      <w:textAlignment w:val="baseline"/>
    </w:pPr>
    <w:rPr>
      <w:szCs w:val="20"/>
      <w:lang w:val="fr-FR" w:eastAsia="zh-CN"/>
    </w:rPr>
  </w:style>
  <w:style w:type="paragraph" w:styleId="Contenudetableau" w:customStyle="1">
    <w:name w:val="Contenu de tableau"/>
    <w:basedOn w:val="Corpsdetexte"/>
    <w:qFormat/>
    <w:pPr>
      <w:suppressLineNumbers/>
    </w:pPr>
    <w:rPr/>
  </w:style>
  <w:style w:type="paragraph" w:styleId="Normalcentr1" w:customStyle="1">
    <w:name w:val="Normal centré1"/>
    <w:basedOn w:val="Normal"/>
    <w:qFormat/>
    <w:pPr>
      <w:suppressAutoHyphens w:val="true"/>
      <w:overflowPunct w:val="true"/>
      <w:ind w:left="1560" w:right="-409" w:hanging="0"/>
      <w:jc w:val="both"/>
      <w:textAlignment w:val="baseline"/>
    </w:pPr>
    <w:rPr>
      <w:b/>
      <w:bCs/>
      <w:color w:val="FF0000"/>
      <w:sz w:val="22"/>
      <w:szCs w:val="22"/>
      <w:lang w:val="fr-FR" w:eastAsia="zh-CN"/>
    </w:rPr>
  </w:style>
  <w:style w:type="paragraph" w:styleId="Niv6" w:customStyle="1">
    <w:name w:val="Niv6"/>
    <w:basedOn w:val="Normal"/>
    <w:next w:val="Normal"/>
    <w:qFormat/>
    <w:pPr/>
    <w:rPr>
      <w:rFonts w:ascii="Arial" w:hAnsi="Arial" w:cs="Arial"/>
      <w:sz w:val="20"/>
      <w:lang w:val="fr-FR" w:eastAsia="zh-CN"/>
    </w:rPr>
  </w:style>
  <w:style w:type="paragraph" w:styleId="Style11" w:customStyle="1">
    <w:name w:val="Style1"/>
    <w:basedOn w:val="Normal"/>
    <w:qFormat/>
    <w:pPr>
      <w:shd w:val="clear" w:color="auto" w:fill="E5E5E5"/>
      <w:suppressAutoHyphens w:val="true"/>
      <w:overflowPunct w:val="true"/>
      <w:jc w:val="center"/>
      <w:textAlignment w:val="baseline"/>
    </w:pPr>
    <w:rPr>
      <w:b/>
      <w:spacing w:val="20"/>
      <w:szCs w:val="20"/>
      <w:lang w:val="fr-FR"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true"/>
      <w:jc w:val="center"/>
      <w:textAlignment w:val="baseline"/>
    </w:pPr>
    <w:rPr>
      <w:szCs w:val="20"/>
      <w:lang w:val="fr-FR" w:eastAsia="zh-CN"/>
    </w:rPr>
  </w:style>
  <w:style w:type="paragraph" w:styleId="Titredetableau" w:customStyle="1">
    <w:name w:val="Titre de tableau"/>
    <w:basedOn w:val="Contenudetableau"/>
    <w:qFormat/>
    <w:pPr/>
    <w:rPr>
      <w:bCs/>
      <w:i/>
      <w:iCs/>
    </w:rPr>
  </w:style>
  <w:style w:type="paragraph" w:styleId="TITRE41" w:customStyle="1">
    <w:name w:val="TITRE4"/>
    <w:basedOn w:val="Normal"/>
    <w:qFormat/>
    <w:pPr>
      <w:suppressAutoHyphens w:val="true"/>
      <w:overflowPunct w:val="true"/>
      <w:jc w:val="both"/>
      <w:textAlignment w:val="baseline"/>
    </w:pPr>
    <w:rPr>
      <w:i/>
      <w:szCs w:val="20"/>
      <w:u w:val="single"/>
      <w:lang w:val="fr-FR" w:eastAsia="zh-CN"/>
    </w:rPr>
  </w:style>
  <w:style w:type="paragraph" w:styleId="TITRE51" w:customStyle="1">
    <w:name w:val="TITRE5"/>
    <w:basedOn w:val="Normal"/>
    <w:qFormat/>
    <w:pPr>
      <w:suppressAutoHyphens w:val="true"/>
      <w:overflowPunct w:val="true"/>
      <w:jc w:val="both"/>
      <w:textAlignment w:val="baseline"/>
    </w:pPr>
    <w:rPr>
      <w:szCs w:val="20"/>
      <w:u w:val="single"/>
      <w:lang w:val="fr-FR"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true"/>
      <w:jc w:val="center"/>
      <w:textAlignment w:val="baseline"/>
    </w:pPr>
    <w:rPr>
      <w:b/>
      <w:sz w:val="20"/>
      <w:szCs w:val="20"/>
      <w:lang w:val="fr-FR" w:eastAsia="zh-CN"/>
    </w:rPr>
  </w:style>
  <w:style w:type="paragraph" w:styleId="Contenuducadre" w:customStyle="1">
    <w:name w:val="Contenu du cadre"/>
    <w:basedOn w:val="Corpsdetexte"/>
    <w:qFormat/>
    <w:pPr/>
    <w:rPr/>
  </w:style>
  <w:style w:type="paragraph" w:styleId="Titre11" w:customStyle="1">
    <w:name w:val="Titre1"/>
    <w:basedOn w:val="Normal"/>
    <w:next w:val="Corpsdetexte"/>
    <w:qFormat/>
    <w:pPr>
      <w:keepNext w:val="true"/>
      <w:suppressAutoHyphens w:val="true"/>
      <w:spacing w:before="240" w:after="120"/>
    </w:pPr>
    <w:rPr>
      <w:rFonts w:ascii="Liberation Sans" w:hAnsi="Liberation Sans" w:eastAsia="Lucida Sans Unicode" w:cs="Tahoma"/>
      <w:sz w:val="28"/>
      <w:szCs w:val="28"/>
      <w:lang w:val="fr-FR"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val="fr-FR" w:eastAsia="zh-CN"/>
    </w:rPr>
  </w:style>
  <w:style w:type="paragraph" w:styleId="NormalWeb">
    <w:name w:val="Normal (Web)"/>
    <w:basedOn w:val="Normal"/>
    <w:uiPriority w:val="99"/>
    <w:qFormat/>
    <w:pPr>
      <w:suppressAutoHyphens w:val="true"/>
      <w:spacing w:before="280" w:after="280"/>
    </w:pPr>
    <w:rPr>
      <w:rFonts w:ascii="Arial Unicode MS" w:hAnsi="Arial Unicode MS" w:eastAsia="Arial Unicode MS" w:cs="Arial Unicode MS"/>
      <w:lang w:val="fr-FR" w:eastAsia="zh-CN"/>
    </w:rPr>
  </w:style>
  <w:style w:type="paragraph" w:styleId="Corpsdetexte21" w:customStyle="1">
    <w:name w:val="Corps de texte 21"/>
    <w:basedOn w:val="Normal"/>
    <w:qFormat/>
    <w:pPr>
      <w:suppressAutoHyphens w:val="true"/>
    </w:pPr>
    <w:rPr>
      <w:sz w:val="20"/>
      <w:szCs w:val="20"/>
      <w:lang w:val="fr-FR" w:eastAsia="zh-CN"/>
    </w:rPr>
  </w:style>
  <w:style w:type="paragraph" w:styleId="Interligne" w:customStyle="1">
    <w:name w:val="interligne"/>
    <w:basedOn w:val="Normal"/>
    <w:qFormat/>
    <w:pPr>
      <w:suppressAutoHyphens w:val="true"/>
      <w:spacing w:before="0" w:after="120"/>
      <w:ind w:firstLine="284"/>
      <w:jc w:val="both"/>
    </w:pPr>
    <w:rPr>
      <w:sz w:val="22"/>
      <w:szCs w:val="20"/>
      <w:lang w:val="fr-FR" w:eastAsia="zh-CN"/>
    </w:rPr>
  </w:style>
  <w:style w:type="paragraph" w:styleId="Contenudecadre" w:customStyle="1">
    <w:name w:val="Contenu de cadre"/>
    <w:basedOn w:val="Normal"/>
    <w:qFormat/>
    <w:pPr>
      <w:suppressAutoHyphens w:val="true"/>
      <w:overflowPunct w:val="true"/>
      <w:jc w:val="both"/>
      <w:textAlignment w:val="baseline"/>
    </w:pPr>
    <w:rPr>
      <w:szCs w:val="20"/>
      <w:lang w:val="fr-FR" w:eastAsia="zh-CN"/>
    </w:rPr>
  </w:style>
  <w:style w:type="paragraph" w:styleId="ListParagraph">
    <w:name w:val="List Paragraph"/>
    <w:basedOn w:val="Normal"/>
    <w:uiPriority w:val="34"/>
    <w:qFormat/>
    <w:rsid w:val="00815bb2"/>
    <w:pPr>
      <w:spacing w:before="0" w:after="0"/>
      <w:ind w:left="720" w:hanging="0"/>
      <w:contextualSpacing/>
    </w:pPr>
    <w:rPr/>
  </w:style>
  <w:style w:type="paragraph" w:styleId="Western" w:customStyle="1">
    <w:name w:val="western"/>
    <w:basedOn w:val="Normal"/>
    <w:qFormat/>
    <w:rsid w:val="007950c8"/>
    <w:pPr>
      <w:spacing w:beforeAutospacing="1" w:after="0"/>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LibreOffice/7.2.6.2$Windows_X86_64 LibreOffice_project/b0ec3a565991f7569a5a7f5d24fed7f52653d754</Application>
  <AppVersion>15.0000</AppVersion>
  <Pages>18</Pages>
  <Words>6069</Words>
  <Characters>32325</Characters>
  <CharactersWithSpaces>38112</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2022-04-18T14:41:00Z</dcterms:created>
  <dc:creator>Etude Cheuvreux</dc:creator>
  <dc:description/>
  <dc:language>fr-FR</dc:language>
  <cp:lastModifiedBy>Marjolaine Le Bon</cp:lastModifiedBy>
  <cp:lastPrinted>2021-11-30T08:37:00Z</cp:lastPrinted>
  <dcterms:modified xsi:type="dcterms:W3CDTF">2022-05-11T17:55:23Z</dcterms:modified>
  <cp:revision>11</cp:revision>
  <dc:subject/>
  <dc:title>   </dc:title>
</cp:coreProperties>
</file>

<file path=docProps/custom.xml><?xml version="1.0" encoding="utf-8"?>
<Properties xmlns="http://schemas.openxmlformats.org/officeDocument/2006/custom-properties" xmlns:vt="http://schemas.openxmlformats.org/officeDocument/2006/docPropsVTypes"/>
</file>