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Normal"/>
        <w:jc w:val="center"/>
        <w:rPr/>
      </w:pPr>
      <w:r>
        <w:rPr>
          <w:b/>
          <w:bCs/>
          <w:color w:val="000000"/>
        </w:rPr>
        <w:t>A</w:t>
      </w:r>
      <w:r>
        <w:rPr>
          <w:b/>
          <w:bCs/>
          <w:color w:val="000000"/>
          <w:sz w:val="16"/>
          <w:szCs w:val="16"/>
        </w:rPr>
        <w:t xml:space="preserve">NNEXE </w:t>
      </w:r>
      <w:r>
        <w:rPr>
          <w:b/>
          <w:bCs/>
          <w:color w:val="000000"/>
        </w:rPr>
        <w:t xml:space="preserve">II </w:t>
      </w:r>
      <w:r>
        <w:rPr>
          <w:b/>
          <w:bCs/>
          <w:color w:val="000000"/>
          <w:sz w:val="16"/>
          <w:szCs w:val="16"/>
        </w:rPr>
        <w:t>À L</w:t>
      </w:r>
      <w:r>
        <w:rPr>
          <w:b/>
          <w:bCs/>
          <w:color w:val="000000"/>
        </w:rPr>
        <w:t>’</w:t>
      </w:r>
      <w:r>
        <w:rPr>
          <w:b/>
          <w:bCs/>
          <w:color w:val="000000"/>
          <w:sz w:val="16"/>
          <w:szCs w:val="16"/>
        </w:rPr>
        <w:t xml:space="preserve">ARTICLE </w:t>
      </w:r>
      <w:r>
        <w:rPr>
          <w:b/>
          <w:bCs/>
          <w:color w:val="000000"/>
        </w:rPr>
        <w:t xml:space="preserve">D. 353-90 </w:t>
      </w:r>
      <w:r>
        <w:rPr>
          <w:b/>
          <w:bCs/>
          <w:color w:val="000000"/>
          <w:sz w:val="16"/>
          <w:szCs w:val="16"/>
        </w:rPr>
        <w:t>DU CODE DE LA CONSTRUCTION ET DE L</w:t>
      </w:r>
      <w:r>
        <w:rPr>
          <w:b/>
          <w:bCs/>
          <w:color w:val="000000"/>
        </w:rPr>
        <w:t>’</w:t>
      </w:r>
      <w:r>
        <w:rPr>
          <w:b/>
          <w:bCs/>
          <w:color w:val="000000"/>
          <w:sz w:val="16"/>
          <w:szCs w:val="16"/>
        </w:rPr>
        <w:t>HABITATION</w:t>
      </w:r>
    </w:p>
    <w:p>
      <w:pPr>
        <w:pStyle w:val="Normal"/>
        <w:rPr/>
      </w:pPr>
      <w:r>
        <w:rPr/>
      </w:r>
    </w:p>
    <w:p>
      <w:pPr>
        <w:pStyle w:val="Normal"/>
        <w:jc w:val="center"/>
        <w:rPr/>
      </w:pPr>
      <w:r>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br/>
        <w:t>D. 353-90</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Convention type conclue entre l'</w:t>
      </w:r>
      <w:r>
        <w:rPr>
          <w:rFonts w:cs="TimesNewRomanPSMT" w:ascii="TimesNewRomanPSMT" w:hAnsi="TimesNewRomanPSMT"/>
          <w:lang w:val="fr-FR"/>
        </w:rPr>
        <w:t>ETAT</w:t>
      </w:r>
      <w:r>
        <w:rPr>
          <w:rFonts w:cs="TimesNewRomanPSMT" w:ascii="TimesNewRomanPSMT" w:hAnsi="TimesNewRomanPSMT"/>
        </w:rPr>
        <w:t xml:space="preserve"> et </w:t>
      </w:r>
      <w:bookmarkStart w:id="0" w:name="NomBailleur1"/>
      <w:bookmarkEnd w:id="0"/>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en application des articles L. 353-1 et L. 831-1 (2° ou 3°) du code de la construction et de l'habitation pour </w:t>
      </w:r>
      <w:r>
        <w:rPr>
          <w:rFonts w:cs="TimesNewRomanPSMT" w:ascii="TimesNewRomanPSMT" w:hAnsi="TimesNewRomanPSMT"/>
          <w:lang w:val="fr-FR"/>
        </w:rPr>
        <w:t>le programme</w:t>
      </w:r>
      <w:r>
        <w:rPr>
          <w:rFonts w:cs="TimesNewRomanPSMT" w:ascii="TimesNewRomanPSMT" w:hAnsi="TimesNewRomanPSMT"/>
        </w:rPr>
        <w:t xml:space="preserve"> </w:t>
      </w:r>
      <w:bookmarkStart w:id="1" w:name="NomProgramme1"/>
      <w:bookmarkEnd w:id="1"/>
      <w:r>
        <w:rPr>
          <w:rFonts w:cs="TimesNewRomanPSMT" w:ascii="TimesNewRomanPSMT" w:hAnsi="TimesNewRomanPSMT"/>
        </w:rPr>
        <w:t xml:space="preserve">{{ programme.nom }}, de </w:t>
      </w:r>
      <w:bookmarkStart w:id="2" w:name="NbLogement1"/>
      <w:bookmarkEnd w:id="2"/>
      <w:r>
        <w:rPr>
          <w:rFonts w:cs="TimesNewRomanPSMT" w:ascii="TimesNewRomanPSMT" w:hAnsi="TimesNewRomanPSMT"/>
        </w:rPr>
        <w:t>{{ lot.nb_logements }} logement</w:t>
      </w:r>
      <w:bookmarkStart w:id="3" w:name="Type"/>
      <w:bookmarkEnd w:id="3"/>
      <w:r>
        <w:rPr>
          <w:rFonts w:cs="TimesNewRomanPSMT" w:ascii="TimesNewRomanPSMT" w:hAnsi="TimesNewRomanPSMT"/>
          <w:lang w:val="fr-FR"/>
        </w:rPr>
        <w:t xml:space="preserve">{{lot.nb_logements|pl}} </w:t>
      </w:r>
      <w:r>
        <w:rPr>
          <w:rFonts w:cs="TimesNewRomanPSMT" w:ascii="TimesNewRomanPSMT" w:hAnsi="TimesNewRomanPSMT"/>
        </w:rPr>
        <w:t xml:space="preserve">{{ lot.financement }}, </w:t>
      </w:r>
      <w:bookmarkStart w:id="4" w:name="Adresse1"/>
      <w:bookmarkEnd w:id="4"/>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5" w:name="CodePostal1"/>
      <w:bookmarkEnd w:id="5"/>
      <w:r>
        <w:rPr>
          <w:rFonts w:cs="TimesNewRomanPSMT" w:ascii="TimesNewRomanPSMT" w:hAnsi="TimesNewRomanPSMT"/>
        </w:rPr>
        <w:t xml:space="preserve">{{ programme.code_postal }},  </w:t>
      </w:r>
      <w:bookmarkStart w:id="6" w:name="Ville1"/>
      <w:bookmarkEnd w:id="6"/>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et </w:t>
      </w:r>
      <w:bookmarkStart w:id="7" w:name="NomBailleur2"/>
      <w:bookmarkEnd w:id="7"/>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w:t>
      </w:r>
      <w:r>
        <w:rPr>
          <w:rFonts w:cs="TimesNewRomanPSMT" w:ascii="TimesNewRomanPSMT" w:hAnsi="TimesNewRomanPSMT"/>
          <w:lang w:val="fr-FR"/>
        </w:rPr>
        <w:t xml:space="preserve"> ou et …</w:t>
      </w:r>
      <w:r>
        <w:rPr>
          <w:rFonts w:cs="TimesNewRomanPSMT" w:ascii="TimesNewRomanPSMT" w:hAnsi="TimesNewRomanPSMT"/>
        </w:rPr>
        <w:t xml:space="preserve"> représenté (e) par </w:t>
      </w:r>
      <w:bookmarkStart w:id="8" w:name="NomDG1"/>
      <w:bookmarkEnd w:id="8"/>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_nom }}, </w:t>
      </w:r>
      <w:bookmarkStart w:id="9" w:name="Fonction"/>
      <w:bookmarkEnd w:id="9"/>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_fonction }} (3) agissant en vertu de la délibération du Conseil d’Administration en date du </w:t>
      </w:r>
      <w:bookmarkStart w:id="10" w:name="DateDelib1"/>
      <w:bookmarkEnd w:id="10"/>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_date_deliberation|d }}, inscrit sous le numéro </w:t>
      </w:r>
      <w:bookmarkStart w:id="11" w:name="Siret1"/>
      <w:bookmarkEnd w:id="11"/>
      <w:r>
        <w:rPr>
          <w:rFonts w:cs="TimesNewRomanPSMT" w:ascii="TimesNewRomanPSMT" w:hAnsi="TimesNewRomanPSMT"/>
        </w:rPr>
        <w:t xml:space="preserve">{{ bailleur.siret }}{% if bailleur.capital_social %}, au capital de </w:t>
      </w:r>
      <w:bookmarkStart w:id="12" w:name="Capital1"/>
      <w:bookmarkEnd w:id="12"/>
      <w:r>
        <w:rPr>
          <w:rFonts w:cs="TimesNewRomanPSMT" w:ascii="TimesNewRomanPSMT" w:hAnsi="TimesNewRomanPSMT"/>
        </w:rPr>
        <w:t>{{ bailleur.capital_social</w:t>
      </w:r>
      <w:r>
        <w:rPr>
          <w:rFonts w:cs="TimesNewRomanPSMT" w:ascii="TimesNewRomanPSMT" w:hAnsi="TimesNewRomanPSMT"/>
          <w:lang w:val="fr-FR"/>
        </w:rPr>
        <w:t>|f</w:t>
      </w:r>
      <w:r>
        <w:rPr>
          <w:rFonts w:cs="TimesNewRomanPSMT" w:ascii="TimesNewRomanPSMT" w:hAnsi="TimesNewRomanPSMT"/>
        </w:rPr>
        <w:t xml:space="preserve"> }} </w:t>
      </w:r>
      <w:r>
        <w:rPr>
          <w:rFonts w:cs="TimesNewRomanPSMT" w:ascii="TimesNewRomanPSMT" w:hAnsi="TimesNewRomanPSMT"/>
          <w:lang w:val="fr-FR"/>
        </w:rPr>
        <w:t xml:space="preserve">€ </w:t>
      </w:r>
      <w:r>
        <w:rPr>
          <w:rFonts w:cs="TimesNewRomanPSMT" w:ascii="TimesNewRomanPSMT" w:hAnsi="TimesNewRomanPSMT"/>
        </w:rPr>
        <w:t xml:space="preserve">{% endif %} dont le siège est </w:t>
      </w:r>
      <w:bookmarkStart w:id="13" w:name="Siege1"/>
      <w:bookmarkEnd w:id="13"/>
      <w:r>
        <w:rPr>
          <w:rFonts w:cs="TimesNewRomanPSMT" w:ascii="TimesNewRomanPSMT" w:hAnsi="TimesNewRomanPSMT"/>
        </w:rPr>
        <w:t xml:space="preserve">{{ bailleur.adresse </w:t>
      </w:r>
      <w:r>
        <w:rPr>
          <w:rFonts w:cs="TimesNewRomanPSMT" w:ascii="TimesNewRomanPSMT" w:hAnsi="TimesNewRomanPSMT"/>
          <w:lang w:val="fr-FR"/>
        </w:rPr>
        <w:t>}}</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bailleur.code_postal</w:t>
      </w:r>
      <w:r>
        <w:rPr>
          <w:rFonts w:cs="TimesNewRomanPSMT" w:ascii="TimesNewRomanPSMT" w:hAnsi="TimesNewRomanPSMT"/>
          <w:lang w:val="fr-FR"/>
        </w:rPr>
        <w:t xml:space="preserve"> }} {{ </w:t>
      </w:r>
      <w:r>
        <w:rPr>
          <w:rFonts w:cs="TimesNewRomanPSMT" w:ascii="TimesNewRomanPSMT" w:hAnsi="TimesNewRomanPSMT"/>
        </w:rPr>
        <w:t>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d'autre part,</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I.-Dispositions générales.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1er.</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 pour objet de fixer les droits et les obligations des parties prévus par les articles L. 353-1 à L. 353-12, L. 353-20 et L. 353-21 du code de la construction et de l'habitation pour le programme</w:t>
      </w:r>
      <w:r>
        <w:rPr>
          <w:rFonts w:cs="TimesNewRomanPSMT" w:ascii="TimesNewRomanPSMT" w:hAnsi="TimesNewRomanPSMT"/>
          <w:lang w:val="fr-FR"/>
        </w:rPr>
        <w:t xml:space="preserve"> </w:t>
      </w:r>
      <w:r>
        <w:rPr>
          <w:rFonts w:cs="TimesNewRomanPSMT" w:ascii="TimesNewRomanPSMT" w:hAnsi="TimesNewRomanPSMT"/>
        </w:rPr>
        <w:t>{{ programme.nom }} de {{ lot.nb_logements }} logement</w:t>
      </w:r>
      <w:r>
        <w:rPr>
          <w:rFonts w:cs="TimesNewRomanPSMT" w:ascii="TimesNewRomanPSMT" w:hAnsi="TimesNewRomanPSMT"/>
          <w:lang w:val="fr-FR"/>
        </w:rPr>
        <w:t>{{lot.nb_logements|pl }}</w:t>
      </w:r>
      <w:r>
        <w:rPr>
          <w:rFonts w:cs="TimesNewRomanPSMT" w:ascii="TimesNewRomanPSMT" w:hAnsi="TimesNewRomanPSMT"/>
        </w:rPr>
        <w:t xml:space="preserve"> {{ lot.financement }} à {{ programme.adresse</w:t>
      </w:r>
      <w:r>
        <w:rPr>
          <w:rFonts w:cs="TimesNewRomanPSMT" w:ascii="TimesNewRomanPSMT" w:hAnsi="TimesNewRomanPSMT"/>
          <w:lang w:val="fr-FR"/>
        </w:rPr>
        <w:t>|inline_text_multiline</w:t>
      </w:r>
      <w:r>
        <w:rPr>
          <w:rFonts w:cs="TimesNewRomanPSMT" w:ascii="TimesNewRomanPSMT" w:hAnsi="TimesNewRomanPSMT"/>
        </w:rPr>
        <w:t xml:space="preserve"> }} à {{ programme.code_postal }}, {{ programme.ville }} (2), décrit plus précisément dans le document joint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programme concerne des logements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lang w:val="fr-FR"/>
        </w:rPr>
      </w:pPr>
      <w:r>
        <w:rPr>
          <w:rFonts w:cs="TimesNewRomanPSMT" w:ascii="TimesNewRomanPSMT" w:hAnsi="TimesNewRomanPSMT"/>
          <w:lang w:val="fr-FR"/>
        </w:rPr>
        <w:t>{% if  convention.type2_lgts_concernes_option1 %}</w:t>
      </w:r>
      <w:r>
        <w:rPr>
          <w:rFonts w:cs="TimesNewRomanPSMT" w:ascii="TimesNewRomanPSMT" w:hAnsi="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ascii="TimesNewRomanPSMT" w:hAnsi="TimesNewRomanPSMT"/>
          <w:lang w:val="fr-FR"/>
        </w:rPr>
        <w:t>{% else %}</w:t>
      </w:r>
      <w:r>
        <w:rPr>
          <w:rFonts w:cs="TimesNewRomanPSMT" w:ascii="TimesNewRomanPSMT" w:hAnsi="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convention.type2_lgts_concernes_option2 %}</w:t>
      </w:r>
      <w:r>
        <w:rPr>
          <w:rFonts w:cs="TimesNewRomanPSMT" w:ascii="TimesNewRomanPSMT" w:hAnsi="TimesNewRomanPSMT"/>
        </w:rPr>
        <w:t>2° définis au II de l'article D. 331-1 du code de la construction et de l'habitation et construits, améliorés, acquis, acquis et améliorés par les maîtres d'ouvrage mentionnés au 3° ou 4° de l'article D. 331-14 du même code (4) ;</w:t>
      </w:r>
      <w:r>
        <w:rPr>
          <w:rFonts w:cs="TimesNewRomanPSMT" w:ascii="TimesNewRomanPSMT" w:hAnsi="TimesNewRomanPSMT"/>
          <w:lang w:val="fr-FR"/>
        </w:rPr>
        <w:t>{% else %}</w:t>
      </w:r>
      <w:r>
        <w:rPr>
          <w:rFonts w:cs="TimesNewRomanPSMT" w:ascii="TimesNewRomanPSMT" w:hAnsi="TimesNewRomanPSMT"/>
          <w:strike/>
        </w:rPr>
        <w:t>2° définis au II de l'article D. 331-1 du code de la construction et de l'habitation et construits, améliorés, acquis, acquis et améliorés par les maîtres d'ouvrage mentionnés au 3° ou 4° de l'article D. 331-14 du même code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convention.type2_lgts_concernes_option3 %}</w:t>
      </w:r>
      <w:r>
        <w:rPr>
          <w:rFonts w:cs="TimesNewRomanPSMT" w:ascii="TimesNewRomanPSMT" w:hAnsi="TimesNewRomanPSMT"/>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ascii="TimesNewRomanPSMT" w:hAnsi="TimesNewRomanPSMT"/>
          <w:lang w:val="fr-FR"/>
        </w:rPr>
        <w:t>{% else %}</w:t>
      </w:r>
      <w:r>
        <w:rPr>
          <w:rFonts w:cs="TimesNewRomanPSMT" w:ascii="TimesNewRomanPSMT" w:hAnsi="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convention.type2_lgts_concernes_option4 %}</w:t>
      </w:r>
      <w:r>
        <w:rPr>
          <w:rFonts w:cs="TimesNewRomanPSMT" w:ascii="TimesNewRomanPSMT" w:hAnsi="TimesNewRomanPSMT"/>
        </w:rPr>
        <w:t>4° donnant lieu pour leur amélioration à une subvention de l'Etat définie par les articles D. 323-1 à D. 323-11 du code de la construction et de l'habitation (4) ;</w:t>
      </w:r>
      <w:r>
        <w:rPr>
          <w:rFonts w:cs="TimesNewRomanPSMT" w:ascii="TimesNewRomanPSMT" w:hAnsi="TimesNewRomanPSMT"/>
          <w:lang w:val="fr-FR"/>
        </w:rPr>
        <w:t>{% else %}</w:t>
      </w:r>
      <w:r>
        <w:rPr>
          <w:rFonts w:cs="TimesNewRomanPSMT" w:ascii="TimesNewRomanPSMT" w:hAnsi="TimesNewRomanPSMT"/>
          <w:strike/>
        </w:rPr>
        <w:t>4° donnant lieu pour leur amélioration à une subvention de l'Etat définie par les articles D. 323-1 à D. 323-11 du code de la construction et de l'habitation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convention.type2_lgts_concernes_option5 %}</w:t>
      </w:r>
      <w:r>
        <w:rPr>
          <w:rFonts w:cs="TimesNewRomanPSMT" w:ascii="TimesNewRomanPSMT" w:hAnsi="TimesNewRomanPSMT"/>
        </w:rPr>
        <w:t>5° acquis et améliorés par les collectivités locales ou leurs groupements et bénéficiant des subventions pour réaliser les opérations prévues au 4° de l'article D. 331-14 précité (4) ;</w:t>
      </w:r>
      <w:r>
        <w:rPr>
          <w:rFonts w:cs="TimesNewRomanPSMT" w:ascii="TimesNewRomanPSMT" w:hAnsi="TimesNewRomanPSMT"/>
          <w:lang w:val="fr-FR"/>
        </w:rPr>
        <w:t>{% else %}</w:t>
      </w:r>
      <w:r>
        <w:rPr>
          <w:rFonts w:cs="TimesNewRomanPSMT" w:ascii="TimesNewRomanPSMT" w:hAnsi="TimesNewRomanPSMT"/>
          <w:strike/>
        </w:rPr>
        <w:t>5° acquis et améliorés par les collectivités locales ou leurs groupements et bénéficiant des subventions pour réaliser les opérations prévues au 4° de l'article D. 331-14 précité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convention.type2_lgts_concernes_option6 %}</w:t>
      </w:r>
      <w:r>
        <w:rPr>
          <w:rFonts w:cs="TimesNewRomanPSMT" w:ascii="TimesNewRomanPSMT" w:hAnsi="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ascii="TimesNewRomanPSMT" w:hAnsi="TimesNewRomanPSMT"/>
          <w:lang w:val="fr-FR"/>
        </w:rPr>
        <w:t>{% else %}</w:t>
      </w:r>
      <w:r>
        <w:rPr>
          <w:rFonts w:cs="TimesNewRomanPSMT" w:ascii="TimesNewRomanPSMT" w:hAnsi="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convention.type2_lgts_concernes_option7 %}</w:t>
      </w:r>
      <w:r>
        <w:rPr>
          <w:rFonts w:cs="TimesNewRomanPSMT" w:ascii="TimesNewRomanPSMT" w:hAnsi="TimesNewRomanPSMT"/>
        </w:rPr>
        <w:t>7° appartenant à l'association foncière mentionnée à l'article L. 313-34 du code de la construction et de l'habitation ou à l'une de ses filiales (4) ;</w:t>
      </w:r>
      <w:r>
        <w:rPr>
          <w:rFonts w:cs="TimesNewRomanPSMT" w:ascii="TimesNewRomanPSMT" w:hAnsi="TimesNewRomanPSMT"/>
          <w:lang w:val="fr-FR"/>
        </w:rPr>
        <w:t>{% else %}</w:t>
      </w:r>
      <w:r>
        <w:rPr>
          <w:rFonts w:cs="TimesNewRomanPSMT" w:ascii="TimesNewRomanPSMT" w:hAnsi="TimesNewRomanPSMT"/>
          <w:strike/>
        </w:rPr>
        <w:t>7° appartenant à l'association foncière mentionnée à l'article L. 313-34 du code de la construction et de l'habitation ou à l'une de ses filiales (4) ;</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convention.type2_lgts_concernes_option8 %}</w:t>
      </w:r>
      <w:r>
        <w:rPr>
          <w:rFonts w:cs="TimesNewRomanPSMT" w:ascii="TimesNewRomanPSMT" w:hAnsi="TimesNewRomanPSMT"/>
        </w:rPr>
        <w:t>8° satisfaisant aux conditions fixées par l'article L. 831-1 (2°) du code de la construction et de l'habitation (4).</w:t>
      </w:r>
      <w:r>
        <w:rPr>
          <w:rFonts w:cs="TimesNewRomanPSMT" w:ascii="TimesNewRomanPSMT" w:hAnsi="TimesNewRomanPSMT"/>
          <w:lang w:val="fr-FR"/>
        </w:rPr>
        <w:t>{% else %}</w:t>
      </w:r>
      <w:r>
        <w:rPr>
          <w:rFonts w:cs="TimesNewRomanPSMT" w:ascii="TimesNewRomanPSMT" w:hAnsi="TimesNewRomanPSMT"/>
          <w:strike/>
        </w:rPr>
        <w:t>8° satisfaisant aux conditions fixées par l'article L. 831-1 (2°) du code de la construction et de l'habitation (4).</w:t>
      </w: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 xml:space="preserve">Prise d'effet </w:t>
      </w:r>
      <w:r>
        <w:rPr>
          <w:rFonts w:cs="TimesNewRomanPSMT" w:ascii="TimesNewRomanPSMT" w:hAnsi="TimesNewRomanPSMT"/>
          <w:i/>
          <w:iCs/>
          <w:lang w:val="fr-FR"/>
        </w:rPr>
        <w:t>et d</w:t>
      </w:r>
      <w:r>
        <w:rPr>
          <w:rFonts w:cs="TimesNewRomanPSMT" w:ascii="TimesNewRomanPSMT" w:hAnsi="TimesNewRomanPSMT"/>
          <w:i/>
          <w:iCs/>
        </w:rPr>
        <w:t>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ainsi que ses avenants éventuels prennent effet à la date de leur publication au fichier immobilier (ou de leur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expire le {{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3.</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Mutations.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est transférée de plein droit aux propriétaires successifs du ou des logements en application de l'article L. 353-4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est jointe à tout acte de mutation. Le changement de propriétaire donne lieu à la signature d'un avenant, publié dans les conditions de l'article 26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rFonts w:ascii="TimesNewRomanPSMT" w:hAnsi="TimesNewRomanPSMT" w:cs="TimesNewRomanPSMT"/>
        </w:rPr>
      </w:pPr>
      <w:r>
        <w:rPr>
          <w:rFonts w:cs="TimesNewRomanPSMT" w:ascii="TimesNewRomanPSMT" w:hAnsi="TimesNewRomanPSMT"/>
        </w:rPr>
        <w:t>Article 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Mise en gestion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7.</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faisant l'objet de la présente convention sont maintenus à usage locatif jusqu'à la date fixée pour son expiration.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w:t>
      </w:r>
      <w:r>
        <w:rPr>
          <w:rFonts w:cs="TimesNewRomanPSMT" w:ascii="TimesNewRomanPSMT" w:hAnsi="TimesNewRomanPSMT"/>
          <w:lang w:val="fr-FR"/>
        </w:rPr>
        <w:t xml:space="preserve"> </w:t>
      </w:r>
      <w:r>
        <w:rPr>
          <w:rFonts w:cs="TimesNewRomanPSMT" w:ascii="TimesNewRomanPSMT" w:hAnsi="TimesNewRomanPSMT"/>
        </w:rPr>
        <w:t>Conditions de location.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pPr>
        <w:pStyle w:val="Normal"/>
        <w:jc w:val="both"/>
        <w:rPr>
          <w:rFonts w:ascii="TimesNewRomanPSMT" w:hAnsi="TimesNewRomanPSMT" w:cs="TimesNewRomanPSMT"/>
        </w:rPr>
      </w:pPr>
      <w:r>
        <w:rPr>
          <w:rFonts w:cs="TimesNewRomanPSMT" w:ascii="TimesNewRomanPSMT" w:hAnsi="TimesNewRomanPSMT"/>
        </w:rPr>
        <w:t>Ils ne peuvent être loués ou occupés à quelque titre que ce soit par :</w:t>
      </w:r>
    </w:p>
    <w:p>
      <w:pPr>
        <w:pStyle w:val="Normal"/>
        <w:jc w:val="both"/>
        <w:rPr>
          <w:rFonts w:ascii="TimesNewRomanPSMT" w:hAnsi="TimesNewRomanPSMT" w:cs="TimesNewRomanPSMT"/>
        </w:rPr>
      </w:pPr>
      <w:r>
        <w:rPr>
          <w:rFonts w:cs="TimesNewRomanPSMT" w:ascii="TimesNewRomanPSMT" w:hAnsi="TimesNewRomanPSMT"/>
        </w:rPr>
        <w:t xml:space="preserve">    • </w:t>
      </w:r>
      <w:r>
        <w:rPr>
          <w:rFonts w:cs="TimesNewRomanPSMT" w:ascii="TimesNewRomanPSMT" w:hAnsi="TimesNewRomanPSMT"/>
        </w:rPr>
        <w:t>les ascendants ou les descendants du signataire de la convention ;</w:t>
      </w:r>
    </w:p>
    <w:p>
      <w:pPr>
        <w:pStyle w:val="Normal"/>
        <w:jc w:val="both"/>
        <w:rPr>
          <w:rFonts w:ascii="TimesNewRomanPSMT" w:hAnsi="TimesNewRomanPSMT" w:cs="TimesNewRomanPSMT"/>
        </w:rPr>
      </w:pPr>
      <w:r>
        <w:rPr>
          <w:rFonts w:cs="TimesNewRomanPSMT" w:ascii="TimesNewRomanPSMT" w:hAnsi="TimesNewRomanPSMT"/>
        </w:rPr>
        <w:t xml:space="preserve">    • </w:t>
      </w:r>
      <w:r>
        <w:rPr>
          <w:rFonts w:cs="TimesNewRomanPSMT" w:ascii="TimesNewRomanPSMT" w:hAnsi="TimesNewRomanPSMT"/>
        </w:rPr>
        <w:t>ceux de son conjoint, de son concubin ou de son partenaire lié par un pacte civil de solidarité ;- son conjoint, son concubin ou son partenaire lié par un pacte civil de solidarité.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Ressources.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Mixité sociale.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 </w:t>
      </w:r>
      <w:bookmarkStart w:id="14" w:name="Mix3091"/>
      <w:bookmarkEnd w:id="14"/>
      <w:r>
        <w:rPr>
          <w:rFonts w:cs="TimesNewRomanPSMT" w:ascii="TimesNewRomanPSMT" w:hAnsi="TimesNewRomanPSMT"/>
        </w:rPr>
        <w:t xml:space="preserve">{{ mixPLUSsup10_30pc }} (5) logement{{mixPLUSsup10_30pc|pl}}, doivent être attribués à des ménages dont les ressources n'excèdent pas le plafond fixé au I de l'article D. 331-12 précité pour l'attribution des logements sociaux. Toutefois, lorsque l'opération ainsi financée comporte moins de 10 logements, au moins 30 % des logements, soit </w:t>
      </w:r>
      <w:bookmarkStart w:id="15" w:name="Mix3092"/>
      <w:bookmarkEnd w:id="15"/>
      <w:r>
        <w:rPr>
          <w:rFonts w:cs="TimesNewRomanPSMT" w:ascii="TimesNewRomanPSMT" w:hAnsi="TimesNewRomanPSMT"/>
        </w:rPr>
        <w:t>{{ mixPLUSinf10_30pc }} logement{{mixPLUSinf10_30pc|pl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la date de publication de la convention ou à la date d'achèvement des travaux, en sus des 30 % de logements ci-dessus mentionnés, le bailleur s'engage, compte tenu de la demande locale, que visent notamment à satisfaire le plan d'action départemental pour le logement et l’hébergement des personnes défavorisées, à louer {{ lot.lgts_mixite_sociale_negocies_display() }} (6)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 331-12 précité pour l'attribution des logements sociaux jusqu'à ce que le bailleur établisse que l'engagement est respecté à nouveau.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 </w:t>
      </w:r>
      <w:bookmarkStart w:id="16" w:name="Mix1091"/>
      <w:bookmarkEnd w:id="16"/>
      <w:r>
        <w:rPr>
          <w:rFonts w:cs="TimesNewRomanPSMT" w:ascii="TimesNewRomanPSMT" w:hAnsi="TimesNewRomanPSMT"/>
        </w:rPr>
        <w:t>{{ mixPLUSinf10_10pc }} logement{{mixPLUSinf10_10pc|pl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c) Lorsque les logements appartiennent à l'association foncière mentionnée à l'article L. 313-34 du code de la construction et de l'habitation ou à l'une de ses filiales, le bailleur s'engage à louer, lors de la mise en service de l'immeuble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 (6) logements au moins à des ménages dont les ressources n'excèdent pas 60 % des plafonds fixés pour l'attribution des logements appartenant aux organismes d'habitations à loyer modéré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 (6) logements au plus à des ménages dont les ressources excèdent les plafonds fixés pour l'attribution des logements appartenant aux organismes d'habitations à loyer modéré, dans la limite de 130 % de ces plafonds.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bailleur s'engage à attribuer tous les logements proposés à la location conformément à cette répartition.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pPr>
        <w:pStyle w:val="Normal"/>
        <w:rPr/>
      </w:pPr>
      <w:r>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Le montant du loyer maximum mentionné à l'article D. 353-16 du code de la construction et de l’habitation est fixé à </w:t>
      </w:r>
      <w:bookmarkStart w:id="17" w:name="Loyer1"/>
      <w:bookmarkEnd w:id="17"/>
      <w:r>
        <w:rPr>
          <w:rFonts w:cs="TimesNewRomanPSMT" w:ascii="TimesNewRomanPSMT" w:hAnsi="TimesNewRomanPSMT"/>
        </w:rPr>
        <w:t xml:space="preserve">{{ loyer_m2|f }} € le mètre carré par </w:t>
      </w:r>
      <w:r>
        <w:rPr>
          <w:rFonts w:cs="TimesNewRomanPSMT" w:ascii="TimesNewRomanPSMT" w:hAnsi="TimesNewRomanPSMT"/>
          <w:lang w:val="fr-FR"/>
        </w:rPr>
        <w:t>mois</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montant est majoré de 33 % pour les logements qui ont été attribués dans les conditions du b du 3° de l'article </w:t>
      </w:r>
      <w:r>
        <w:rPr>
          <w:rFonts w:cs="TimesNewRomanPSMT" w:ascii="TimesNewRomanPSMT" w:hAnsi="TimesNewRomanPSMT"/>
          <w:lang w:val="fr-FR"/>
        </w:rPr>
        <w:t>7</w:t>
      </w:r>
      <w:r>
        <w:rPr>
          <w:rFonts w:cs="TimesNewRomanPSMT" w:ascii="TimesNewRomanPSMT" w:hAnsi="TimesNewRomanPSMT"/>
        </w:rPr>
        <w:t xml:space="preserve">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Lorsque les logements appartiennent à l'association foncière mentionnée à l'article L. 313-34 précité ou à l'une de ses filiales, le loyer maximum est fixé à </w:t>
      </w:r>
      <w:r>
        <w:rPr>
          <w:rFonts w:cs="TimesNewRomanPSMT" w:ascii="TimesNewRomanPSMT" w:hAnsi="TimesNewRomanPSMT"/>
          <w:lang w:val="fr-FR"/>
        </w:rPr>
        <w:t>…</w:t>
      </w:r>
      <w:r>
        <w:rPr>
          <w:rFonts w:cs="TimesNewRomanPSMT" w:ascii="TimesNewRomanPSMT" w:hAnsi="TimesNewRomanPSMT"/>
        </w:rPr>
        <w:t xml:space="preserve"> € par mètre carré de surface utile pour les locataires dont les ressources n'excèdent pas 60 % des plafonds fixés pour l'attribution des logements appartenant aux organismes d'habitations à loyer modéré.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pPr>
        <w:pStyle w:val="Normal"/>
        <w:jc w:val="both"/>
        <w:rPr>
          <w:rFonts w:ascii="TimesNewRomanPSMT" w:hAnsi="TimesNewRomanPSMT" w:cs="TimesNewRomanPSMT"/>
        </w:rPr>
      </w:pPr>
      <w:r>
        <w:rPr>
          <w:rFonts w:cs="TimesNewRomanPSMT" w:ascii="TimesNewRomanPSMT" w:hAnsi="TimesNewRomanPSMT"/>
        </w:rPr>
        <w:t>Les loyers maximums sont révisés chaque année, le 1er janvier, dans les conditions prévues à l'article L. 353-9-2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NewRomanPSMT" w:hAnsi="TimesNewRomanPSMT"/>
          <w:b/>
          <w:bCs/>
          <w:lang w:val="fr-FR"/>
        </w:rPr>
        <w:t>{{ lot.loyer_derogatoire|f }}</w:t>
      </w:r>
      <w:r>
        <w:rPr>
          <w:rFonts w:cs="TimesNewRomanPSMT" w:ascii="TimesNewRomanPSMT" w:hAnsi="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cs="TimesNewRomanPSMT" w:ascii="TimesNewRomanPSMT" w:hAnsi="TimesNewRomanPSMT"/>
          <w:lang w:val="fr-FR"/>
        </w:rPr>
        <w:t>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9.</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conventionné, dont la valeur est fixée au mètre carré, ne peut excéder le loyer maximum défini dans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9</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cs="TimesNewRomanPSMT" w:ascii="TimesNewRomanPSMT" w:hAnsi="TimesNewRomanPSMT"/>
          <w:lang w:val="fr-FR"/>
        </w:rPr>
        <w:t>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III.-Engagements du bailleur à l'égard des locataires.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w:t>
      </w:r>
      <w:r>
        <w:rPr>
          <w:rFonts w:cs="TimesNewRomanPSMT" w:ascii="TimesNewRomanPSMT" w:hAnsi="TimesNewRomanPSMT"/>
          <w:lang w:val="fr-FR"/>
        </w:rPr>
        <w:t>0</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Établissement d'un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à l'entrée en vigueur de la présente convention, le logement est vacant, le bail conclu doit être conforme à la présente convention. Une copie de la convention ainsi qu'un formulaire de demande d'APL y sont annexés.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bail conforme à cette convention qui reproduit en caractères très apparents les dispositions de l'article L. 353-7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ce projet de bail sont annexés une copie de la convention, une notice d'information relative à l'APL et les éléments relatifs au barème de cette aide.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Aux occupants de bonne foi, il sera concomitamment envoyé une proposition de bail de sortie de la loi du 1er septembre 1948 précitée, en application de l'article 28 de la loi n° 86-1290 du 23 décembre 1986.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11.</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Prise d'effet du bail conforme à la convention dans le cas où le locataire est titulaire d'un bail en cours.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projet de bail est notifié au locataire par lettre recommandée avec accusé de réception ou par acte extrajudiciaire.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 En cas d'acceptation, le locataire est tenu par les clauses de son ancien contrat et, notamment, celles relatives au loyer, jusqu'à l'entrée en vigueur du nouveau bail.</w:t>
      </w:r>
    </w:p>
    <w:p>
      <w:pPr>
        <w:pStyle w:val="Normal"/>
        <w:jc w:val="both"/>
        <w:rPr>
          <w:rFonts w:ascii="TimesNewRomanPSMT" w:hAnsi="TimesNewRomanPSMT" w:cs="TimesNewRomanPSMT"/>
        </w:rPr>
      </w:pPr>
      <w:r>
        <w:rPr>
          <w:rFonts w:cs="TimesNewRomanPSMT" w:ascii="TimesNewRomanPSMT" w:hAnsi="TimesNewRomanPSMT"/>
        </w:rPr>
        <w:t>Celui-ci prend effet, lorsque la convention ne prévoit pas de travaux, à compter de la date de son acceptation par le locataire après publication de la convention au fichier immobilier ou son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 prend effet, lorsque la convention prévoit des travaux, à compter de la date d'achèvement de l'ensemble des travaux concernant la tranche dans laquelle est compris le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ciaprès.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pPr>
        <w:pStyle w:val="Normal"/>
        <w:jc w:val="both"/>
        <w:rPr>
          <w:rFonts w:ascii="TimesNewRomanPSMT" w:hAnsi="TimesNewRomanPSMT" w:cs="TimesNewRomanPSMT"/>
        </w:rPr>
      </w:pPr>
      <w:r>
        <w:rPr>
          <w:rFonts w:cs="TimesNewRomanPSMT" w:ascii="TimesNewRomanPSMT" w:hAnsi="TimesNewRomanPSMT"/>
        </w:rPr>
        <w:t>Le locataire n'a pas droit à l'APL et le bailleur est admis à demander une révision de ses engagements contractuels ou le report de leurs effets dans les conditions prévues à l'article L. 353-7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12.</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Prise d'effet du bail conforme à la convention pour les occupants de bonne foi pouvant se prévaloir des dispositions de la loi n° 48-1360 du 1er septembre 1948.</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ne prévoyant pas de travaux, le bail entre en vigueur à la date de son acceptation par l'occupant de bonne foi après publication de la convention au fichier immobilier ou son inscription au livre foncier. (7)</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Jusqu'à la date d'achèvement des travaux ainsi constaté, l'occupant de bonne foi continue à occuper les lieux aux conditions de la loi du 1er septembre 1948 précitée.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dispositions de la loi du 1er septembre 1948 précitée cessent d'être applicables au logement considéré à l'expiration du délai de six mois susmentionné ou à la date de signature du bail proposé à l'occupant de bonne foi, sous réserve des dispositions de l'article L. 353-9 du code de la construction et de l'habitation applicables dans les conditions précisées à l'article 14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Faute d'acceptation du bail par l'occupant de bonne foi pouvant se prévaloir des dispositions de la loi du 1er septembre 1948 précitée, l'occupant ne bénéficie d'aucun titre d'occupation à l'expiration du délai de six mois susmentionné.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13.</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 fait l'objet d'une notification aux intéressés par lettre recommandée avec demande d'avis de réception ou pour les locataires déjà dans les lieux d'une remise contre décharge.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14.</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Logements antérieurement soumis à la loi n° 48-1360 du 1er septembre 1948.</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qu'il soit âgé d'au moins soixante-cinq ans ou d'au moins soixante ans en cas d'inaptitude au travailou lorsque à cet âge il bénéficie d'une retraite et que ses ressources annuelles n'excèdent pas le montant visé à l'article 22 bis de la loi du 1er septembre 1948 précitée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que les dispositions de la loi du 1er septembre 1948 précitée soient encore applicables au logementet au locataire ou occupant en vertu de mesures particulières prises en application de ladite loi.</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locataire peut continuer à bénéficier de l'APL et le loyer exigible et son mode de révision sont ceux qui étaient fixés par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Dans un souci d'information du locataire, le bail mentionné à l'article 11 doit reproduire en caractères très apparents le texte de l'article L. 353-9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15.</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Information des locataires en cas de 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Information des locataires en cas de modification ou de résiliation de la convention.</w:t>
      </w:r>
    </w:p>
    <w:p>
      <w:pPr>
        <w:pStyle w:val="Normal"/>
        <w:jc w:val="center"/>
        <w:rPr>
          <w:rFonts w:ascii="TimesNewRomanPSMT" w:hAnsi="TimesNewRomanPSMT" w:cs="TimesNewRomanPSMT"/>
        </w:rPr>
      </w:pPr>
      <w:r>
        <w:rPr>
          <w:rFonts w:cs="TimesNewRomanPSMT" w:ascii="TimesNewRomanPSMT" w:hAnsi="TimesNewRomanPSMT"/>
          <w:i/>
          <w:iCs/>
        </w:rPr>
        <w:t>Le bailleur informe les locataires de toute modification apportée à la convention ayant des incidences sur leurs relations contractuelles.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17.</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Durée du contrat de location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contrat de location est conclu pour une durée de trois ans.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des treizième à vingt-deuxième alinéas du I de l'article 15 de la loi du 6 juillet 1989 précitée.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18.</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Modalités du paiement du loyer. Le loyer est payé mensuellement à terme échu.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19.</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Dépôt de garantie.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b/>
          <w:b/>
          <w:bCs/>
        </w:rPr>
      </w:pPr>
      <w:r>
        <w:rPr>
          <w:rFonts w:cs="TimesNewRomanPSMT" w:ascii="TimesNewRomanPSMT" w:hAnsi="TimesNewRomanPSMT"/>
          <w:b/>
          <w:bCs/>
        </w:rPr>
        <w:t>IV. - Dispositions spécifiques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20.</w:t>
      </w:r>
    </w:p>
    <w:p>
      <w:pPr>
        <w:pStyle w:val="Normal"/>
        <w:jc w:val="center"/>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Régime des rapports locatifs applicables aux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stipulations particulières suivantes s’appliquent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Conditions de location des logements de la résidence universitaire.</w:t>
      </w:r>
    </w:p>
    <w:p>
      <w:pPr>
        <w:pStyle w:val="Normal"/>
        <w:jc w:val="both"/>
        <w:rPr>
          <w:rFonts w:ascii="TimesNewRomanPSMT" w:hAnsi="TimesNewRomanPSMT" w:cs="TimesNewRomanPSMT"/>
        </w:rPr>
      </w:pPr>
      <w:r>
        <w:rPr>
          <w:rFonts w:cs="TimesNewRomanPSMT"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Modalités de fixation et de révision du loyer pratiqué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Il ne peut donner lieu à révision en cours de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Durée du contrat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Forfait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21.</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Renonciation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b/>
          <w:b/>
          <w:bCs/>
        </w:rPr>
      </w:pPr>
      <w:r>
        <w:rPr>
          <w:rFonts w:cs="TimesNewRomanPSMT" w:ascii="TimesNewRomanPSMT" w:hAnsi="TimesNewRomanPSMT"/>
          <w:b/>
          <w:bCs/>
        </w:rPr>
        <w:t>V. - Engagements du bailleur à l'égard des organismes chargés de la liquidation et du paiement de l'APL.</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22.</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Obligations générales.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Pr>
          <w:rFonts w:cs="TimesNewRomanPSMT" w:ascii="TimesNewRomanPSMT" w:hAnsi="TimesNewRomanPSMT"/>
          <w:lang w:val="fr-FR"/>
        </w:rPr>
        <w:t xml:space="preserve"> </w:t>
      </w:r>
      <w:r>
        <w:rPr>
          <w:rFonts w:cs="TimesNewRomanPSMT" w:ascii="TimesNewRomanPSMT" w:hAnsi="TimesNewRomanPSMT"/>
        </w:rPr>
        <w:t>En dernier ressort, il renseigne dès l'entrée en vigueur de la convention pour chaque locataire demandeur de l'APL, la partie de l'imprimé de demande d'APL qui le concerne.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ListParagraph"/>
        <w:numPr>
          <w:ilvl w:val="0"/>
          <w:numId w:val="3"/>
        </w:numPr>
        <w:jc w:val="both"/>
        <w:rPr>
          <w:rFonts w:ascii="TimesNewRomanPSMT" w:hAnsi="TimesNewRomanPSMT" w:cs="TimesNewRomanPSMT"/>
        </w:rPr>
      </w:pPr>
      <w:r>
        <w:rPr>
          <w:rFonts w:cs="TimesNewRomanPSMT" w:ascii="TimesNewRomanPSMT" w:hAnsi="TimesNewRomanPSMT"/>
        </w:rPr>
        <w:t>une attestation concernant le montant du loyer applicable à chaque logement concerné par laprésente convention, à compter du 1er juillet de l'année en cours</w:t>
      </w:r>
      <w:r>
        <w:rPr>
          <w:rFonts w:cs="TimesNewRomanPSMT" w:ascii="TimesNewRomanPSMT" w:hAnsi="TimesNewRomanPSMT"/>
          <w:lang w:val="fr-FR"/>
        </w:rPr>
        <w:t> </w:t>
      </w:r>
      <w:r>
        <w:rPr>
          <w:rFonts w:cs="TimesNewRomanPSMT" w:ascii="TimesNewRomanPSMT" w:hAnsi="TimesNewRomanPSMT"/>
        </w:rPr>
        <w:t>;</w:t>
      </w:r>
    </w:p>
    <w:p>
      <w:pPr>
        <w:pStyle w:val="ListParagraph"/>
        <w:numPr>
          <w:ilvl w:val="0"/>
          <w:numId w:val="3"/>
        </w:numPr>
        <w:jc w:val="both"/>
        <w:rPr>
          <w:rFonts w:ascii="TimesNewRomanPSMT" w:hAnsi="TimesNewRomanPSMT" w:cs="TimesNewRomanPSMT"/>
        </w:rPr>
      </w:pPr>
      <w:r>
        <w:rPr>
          <w:rFonts w:cs="TimesNewRomanPSMT"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Ces transmissions peuvent s’effectuer grâce à un dispositif de collecte dématérialisé.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23.</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Obligations en cas d’impayé.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b/>
          <w:b/>
          <w:bCs/>
        </w:rPr>
      </w:pPr>
      <w:r>
        <w:rPr>
          <w:rFonts w:cs="TimesNewRomanPSMT" w:ascii="TimesNewRomanPSMT" w:hAnsi="TimesNewRomanPSMT"/>
          <w:b/>
          <w:bCs/>
        </w:rPr>
        <w:t>VI. - Dispositions relatives à l'application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24.</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25.</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Inexécution de la convention par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En application de l'article L. 353-2 du code de la construction et de l'habitation, des sanctions administratives peuvent être mises en œuvre.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Lorsque le préfet écarte ces observations, sa décision doit être motivée.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Dans ce cas, il est fait application des dispositions prévues à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26.</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Publication.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rPr>
        <w:t>Article 27.</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i/>
          <w:i/>
          <w:iCs/>
        </w:rPr>
      </w:pPr>
      <w:r>
        <w:rPr>
          <w:rFonts w:cs="TimesNewRomanPSMT" w:ascii="TimesNewRomanPSMT" w:hAnsi="TimesNewRomanPSMT"/>
          <w:i/>
          <w:iCs/>
        </w:rPr>
        <w:t>Révision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4F8DC28C">
                <wp:extent cx="5232400" cy="2716530"/>
                <wp:effectExtent l="0" t="0" r="635" b="1905"/>
                <wp:docPr id="1" name="Form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8</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8</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des annexes I et II à l'article D. 353-1 du code de la construction et de l’habitation lorsque le loyer maximum des logements est exprimé en surface utile.</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Description d</w:t>
      </w:r>
      <w:bookmarkStart w:id="18" w:name="NomProgramme3"/>
      <w:bookmarkEnd w:id="18"/>
      <w:r>
        <w:rPr>
          <w:rFonts w:cs="TimesNewRomanPSMT" w:ascii="TimesNewRomanPSMT" w:hAnsi="TimesNewRomanPSMT"/>
        </w:rPr>
        <w:t xml:space="preserve">u programme {{ programme.nom }}, pour </w:t>
      </w:r>
      <w:bookmarkStart w:id="19" w:name="NbLogement3"/>
      <w:bookmarkEnd w:id="19"/>
      <w:r>
        <w:rPr>
          <w:rFonts w:cs="TimesNewRomanPSMT" w:ascii="TimesNewRomanPSMT" w:hAnsi="TimesNewRomanPSMT"/>
        </w:rPr>
        <w:t xml:space="preserve">{{ lot.nb_logements }} logement{{lot.nb_logements|pl }} </w:t>
      </w:r>
      <w:bookmarkStart w:id="20" w:name="Fi3"/>
      <w:bookmarkEnd w:id="20"/>
      <w:r>
        <w:rPr>
          <w:rFonts w:cs="TimesNewRomanPSMT" w:ascii="TimesNewRomanPSMT" w:hAnsi="TimesNewRomanPSMT"/>
        </w:rPr>
        <w:t xml:space="preserve">{{ lot.financement }}, </w:t>
      </w:r>
      <w:bookmarkStart w:id="21" w:name="Adresse3"/>
      <w:bookmarkEnd w:id="21"/>
      <w:r>
        <w:rPr>
          <w:rFonts w:cs="TimesNewRomanPSMT" w:ascii="TimesNewRomanPSMT" w:hAnsi="TimesNewRomanPSMT"/>
        </w:rPr>
        <w:t xml:space="preserve">{{ programme.adresse|inline_text_multiline }} à </w:t>
      </w:r>
      <w:bookmarkStart w:id="22" w:name="CodePostal3"/>
      <w:bookmarkEnd w:id="22"/>
      <w:r>
        <w:rPr>
          <w:rFonts w:cs="TimesNewRomanPSMT" w:ascii="TimesNewRomanPSMT" w:hAnsi="TimesNewRomanPSMT"/>
        </w:rPr>
        <w:t xml:space="preserve">{{ programme.code_postal }}, </w:t>
      </w:r>
      <w:bookmarkStart w:id="23" w:name="Ville3"/>
      <w:bookmarkEnd w:id="23"/>
      <w:r>
        <w:rPr>
          <w:rFonts w:cs="TimesNewRomanPSMT" w:ascii="TimesNewRomanPSMT" w:hAnsi="TimesNewRomanPSMT"/>
        </w:rPr>
        <w:t>{{ programme.ville }}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I -</w:t>
      </w:r>
      <w:r>
        <w:rPr>
          <w:rFonts w:cs="TimesNewRomanPSMT" w:ascii="TimesNewRomanPSMT" w:hAnsi="TimesNewRomanPSMT"/>
        </w:rPr>
        <w:t xml:space="preserve"> Désignation du ou des immeubles (</w:t>
      </w:r>
      <w:r>
        <w:rPr>
          <w:rFonts w:cs="TimesNewRomanPSMT" w:ascii="TimesNewRomanPSMT" w:hAnsi="TimesNewRomanPSMT"/>
          <w:lang w:val="fr-FR"/>
        </w:rPr>
        <w:t>9</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24" w:name="S3"/>
      <w:bookmarkEnd w:id="24"/>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bookmarkStart w:id="25" w:name="S31"/>
      <w:bookmarkEnd w:id="25"/>
      <w:r>
        <w:rPr>
          <w:rFonts w:cs="TimesNewRomanPSMT" w:ascii="TimesNewRomanPSMT" w:hAnsi="TimesNewRomanPSMT"/>
        </w:rPr>
        <w:t xml:space="preserve">{% for image in </w:t>
      </w:r>
      <w:r>
        <w:rPr>
          <w:rFonts w:cs="TimesNewRomanPSMT" w:ascii="TimesNewRomanPSMT" w:hAnsi="TimesNewRomanPSMT"/>
        </w:rPr>
        <w:t>effet_relatif</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26" w:name="S4"/>
      <w:bookmarkEnd w:id="26"/>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27" w:name="S6"/>
      <w:bookmarkStart w:id="28" w:name="S6"/>
      <w:bookmarkEnd w:id="28"/>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Type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i.typologie}}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29" w:name="S7"/>
      <w:bookmarkStart w:id="30" w:name="S7"/>
      <w:bookmarkEnd w:id="30"/>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II -</w:t>
      </w:r>
      <w:r>
        <w:rPr>
          <w:rFonts w:cs="TimesNewRomanPSMT" w:ascii="TimesNewRomanPSMT" w:hAnsi="TimesNewRomanPSMT"/>
        </w:rPr>
        <w:t xml:space="preserve">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1" w:name="NbLogement4"/>
      <w:bookmarkStart w:id="32" w:name="AutreType"/>
      <w:bookmarkStart w:id="33" w:name="Type2"/>
      <w:bookmarkEnd w:id="31"/>
      <w:bookmarkEnd w:id="32"/>
      <w:bookmarkEnd w:id="33"/>
      <w:r>
        <w:rPr/>
        <w:t>{{ lot.nb_logements }} logement</w:t>
      </w:r>
      <w:r>
        <w:rPr>
          <w:rFonts w:cs="TimesNewRomanPSMT" w:ascii="TimesNewRomanPSMT" w:hAnsi="TimesNewRomanPSMT"/>
        </w:rPr>
        <w:t>{{lot.nb_logements|pl</w:t>
      </w:r>
      <w:r>
        <w:rPr/>
        <w:t xml:space="preserve"> }}{{ lot.get_type_habitat_advanced_display(lot.nb_logements) }}</w:t>
      </w:r>
      <w:bookmarkStart w:id="34" w:name="Fi4"/>
      <w:bookmarkEnd w:id="34"/>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lang w:val="fr-FR"/>
        </w:rPr>
        <w:t>III -</w:t>
      </w:r>
      <w:r>
        <w:rPr>
          <w:rFonts w:cs="TimesNewRomanPSMT" w:ascii="TimesNewRomanPSMT" w:hAnsi="TimesNewRomanPSMT"/>
        </w:rPr>
        <w:t xml:space="preserve"> Composition </w:t>
      </w:r>
      <w:r>
        <w:rPr>
          <w:rFonts w:cs="TimesNewRomanPSMT" w:ascii="TimesNewRomanPSMT" w:hAnsi="TimesNewRomanPSMT"/>
          <w:lang w:val="fr-FR"/>
        </w:rPr>
        <w:t>du programme</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rPr/>
      </w:pPr>
      <w:r>
        <w:rPr>
          <w:rFonts w:cs="TimesNewRomanPSMT" w:ascii="TimesNewRomanPSMT" w:hAnsi="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cs="TimesNewRomanPSMT" w:ascii="TimesNewRomanPSMT" w:hAnsi="TimesNewRomanPSMT"/>
          <w:lang w:val="fr-FR"/>
        </w:rPr>
        <w:t>7</w:t>
      </w:r>
      <w:r>
        <w:rPr>
          <w:rFonts w:cs="TimesNewRomanPSMT" w:ascii="TimesNewRomanPSMT" w:hAnsi="TimesNewRomanPSMT"/>
        </w:rPr>
        <w:t xml:space="preserve"> de la présente convention) (10)</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premier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35" w:name="Mix30111"/>
      <w:bookmarkEnd w:id="35"/>
      <w:r>
        <w:rPr>
          <w:rFonts w:cs="TimesNewRomanPSMT" w:ascii="TimesNewRomanPSMT" w:hAnsi="TimesNewRomanPSMT"/>
          <w:b/>
        </w:rPr>
        <w:t>{{ mixPLUS_30pc }}</w:t>
      </w:r>
      <w:r>
        <w:rPr>
          <w:rFonts w:cs="TimesNewRomanPSMT" w:ascii="TimesNewRomanPSMT" w:hAnsi="TimesNewRomanPSMT"/>
        </w:rPr>
        <w:t xml:space="preserve"> logement{{</w:t>
      </w:r>
      <w:r>
        <w:rPr>
          <w:rFonts w:cs="TimesNewRomanPSMT" w:ascii="TimesNewRomanPSMT" w:hAnsi="TimesNewRomanPSMT"/>
          <w:bCs/>
        </w:rPr>
        <w:t>mixPLUS</w:t>
      </w:r>
      <w:r>
        <w:rPr>
          <w:rFonts w:cs="TimesNewRomanPSMT" w:ascii="TimesNewRomanPSMT" w:hAnsi="TimesNewRomanPSMT"/>
          <w:bCs/>
          <w:lang w:val="fr-FR"/>
        </w:rPr>
        <w:t>_</w:t>
      </w:r>
      <w:r>
        <w:rPr>
          <w:rFonts w:cs="TimesNewRomanPSMT" w:ascii="TimesNewRomanPSMT" w:hAnsi="TimesNewRomanPSMT"/>
          <w:bCs/>
        </w:rPr>
        <w:t>30pc</w:t>
      </w:r>
      <w:r>
        <w:rPr>
          <w:rFonts w:cs="TimesNewRomanPSMT" w:ascii="TimesNewRomanPSMT" w:hAnsi="TimesNewRomanPSMT"/>
          <w:lang w:val="fr-FR"/>
        </w:rPr>
        <w:t>|pl</w:t>
      </w:r>
      <w:r>
        <w:rPr/>
        <w:t xml:space="preserve">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deuxième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36" w:name="Mix30112"/>
      <w:bookmarkEnd w:id="36"/>
    </w:p>
    <w:p>
      <w:pPr>
        <w:pStyle w:val="Normal"/>
        <w:jc w:val="both"/>
        <w:rPr>
          <w:rFonts w:ascii="TimesNewRomanPSMT" w:hAnsi="TimesNewRomanPSMT" w:cs="TimesNewRomanPSMT"/>
        </w:rPr>
      </w:pPr>
      <w:r>
        <w:rPr>
          <w:rFonts w:cs="TimesNewRomanPSMT" w:ascii="TimesNewRomanPSMT" w:hAnsi="TimesNewRomanPSMT"/>
        </w:rPr>
      </w:r>
    </w:p>
    <w:p>
      <w:pPr>
        <w:pStyle w:val="Normal"/>
        <w:rPr/>
      </w:pPr>
      <w:r>
        <w:rPr>
          <w:rFonts w:cs="TimesNewRomanPSMT" w:ascii="TimesNewRomanPSMT" w:hAnsi="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cs="TimesNewRomanPSMT" w:ascii="TimesNewRomanPSMT" w:hAnsi="TimesNewRomanPSMT"/>
          <w:lang w:val="fr-FR"/>
        </w:rPr>
        <w:t>7</w:t>
      </w:r>
      <w:r>
        <w:rPr>
          <w:rFonts w:cs="TimesNewRomanPSMT" w:ascii="TimesNewRomanPSMT" w:hAnsi="TimesNewRomanPSMT"/>
        </w:rPr>
        <w:t xml:space="preserve"> de la présente convention) (10): </w:t>
      </w:r>
      <w:bookmarkStart w:id="37" w:name="Mix1092"/>
      <w:bookmarkEnd w:id="37"/>
      <w:r>
        <w:rPr>
          <w:rFonts w:cs="TimesNewRomanPSMT" w:ascii="TimesNewRomanPSMT" w:hAnsi="TimesNewRomanPSMT"/>
        </w:rPr>
        <w:t>{{</w:t>
      </w:r>
      <w:r>
        <w:rPr>
          <w:rFonts w:cs="TimesNewRomanPSMT" w:ascii="TimesNewRomanPSMT" w:hAnsi="TimesNewRomanPSMT"/>
          <w:b/>
          <w:bCs/>
        </w:rPr>
        <w:t xml:space="preserve"> mixPLUS_10pc }}</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w:rFonts w:cs="TimesNewRomanPSMT" w:ascii="TimesNewRomanPSMT" w:hAnsi="TimesNewRomanPSMT"/>
        </w:rPr>
        <w:t xml:space="preserve">1bis) Surface utile, nombre et identification des logements financés dans les conditions du II de l’article D. 331-1 du code de la construction et de l’habitation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2. Surface habitable totale (art. R. 111-2 du code de la construction et de l’habitation) : </w:t>
      </w:r>
      <w:bookmarkStart w:id="38" w:name="SH"/>
      <w:bookmarkEnd w:id="38"/>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39" w:name="SA"/>
      <w:bookmarkEnd w:id="39"/>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0" w:name="__Fieldmark__2988_816879668"/>
      <w:bookmarkStart w:id="41" w:name="__Fieldmark__2988_816879668"/>
      <w:bookmarkEnd w:id="41"/>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2" w:name="__Fieldmark__3001_816879668"/>
      <w:bookmarkStart w:id="43" w:name="__Fieldmark__3001_816879668"/>
      <w:bookmarkEnd w:id="43"/>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4" w:name="__Fieldmark__3015_816879668"/>
      <w:bookmarkStart w:id="45" w:name="__Fieldmark__3015_816879668"/>
      <w:bookmarkEnd w:id="45"/>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6" w:name="__Fieldmark__3028_816879668"/>
      <w:bookmarkStart w:id="47" w:name="__Fieldmark__3028_816879668"/>
      <w:bookmarkEnd w:id="47"/>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8" w:name="__Fieldmark__3041_816879668"/>
      <w:bookmarkStart w:id="49" w:name="__Fieldmark__3041_816879668"/>
      <w:bookmarkEnd w:id="49"/>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0" w:name="__Fieldmark__3054_816879668"/>
      <w:bookmarkStart w:id="51" w:name="__Fieldmark__3054_816879668"/>
      <w:bookmarkEnd w:id="51"/>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2" w:name="__Fieldmark__3068_816879668"/>
      <w:bookmarkStart w:id="53" w:name="__Fieldmark__3068_816879668"/>
      <w:bookmarkEnd w:id="53"/>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en-US"/>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en-US"/>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4" w:name="__Fieldmark__3082_816879668"/>
      <w:bookmarkStart w:id="55" w:name="__Fieldmark__3082_816879668"/>
      <w:bookmarkEnd w:id="55"/>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6" w:name="__Fieldmark__3095_816879668"/>
      <w:bookmarkStart w:id="57" w:name="__Fieldmark__3095_816879668"/>
      <w:bookmarkEnd w:id="57"/>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8" w:name="__Fieldmark__3108_816879668"/>
      <w:bookmarkStart w:id="59" w:name="__Fieldmark__3108_816879668"/>
      <w:bookmarkEnd w:id="59"/>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0" w:name="__Fieldmark__3121_816879668"/>
      <w:bookmarkStart w:id="61" w:name="__Fieldmark__3121_816879668"/>
      <w:bookmarkEnd w:id="61"/>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rPr>
      </w:pPr>
      <w:r>
        <w:rPr>
          <w:rFonts w:cs="Open Sans" w:ascii="Open Sans" w:hAnsi="Open Sans"/>
          <w:color w:val="3F4350"/>
          <w:sz w:val="20"/>
          <w:szCs w:val="20"/>
        </w:rPr>
      </w:r>
    </w:p>
    <w:p>
      <w:pPr>
        <w:pStyle w:val="Normal"/>
        <w:jc w:val="both"/>
        <w:rPr/>
      </w:pPr>
      <w:r>
        <w:rPr>
          <w:rFonts w:cs="TimesNewRomanPSMT" w:ascii="TimesNewRomanPSMT" w:hAnsi="TimesNewRomanPSMT"/>
        </w:rPr>
        <w:t>3ter.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62" w:name="SU"/>
      <w:bookmarkEnd w:id="62"/>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63" w:name="S1"/>
      <w:bookmarkEnd w:id="63"/>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5"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5"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6"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spacing w:before="0" w:after="0"/>
              <w:jc w:val="left"/>
              <w:rPr>
                <w:rFonts w:ascii="TimesNewRomanPSMT" w:hAnsi="TimesNewRomanPSMT" w:cs="TimesNewRomanPSMT"/>
                <w:sz w:val="12"/>
                <w:szCs w:val="12"/>
                <w:lang w:val="en-US"/>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p>
        </w:tc>
      </w:tr>
      <w:tr>
        <w:trPr/>
        <w:tc>
          <w:tcPr>
            <w:tcW w:w="155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FR" w:eastAsia="en-GB" w:bidi="ar-SA"/>
              </w:rPr>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FR" w:eastAsia="en-GB" w:bidi="ar-SA"/>
              </w:rPr>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bl>
    <w:p>
      <w:pPr>
        <w:pStyle w:val="Normal"/>
        <w:rPr>
          <w:rFonts w:ascii="TimesNewRomanPSMT" w:hAnsi="TimesNewRomanPSMT" w:cs="TimesNewRomanPSMT"/>
          <w:sz w:val="20"/>
          <w:lang w:eastAsia="fr-FR"/>
        </w:rPr>
      </w:pPr>
      <w:r>
        <w:rPr>
          <w:rFonts w:cs="TimesNewRomanPSMT" w:ascii="TimesNewRomanPSMT" w:hAnsi="TimesNewRomanPSMT"/>
          <w:sz w:val="20"/>
          <w:lang w:eastAsia="fr-FR"/>
        </w:rPr>
        <w:t>* cf. article 8 de la convention pour les logements attribués dans les conditions prévues au c du 3° de l’article 7 de la convention, selon les ressources des locataires.</w:t>
      </w:r>
    </w:p>
    <w:p>
      <w:pPr>
        <w:pStyle w:val="Normal"/>
        <w:rPr>
          <w:rFonts w:ascii="TimesNewRomanPSMT" w:hAnsi="TimesNewRomanPSMT" w:cs="TimesNewRomanPSMT"/>
          <w:sz w:val="20"/>
          <w:lang w:eastAsia="fr-FR"/>
        </w:rPr>
      </w:pPr>
      <w:r>
        <w:rPr>
          <w:rFonts w:cs="TimesNewRomanPSMT" w:ascii="TimesNewRomanPSMT" w:hAnsi="TimesNewRomanPSMT"/>
          <w:sz w:val="20"/>
          <w:lang w:eastAsia="fr-FR"/>
        </w:rPr>
        <w:t>** La majoration prévue à l'article 8 de la convention pour les logements attribués dans les conditions prévues au b du 3° de l’article 7 de la convention est susceptible de s’appliquer à ces loyers.</w:t>
      </w:r>
    </w:p>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spacing w:before="0" w:after="0"/>
              <w:jc w:val="both"/>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64" w:name="S10"/>
      <w:bookmarkStart w:id="65" w:name="S9"/>
      <w:bookmarkEnd w:id="64"/>
      <w:bookmarkEnd w:id="65"/>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66" w:name="Locaux"/>
      <w:bookmarkEnd w:id="66"/>
      <w:r>
        <w:rPr>
          <w:rFonts w:cs="TimesNewRomanPSMT" w:ascii="TimesNewRomanPSMT" w:hAnsi="TimesNewRomanPSMT"/>
        </w:rPr>
        <w:t xml:space="preserve">Locaux commerciaux (nombre) :  </w:t>
      </w:r>
      <w:bookmarkStart w:id="67" w:name="Commerce"/>
      <w:bookmarkEnd w:id="67"/>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68" w:name="Bureau"/>
      <w:bookmarkEnd w:id="68"/>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69" w:name="Autre"/>
      <w:bookmarkEnd w:id="69"/>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IV -</w:t>
      </w:r>
      <w:r>
        <w:rPr>
          <w:rFonts w:cs="TimesNewRomanPSMT" w:ascii="TimesNewRomanPSMT" w:hAnsi="TimesNewRomanPSMT"/>
        </w:rPr>
        <w:t xml:space="preserve">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70" w:name="Vendeur"/>
      <w:bookmarkEnd w:id="70"/>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71" w:name="Acquereur"/>
      <w:bookmarkEnd w:id="71"/>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72" w:name="ActeNotaire"/>
      <w:bookmarkEnd w:id="72"/>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73" w:name="Notaire"/>
      <w:bookmarkEnd w:id="73"/>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74" w:name="Refpublic"/>
      <w:bookmarkEnd w:id="74"/>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rFonts w:ascii="TimesNewRomanPSMT" w:hAnsi="TimesNewRomanPSMT" w:cs="TimesNewRomanPSMT"/>
        </w:rPr>
      </w:pPr>
      <w:r>
        <w:rPr>
          <w:rFonts w:cs="TimesNewRomanPSMT" w:ascii="TimesNewRomanPSMT" w:hAnsi="TimesNewRomanPSMT"/>
        </w:rPr>
        <w:t xml:space="preserve">V -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Logements financés dans les conditions prévues à l’article 1, 1° de la présente convention :</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convention.type2_lgts_concernes_option1 -%}</w:t>
      </w:r>
    </w:p>
    <w:p>
      <w:pPr>
        <w:pStyle w:val="Normal"/>
        <w:jc w:val="both"/>
        <w:rPr>
          <w:rFonts w:ascii="TimesNewRomanPSMT" w:hAnsi="TimesNewRomanPSMT" w:cs="TimesNewRomanPSMT"/>
        </w:rPr>
      </w:pPr>
      <w:r>
        <w:rPr>
          <w:rFonts w:cs="TimesNewRomanPSMT" w:ascii="TimesNewRomanPSMT" w:hAnsi="TimesNewRomanPSMT"/>
        </w:rPr>
        <w:t>1 - Date d’achèvement des travaux ou certificat de conformité : {{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 Modalités de financement :</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Normal"/>
        <w:jc w:val="both"/>
        <w:rPr>
          <w:rFonts w:ascii="TimesNewRomanPSMT" w:hAnsi="TimesNewRomanPSMT" w:cs="TimesNewRomanPSMT"/>
        </w:rPr>
      </w:pPr>
      <w:r>
        <w:rPr>
          <w:rFonts w:cs="TimesNewRomanPSMT" w:ascii="TimesNewRomanPSMT" w:hAnsi="TimesNewRomanPSMT"/>
        </w:rPr>
        <w:t>Numéro : {{ p.n }}</w:t>
      </w:r>
    </w:p>
    <w:p>
      <w:pPr>
        <w:pStyle w:val="Normal"/>
        <w:jc w:val="both"/>
        <w:rPr>
          <w:rFonts w:ascii="TimesNewRomanPSMT" w:hAnsi="TimesNewRomanPSMT" w:cs="TimesNewRomanPSMT"/>
        </w:rPr>
      </w:pPr>
      <w:r>
        <w:rPr>
          <w:rFonts w:cs="TimesNewRomanPSMT" w:ascii="TimesNewRomanPSMT" w:hAnsi="TimesNewRomanPSMT"/>
        </w:rPr>
        <w:t>Date d’octroi : {{ p.do|sd }}</w:t>
      </w:r>
    </w:p>
    <w:p>
      <w:pPr>
        <w:pStyle w:val="Normal"/>
        <w:jc w:val="both"/>
        <w:rPr>
          <w:rFonts w:ascii="TimesNewRomanPSMT" w:hAnsi="TimesNewRomanPSMT" w:cs="TimesNewRomanPSMT"/>
        </w:rPr>
      </w:pPr>
      <w:r>
        <w:rPr>
          <w:rFonts w:cs="TimesNewRomanPSMT" w:ascii="TimesNewRomanPSMT" w:hAnsi="TimesNewRomanPSMT"/>
        </w:rPr>
        <w:t>Durée: {{ p.d }} an{{ p.d|pl }}</w:t>
      </w:r>
    </w:p>
    <w:p>
      <w:pPr>
        <w:pStyle w:val="Normal"/>
        <w:jc w:val="both"/>
        <w:rPr>
          <w:rFonts w:ascii="TimesNewRomanPSMT" w:hAnsi="TimesNewRomanPSMT" w:cs="TimesNewRomanPSMT"/>
        </w:rPr>
      </w:pPr>
      <w:r>
        <w:rPr>
          <w:rFonts w:cs="TimesNewRomanPSMT" w:ascii="TimesNewRomanPSMT" w:hAnsi="TimesNewRomanPSMT"/>
        </w:rPr>
        <w:t>Montant : {{ p.m|f }} €</w:t>
      </w:r>
    </w:p>
    <w:p>
      <w:pPr>
        <w:pStyle w:val="Normal"/>
        <w:jc w:val="both"/>
        <w:rPr>
          <w:rFonts w:ascii="TimesNewRomanPSMT" w:hAnsi="TimesNewRomanPSMT" w:cs="TimesNewRomanPSMT"/>
        </w:rPr>
      </w:pPr>
      <w:r>
        <w:rPr>
          <w:rFonts w:cs="TimesNewRomanPSMT" w:ascii="TimesNewRomanPSMT" w:hAnsi="TimesNewRomanPSMT"/>
        </w:rPr>
        <w:t>Prêteur : {{ p.p_full()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autres_prets.count() %} Financement complémentaire :</w:t>
      </w:r>
    </w:p>
    <w:p>
      <w:pPr>
        <w:pStyle w:val="Normal"/>
        <w:jc w:val="both"/>
        <w:rPr>
          <w:rFonts w:ascii="TimesNewRomanPSMT" w:hAnsi="TimesNewRomanPSMT" w:cs="TimesNewRomanPSMT"/>
        </w:rPr>
      </w:pPr>
      <w:r>
        <w:rPr>
          <w:rFonts w:cs="TimesNewRomanPSMT" w:ascii="TimesNewRomanPSMT" w:hAnsi="TimesNewRomanPSMT"/>
        </w:rPr>
        <w:t>{% for p in autres_prets %}{% if p.n %}</w:t>
      </w:r>
    </w:p>
    <w:p>
      <w:pPr>
        <w:pStyle w:val="Normal"/>
        <w:jc w:val="both"/>
        <w:rPr>
          <w:rFonts w:ascii="TimesNewRomanPSMT" w:hAnsi="TimesNewRomanPSMT" w:cs="TimesNewRomanPSMT"/>
        </w:rPr>
      </w:pPr>
      <w:r>
        <w:rPr>
          <w:rFonts w:cs="TimesNewRomanPSMT" w:ascii="TimesNewRomanPSMT" w:hAnsi="TimesNewRomanPSMT"/>
        </w:rPr>
        <w:t>Numéro : {{ p.n }}{% endif %}{% if p.do %}</w:t>
      </w:r>
    </w:p>
    <w:p>
      <w:pPr>
        <w:pStyle w:val="Normal"/>
        <w:jc w:val="both"/>
        <w:rPr>
          <w:rFonts w:ascii="TimesNewRomanPSMT" w:hAnsi="TimesNewRomanPSMT" w:cs="TimesNewRomanPSMT"/>
        </w:rPr>
      </w:pPr>
      <w:r>
        <w:rPr>
          <w:rFonts w:cs="TimesNewRomanPSMT" w:ascii="TimesNewRomanPSMT" w:hAnsi="TimesNewRomanPSMT"/>
        </w:rPr>
        <w:t>Date d’octroi : {{ p.do|sd }}{% endif %}{% if p.d %}</w:t>
      </w:r>
    </w:p>
    <w:p>
      <w:pPr>
        <w:pStyle w:val="Normal"/>
        <w:jc w:val="both"/>
        <w:rPr>
          <w:rFonts w:ascii="TimesNewRomanPSMT" w:hAnsi="TimesNewRomanPSMT" w:cs="TimesNewRomanPSMT"/>
        </w:rPr>
      </w:pPr>
      <w:r>
        <w:rPr>
          <w:rFonts w:cs="TimesNewRomanPSMT" w:ascii="TimesNewRomanPSMT" w:hAnsi="TimesNewRomanPSMT"/>
        </w:rPr>
        <w:t>Durée : {{ p.d }} an{{ p.d|pl }}{% endif %}{% if p.m %}</w:t>
      </w:r>
    </w:p>
    <w:p>
      <w:pPr>
        <w:pStyle w:val="Normal"/>
        <w:jc w:val="both"/>
        <w:rPr>
          <w:rFonts w:ascii="TimesNewRomanPSMT" w:hAnsi="TimesNewRomanPSMT" w:cs="TimesNewRomanPSMT"/>
        </w:rPr>
      </w:pPr>
      <w:r>
        <w:rPr>
          <w:rFonts w:cs="TimesNewRomanPSMT" w:ascii="TimesNewRomanPSMT" w:hAnsi="TimesNewRomanPSMT"/>
        </w:rPr>
        <w:t>Montant : {{ p.m|f }} €{% endif %}{% if p.preteur_display() %}</w:t>
      </w:r>
    </w:p>
    <w:p>
      <w:pPr>
        <w:pStyle w:val="Normal"/>
        <w:jc w:val="both"/>
        <w:rPr>
          <w:rFonts w:ascii="TimesNewRomanPSMT" w:hAnsi="TimesNewRomanPSMT" w:cs="TimesNewRomanPSMT"/>
        </w:rPr>
      </w:pPr>
      <w:r>
        <w:rPr>
          <w:rFonts w:cs="TimesNewRomanPSMT" w:ascii="TimesNewRomanPSMT" w:hAnsi="TimesNewRomanPSMT"/>
        </w:rPr>
        <w:t>Prêteur : {{ p.preteur_display() }}{% endif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w:t>
      </w:r>
      <w:r>
        <w:rPr>
          <w:rFonts w:cs="TimesNewRomanPSMT" w:ascii="TimesNewRomanPSMT" w:hAnsi="TimesNewRomanPSMT"/>
          <w:lang w:val="fr-FR"/>
        </w:rPr>
        <w:t>-</w:t>
      </w:r>
      <w:r>
        <w:rPr>
          <w:rFonts w:cs="TimesNewRomanPSMT" w:ascii="TimesNewRomanPSMT" w:hAnsi="TimesNewRomanPSMT"/>
        </w:rPr>
        <w:t xml:space="preserve"> if convention.fond_propre %}</w:t>
      </w:r>
    </w:p>
    <w:p>
      <w:pPr>
        <w:pStyle w:val="Normal"/>
        <w:jc w:val="both"/>
        <w:rPr>
          <w:rFonts w:ascii="TimesNewRomanPSMT" w:hAnsi="TimesNewRomanPSMT" w:cs="TimesNewRomanPSMT"/>
        </w:rPr>
      </w:pPr>
      <w:r>
        <w:rPr>
          <w:rFonts w:cs="TimesNewRomanPSMT" w:ascii="TimesNewRomanPSMT" w:hAnsi="TimesNewRomanPSMT"/>
        </w:rPr>
        <w:t>Fond propre : {{ convention.fond_propre|f }} €</w:t>
      </w:r>
    </w:p>
    <w:p>
      <w:pPr>
        <w:pStyle w:val="Normal"/>
        <w:jc w:val="both"/>
        <w:rPr>
          <w:rFonts w:ascii="TimesNewRomanPSMT" w:hAnsi="TimesNewRomanPSMT" w:cs="TimesNewRomanPSMT"/>
        </w:rPr>
      </w:pPr>
      <w:r>
        <w:rPr>
          <w:rFonts w:cs="TimesNewRomanPSMT" w:ascii="TimesNewRomanPSMT" w:hAnsi="TimesNewRomanPSMT"/>
        </w:rPr>
        <w:t>{% endif %}</w:t>
      </w:r>
      <w:r>
        <w:rPr>
          <w:rFonts w:cs="TimesNewRomanPSMT" w:ascii="TimesNewRomanPSMT" w:hAnsi="TimesNewRomanPSMT"/>
          <w:lang w:val="fr-FR"/>
        </w:rPr>
        <w:t>{% else -%}</w:t>
      </w:r>
    </w:p>
    <w:p>
      <w:pPr>
        <w:pStyle w:val="Normal"/>
        <w:jc w:val="both"/>
        <w:rPr>
          <w:rFonts w:ascii="TimesNewRomanPSMT" w:hAnsi="TimesNewRomanPSMT" w:cs="TimesNewRomanPSMT"/>
        </w:rPr>
      </w:pPr>
      <w:r>
        <w:rPr>
          <w:rFonts w:cs="TimesNewRomanPSMT" w:ascii="TimesNewRomanPSMT" w:hAnsi="TimesNewRomanPSMT"/>
        </w:rPr>
        <w:t>1 - Date d’achèvement des travaux ou certificat de conformité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 Modalités de financement :</w:t>
      </w:r>
    </w:p>
    <w:p>
      <w:pPr>
        <w:pStyle w:val="Normal"/>
        <w:jc w:val="both"/>
        <w:rPr>
          <w:rFonts w:ascii="TimesNewRomanPSMT" w:hAnsi="TimesNewRomanPSMT" w:cs="TimesNewRomanPSMT"/>
          <w:lang w:val="fr-FR"/>
        </w:rPr>
      </w:pPr>
      <w:r>
        <w:rPr>
          <w:rFonts w:cs="TimesNewRomanPSMT" w:ascii="TimesNewRomanPSMT" w:hAnsi="TimesNewRomanPSMT"/>
          <w:lang w:val="fr-FR"/>
        </w:rPr>
        <w:t>{%- endif %}</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rPr>
      </w:pPr>
      <w:r>
        <w:rPr>
          <w:rFonts w:cs="TimesNewRomanPSMT" w:ascii="TimesNewRomanPSMT" w:hAnsi="TimesNewRomanPSMT"/>
        </w:rPr>
        <w:t>2° - Logements financés dans les conditions prévues à l’article 1, 2°, 3° ou 5°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convention.type2_lgts_concernes_option2 or convention.type2_lgts_concernes_option3 or convention.type2_lgts_concernes_option5 -%}</w:t>
      </w:r>
    </w:p>
    <w:p>
      <w:pPr>
        <w:pStyle w:val="Normal"/>
        <w:jc w:val="both"/>
        <w:rPr>
          <w:rFonts w:ascii="TimesNewRomanPSMT" w:hAnsi="TimesNewRomanPSMT" w:cs="TimesNewRomanPSMT"/>
          <w:lang w:val="fr-FR"/>
        </w:rPr>
      </w:pPr>
      <w:r>
        <w:rPr>
          <w:rFonts w:cs="TimesNewRomanPSMT" w:ascii="TimesNewRomanPSMT" w:hAnsi="TimesNewRomanPSMT"/>
        </w:rPr>
        <w:t>1 - Date d’acquisition :</w:t>
      </w:r>
      <w:r>
        <w:rPr>
          <w:rFonts w:cs="TimesNewRomanPSMT" w:ascii="TimesNewRomanPSMT" w:hAnsi="TimesNewRomanPSMT"/>
          <w:lang w:val="fr-FR"/>
        </w:rPr>
        <w:t xml:space="preserve"> </w:t>
      </w:r>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lang w:val="fr-FR"/>
        </w:rPr>
      </w:pPr>
      <w:r>
        <w:rPr>
          <w:rFonts w:cs="TimesNewRomanPSMT" w:ascii="TimesNewRomanPSMT" w:hAnsi="TimesNewRomanPSMT"/>
        </w:rPr>
        <w:t>2 - Date prévisible d’achèvement des travaux :</w:t>
      </w:r>
      <w:r>
        <w:rPr>
          <w:rFonts w:cs="TimesNewRomanPSMT" w:ascii="TimesNewRomanPSMT" w:hAnsi="TimesNewRomanPSMT"/>
          <w:lang w:val="fr-FR"/>
        </w:rPr>
        <w:t xml:space="preserve"> </w:t>
      </w:r>
      <w:r>
        <w:rPr>
          <w:rFonts w:cs="TimesNewRomanPSMT" w:ascii="TimesNewRomanPSMT" w:hAnsi="TimesNewRomanPSMT"/>
        </w:rPr>
        <w:t>{{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 Modalités de financement :</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Normal"/>
        <w:jc w:val="both"/>
        <w:rPr>
          <w:rFonts w:ascii="TimesNewRomanPSMT" w:hAnsi="TimesNewRomanPSMT" w:cs="TimesNewRomanPSMT"/>
        </w:rPr>
      </w:pPr>
      <w:r>
        <w:rPr>
          <w:rFonts w:cs="TimesNewRomanPSMT" w:ascii="TimesNewRomanPSMT" w:hAnsi="TimesNewRomanPSMT"/>
        </w:rPr>
        <w:t>Numéro : {{ p.n }}</w:t>
      </w:r>
    </w:p>
    <w:p>
      <w:pPr>
        <w:pStyle w:val="Normal"/>
        <w:jc w:val="both"/>
        <w:rPr>
          <w:rFonts w:ascii="TimesNewRomanPSMT" w:hAnsi="TimesNewRomanPSMT" w:cs="TimesNewRomanPSMT"/>
        </w:rPr>
      </w:pPr>
      <w:r>
        <w:rPr>
          <w:rFonts w:cs="TimesNewRomanPSMT" w:ascii="TimesNewRomanPSMT" w:hAnsi="TimesNewRomanPSMT"/>
        </w:rPr>
        <w:t>Date d’octroi : {{ p.do|sd }}</w:t>
      </w:r>
    </w:p>
    <w:p>
      <w:pPr>
        <w:pStyle w:val="Normal"/>
        <w:jc w:val="both"/>
        <w:rPr>
          <w:rFonts w:ascii="TimesNewRomanPSMT" w:hAnsi="TimesNewRomanPSMT" w:cs="TimesNewRomanPSMT"/>
        </w:rPr>
      </w:pPr>
      <w:r>
        <w:rPr>
          <w:rFonts w:cs="TimesNewRomanPSMT" w:ascii="TimesNewRomanPSMT" w:hAnsi="TimesNewRomanPSMT"/>
        </w:rPr>
        <w:t>Durée: {{ p.d }} an{{ p.d|pl }}</w:t>
      </w:r>
    </w:p>
    <w:p>
      <w:pPr>
        <w:pStyle w:val="Normal"/>
        <w:jc w:val="both"/>
        <w:rPr>
          <w:rFonts w:ascii="TimesNewRomanPSMT" w:hAnsi="TimesNewRomanPSMT" w:cs="TimesNewRomanPSMT"/>
        </w:rPr>
      </w:pPr>
      <w:r>
        <w:rPr>
          <w:rFonts w:cs="TimesNewRomanPSMT" w:ascii="TimesNewRomanPSMT" w:hAnsi="TimesNewRomanPSMT"/>
        </w:rPr>
        <w:t>Montant : {{ p.m|f }} €</w:t>
      </w:r>
    </w:p>
    <w:p>
      <w:pPr>
        <w:pStyle w:val="Normal"/>
        <w:jc w:val="both"/>
        <w:rPr>
          <w:rFonts w:ascii="TimesNewRomanPSMT" w:hAnsi="TimesNewRomanPSMT" w:cs="TimesNewRomanPSMT"/>
        </w:rPr>
      </w:pPr>
      <w:r>
        <w:rPr>
          <w:rFonts w:cs="TimesNewRomanPSMT" w:ascii="TimesNewRomanPSMT" w:hAnsi="TimesNewRomanPSMT"/>
        </w:rPr>
        <w:t>Prêteur : {{ p.p_full()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autres_prets.count() %} Financement complémentaire :</w:t>
      </w:r>
    </w:p>
    <w:p>
      <w:pPr>
        <w:pStyle w:val="Normal"/>
        <w:jc w:val="both"/>
        <w:rPr>
          <w:rFonts w:ascii="TimesNewRomanPSMT" w:hAnsi="TimesNewRomanPSMT" w:cs="TimesNewRomanPSMT"/>
        </w:rPr>
      </w:pPr>
      <w:r>
        <w:rPr>
          <w:rFonts w:cs="TimesNewRomanPSMT" w:ascii="TimesNewRomanPSMT" w:hAnsi="TimesNewRomanPSMT"/>
        </w:rPr>
        <w:t>{% for p in autres_prets %}{% if p.n %}</w:t>
      </w:r>
    </w:p>
    <w:p>
      <w:pPr>
        <w:pStyle w:val="Normal"/>
        <w:jc w:val="both"/>
        <w:rPr>
          <w:rFonts w:ascii="TimesNewRomanPSMT" w:hAnsi="TimesNewRomanPSMT" w:cs="TimesNewRomanPSMT"/>
        </w:rPr>
      </w:pPr>
      <w:r>
        <w:rPr>
          <w:rFonts w:cs="TimesNewRomanPSMT" w:ascii="TimesNewRomanPSMT" w:hAnsi="TimesNewRomanPSMT"/>
        </w:rPr>
        <w:t>Numéro : {{ p.n }}{% endif %}{% if p.do %}</w:t>
      </w:r>
    </w:p>
    <w:p>
      <w:pPr>
        <w:pStyle w:val="Normal"/>
        <w:jc w:val="both"/>
        <w:rPr>
          <w:rFonts w:ascii="TimesNewRomanPSMT" w:hAnsi="TimesNewRomanPSMT" w:cs="TimesNewRomanPSMT"/>
        </w:rPr>
      </w:pPr>
      <w:r>
        <w:rPr>
          <w:rFonts w:cs="TimesNewRomanPSMT" w:ascii="TimesNewRomanPSMT" w:hAnsi="TimesNewRomanPSMT"/>
        </w:rPr>
        <w:t>Date d’octroi : {{ p.do|sd }}{% endif %}{% if p.d %}</w:t>
      </w:r>
    </w:p>
    <w:p>
      <w:pPr>
        <w:pStyle w:val="Normal"/>
        <w:jc w:val="both"/>
        <w:rPr>
          <w:rFonts w:ascii="TimesNewRomanPSMT" w:hAnsi="TimesNewRomanPSMT" w:cs="TimesNewRomanPSMT"/>
        </w:rPr>
      </w:pPr>
      <w:r>
        <w:rPr>
          <w:rFonts w:cs="TimesNewRomanPSMT" w:ascii="TimesNewRomanPSMT" w:hAnsi="TimesNewRomanPSMT"/>
        </w:rPr>
        <w:t>Durée : {{ p.d }} an{{ p.d|pl }}{% endif %}{% if p.m %}</w:t>
      </w:r>
    </w:p>
    <w:p>
      <w:pPr>
        <w:pStyle w:val="Normal"/>
        <w:jc w:val="both"/>
        <w:rPr>
          <w:rFonts w:ascii="TimesNewRomanPSMT" w:hAnsi="TimesNewRomanPSMT" w:cs="TimesNewRomanPSMT"/>
        </w:rPr>
      </w:pPr>
      <w:r>
        <w:rPr>
          <w:rFonts w:cs="TimesNewRomanPSMT" w:ascii="TimesNewRomanPSMT" w:hAnsi="TimesNewRomanPSMT"/>
        </w:rPr>
        <w:t>Montant : {{ p.m|f }} €{% endif %}{% if p.preteur_display() %}</w:t>
      </w:r>
    </w:p>
    <w:p>
      <w:pPr>
        <w:pStyle w:val="Normal"/>
        <w:jc w:val="both"/>
        <w:rPr>
          <w:rFonts w:ascii="TimesNewRomanPSMT" w:hAnsi="TimesNewRomanPSMT" w:cs="TimesNewRomanPSMT"/>
        </w:rPr>
      </w:pPr>
      <w:r>
        <w:rPr>
          <w:rFonts w:cs="TimesNewRomanPSMT" w:ascii="TimesNewRomanPSMT" w:hAnsi="TimesNewRomanPSMT"/>
        </w:rPr>
        <w:t>Prêteur : {{ p.preteur_display() }}{% endif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t>{% endif %}</w:t>
      </w:r>
      <w:r>
        <w:rPr>
          <w:rFonts w:cs="TimesNewRomanPSMT" w:ascii="TimesNewRomanPSMT" w:hAnsi="TimesNewRomanPSMT"/>
          <w:lang w:val="fr-FR"/>
        </w:rPr>
        <w:t>{% else -%}</w:t>
      </w:r>
    </w:p>
    <w:p>
      <w:pPr>
        <w:pStyle w:val="Normal"/>
        <w:jc w:val="both"/>
        <w:rPr>
          <w:rFonts w:ascii="TimesNewRomanPSMT" w:hAnsi="TimesNewRomanPSMT" w:cs="TimesNewRomanPSMT"/>
          <w:lang w:val="fr-FR"/>
        </w:rPr>
      </w:pPr>
      <w:r>
        <w:rPr>
          <w:rFonts w:cs="TimesNewRomanPSMT" w:ascii="TimesNewRomanPSMT" w:hAnsi="TimesNewRomanPSMT"/>
        </w:rPr>
        <w:t>1 - Date d’acquisition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lang w:val="fr-FR"/>
        </w:rPr>
      </w:pPr>
      <w:r>
        <w:rPr>
          <w:rFonts w:cs="TimesNewRomanPSMT" w:ascii="TimesNewRomanPSMT" w:hAnsi="TimesNewRomanPSMT"/>
        </w:rPr>
        <w:t>2 - Date prévisible d’achèvement des travaux</w:t>
      </w:r>
      <w:r>
        <w:rPr>
          <w:rFonts w:cs="TimesNewRomanPSMT" w:ascii="TimesNewRomanPSMT" w:hAnsi="TimesNewRomanPSMT"/>
          <w:lang w:val="fr-FR"/>
        </w:rPr>
        <w: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 Modalités de financement :</w:t>
      </w:r>
    </w:p>
    <w:p>
      <w:pPr>
        <w:pStyle w:val="Normal"/>
        <w:jc w:val="both"/>
        <w:rPr>
          <w:rFonts w:ascii="TimesNewRomanPSMT" w:hAnsi="TimesNewRomanPSMT" w:cs="TimesNewRomanPSMT"/>
          <w:lang w:val="fr-FR"/>
        </w:rPr>
      </w:pP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 Logements financés dans les conditions prévues à l’article 1, 4°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if  convention.type2_lgts_concernes_option4 -%}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1 </w:t>
      </w:r>
      <w:r>
        <w:rPr>
          <w:rFonts w:cs="TimesNewRomanPSMT" w:ascii="TimesNewRomanPSMT" w:hAnsi="TimesNewRomanPSMT"/>
          <w:lang w:val="fr-FR"/>
        </w:rPr>
        <w:t>-</w:t>
      </w:r>
      <w:r>
        <w:rPr>
          <w:rFonts w:cs="TimesNewRomanPSMT" w:ascii="TimesNewRomanPSMT" w:hAnsi="TimesNewRomanPSMT"/>
        </w:rPr>
        <w:t xml:space="preserve"> Date à laquelle le bailleur s’engage à effectuer les travaux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2 </w:t>
      </w:r>
      <w:r>
        <w:rPr>
          <w:rFonts w:cs="TimesNewRomanPSMT" w:ascii="TimesNewRomanPSMT" w:hAnsi="TimesNewRomanPSMT"/>
          <w:lang w:val="fr-FR"/>
        </w:rPr>
        <w:t>-</w:t>
      </w:r>
      <w:r>
        <w:rPr>
          <w:rFonts w:cs="TimesNewRomanPSMT" w:ascii="TimesNewRomanPSMT" w:hAnsi="TimesNewRomanPSMT"/>
        </w:rPr>
        <w:t xml:space="preserve"> Date prévisible d’achèvement des travaux :</w:t>
      </w:r>
      <w:r>
        <w:rPr>
          <w:rFonts w:cs="TimesNewRomanPSMT" w:ascii="TimesNewRomanPSMT" w:hAnsi="TimesNewRomanPSMT"/>
          <w:lang w:val="fr-FR"/>
        </w:rPr>
        <w:t xml:space="preserve"> </w:t>
      </w:r>
      <w:r>
        <w:rPr>
          <w:rFonts w:cs="TimesNewRomanPSMT" w:ascii="TimesNewRomanPSMT" w:hAnsi="TimesNewRomanPSMT"/>
        </w:rPr>
        <w:t>{{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rPr>
      </w:pPr>
      <w:r>
        <w:rPr>
          <w:rFonts w:cs="TimesNewRomanPSMT" w:ascii="TimesNewRomanPSMT" w:hAnsi="TimesNewRomanPSMT"/>
        </w:rPr>
        <w:t xml:space="preserve">3 </w:t>
      </w:r>
      <w:r>
        <w:rPr>
          <w:rFonts w:cs="TimesNewRomanPSMT" w:ascii="TimesNewRomanPSMT" w:hAnsi="TimesNewRomanPSMT"/>
          <w:lang w:val="en-US"/>
        </w:rPr>
        <w:t>-</w:t>
      </w:r>
      <w:r>
        <w:rPr>
          <w:rFonts w:cs="TimesNewRomanPSMT" w:ascii="TimesNewRomanPSMT" w:hAnsi="TimesNewRomanPSMT"/>
        </w:rPr>
        <w:t xml:space="preserve"> Modalités de financement :</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Normal"/>
        <w:jc w:val="both"/>
        <w:rPr>
          <w:rFonts w:ascii="TimesNewRomanPSMT" w:hAnsi="TimesNewRomanPSMT" w:cs="TimesNewRomanPSMT"/>
        </w:rPr>
      </w:pPr>
      <w:r>
        <w:rPr>
          <w:rFonts w:cs="TimesNewRomanPSMT" w:ascii="TimesNewRomanPSMT" w:hAnsi="TimesNewRomanPSMT"/>
        </w:rPr>
        <w:t>Numéro : {{ p.n }}</w:t>
      </w:r>
    </w:p>
    <w:p>
      <w:pPr>
        <w:pStyle w:val="Normal"/>
        <w:jc w:val="both"/>
        <w:rPr>
          <w:rFonts w:ascii="TimesNewRomanPSMT" w:hAnsi="TimesNewRomanPSMT" w:cs="TimesNewRomanPSMT"/>
        </w:rPr>
      </w:pPr>
      <w:r>
        <w:rPr>
          <w:rFonts w:cs="TimesNewRomanPSMT" w:ascii="TimesNewRomanPSMT" w:hAnsi="TimesNewRomanPSMT"/>
        </w:rPr>
        <w:t>Date d’octroi : {{ p.do|sd }}</w:t>
      </w:r>
    </w:p>
    <w:p>
      <w:pPr>
        <w:pStyle w:val="Normal"/>
        <w:jc w:val="both"/>
        <w:rPr>
          <w:rFonts w:ascii="TimesNewRomanPSMT" w:hAnsi="TimesNewRomanPSMT" w:cs="TimesNewRomanPSMT"/>
        </w:rPr>
      </w:pPr>
      <w:r>
        <w:rPr>
          <w:rFonts w:cs="TimesNewRomanPSMT" w:ascii="TimesNewRomanPSMT" w:hAnsi="TimesNewRomanPSMT"/>
        </w:rPr>
        <w:t>Durée: {{ p.d }} an{{ p.d|pl }}</w:t>
      </w:r>
    </w:p>
    <w:p>
      <w:pPr>
        <w:pStyle w:val="Normal"/>
        <w:jc w:val="both"/>
        <w:rPr>
          <w:rFonts w:ascii="TimesNewRomanPSMT" w:hAnsi="TimesNewRomanPSMT" w:cs="TimesNewRomanPSMT"/>
        </w:rPr>
      </w:pPr>
      <w:r>
        <w:rPr>
          <w:rFonts w:cs="TimesNewRomanPSMT" w:ascii="TimesNewRomanPSMT" w:hAnsi="TimesNewRomanPSMT"/>
        </w:rPr>
        <w:t>Montant : {{ p.m|f }} €</w:t>
      </w:r>
    </w:p>
    <w:p>
      <w:pPr>
        <w:pStyle w:val="Normal"/>
        <w:jc w:val="both"/>
        <w:rPr>
          <w:rFonts w:ascii="TimesNewRomanPSMT" w:hAnsi="TimesNewRomanPSMT" w:cs="TimesNewRomanPSMT"/>
        </w:rPr>
      </w:pPr>
      <w:r>
        <w:rPr>
          <w:rFonts w:cs="TimesNewRomanPSMT" w:ascii="TimesNewRomanPSMT" w:hAnsi="TimesNewRomanPSMT"/>
        </w:rPr>
        <w:t>Prêteur : {{ p.p_full()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autres_prets.count() %} Financement complémentaire :</w:t>
      </w:r>
    </w:p>
    <w:p>
      <w:pPr>
        <w:pStyle w:val="Normal"/>
        <w:jc w:val="both"/>
        <w:rPr>
          <w:rFonts w:ascii="TimesNewRomanPSMT" w:hAnsi="TimesNewRomanPSMT" w:cs="TimesNewRomanPSMT"/>
        </w:rPr>
      </w:pPr>
      <w:r>
        <w:rPr>
          <w:rFonts w:cs="TimesNewRomanPSMT" w:ascii="TimesNewRomanPSMT" w:hAnsi="TimesNewRomanPSMT"/>
        </w:rPr>
        <w:t>{% for p in autres_prets %}{% if p.n %}</w:t>
      </w:r>
    </w:p>
    <w:p>
      <w:pPr>
        <w:pStyle w:val="Normal"/>
        <w:jc w:val="both"/>
        <w:rPr>
          <w:rFonts w:ascii="TimesNewRomanPSMT" w:hAnsi="TimesNewRomanPSMT" w:cs="TimesNewRomanPSMT"/>
        </w:rPr>
      </w:pPr>
      <w:r>
        <w:rPr>
          <w:rFonts w:cs="TimesNewRomanPSMT" w:ascii="TimesNewRomanPSMT" w:hAnsi="TimesNewRomanPSMT"/>
        </w:rPr>
        <w:t>Numéro : {{ p.n }}{% endif %}{% if p.do %}</w:t>
      </w:r>
    </w:p>
    <w:p>
      <w:pPr>
        <w:pStyle w:val="Normal"/>
        <w:jc w:val="both"/>
        <w:rPr>
          <w:rFonts w:ascii="TimesNewRomanPSMT" w:hAnsi="TimesNewRomanPSMT" w:cs="TimesNewRomanPSMT"/>
        </w:rPr>
      </w:pPr>
      <w:r>
        <w:rPr>
          <w:rFonts w:cs="TimesNewRomanPSMT" w:ascii="TimesNewRomanPSMT" w:hAnsi="TimesNewRomanPSMT"/>
        </w:rPr>
        <w:t>Date d’octroi : {{ p.do|sd }}{% endif %}{% if p.d %}</w:t>
      </w:r>
    </w:p>
    <w:p>
      <w:pPr>
        <w:pStyle w:val="Normal"/>
        <w:jc w:val="both"/>
        <w:rPr>
          <w:rFonts w:ascii="TimesNewRomanPSMT" w:hAnsi="TimesNewRomanPSMT" w:cs="TimesNewRomanPSMT"/>
        </w:rPr>
      </w:pPr>
      <w:r>
        <w:rPr>
          <w:rFonts w:cs="TimesNewRomanPSMT" w:ascii="TimesNewRomanPSMT" w:hAnsi="TimesNewRomanPSMT"/>
        </w:rPr>
        <w:t>Durée : {{ p.d }} an{{ p.d|pl }}{% endif %}{% if p.m %}</w:t>
      </w:r>
    </w:p>
    <w:p>
      <w:pPr>
        <w:pStyle w:val="Normal"/>
        <w:jc w:val="both"/>
        <w:rPr>
          <w:rFonts w:ascii="TimesNewRomanPSMT" w:hAnsi="TimesNewRomanPSMT" w:cs="TimesNewRomanPSMT"/>
        </w:rPr>
      </w:pPr>
      <w:r>
        <w:rPr>
          <w:rFonts w:cs="TimesNewRomanPSMT" w:ascii="TimesNewRomanPSMT" w:hAnsi="TimesNewRomanPSMT"/>
        </w:rPr>
        <w:t>Montant : {{ p.m|f }} €{% endif %}{% if p.preteur_display() %}</w:t>
      </w:r>
    </w:p>
    <w:p>
      <w:pPr>
        <w:pStyle w:val="Normal"/>
        <w:jc w:val="both"/>
        <w:rPr>
          <w:rFonts w:ascii="TimesNewRomanPSMT" w:hAnsi="TimesNewRomanPSMT" w:cs="TimesNewRomanPSMT"/>
        </w:rPr>
      </w:pPr>
      <w:r>
        <w:rPr>
          <w:rFonts w:cs="TimesNewRomanPSMT" w:ascii="TimesNewRomanPSMT" w:hAnsi="TimesNewRomanPSMT"/>
        </w:rPr>
        <w:t>Prêteur : {{ p.preteur_display() }}{% endif %}</w:t>
      </w:r>
    </w:p>
    <w:p>
      <w:pPr>
        <w:pStyle w:val="Normal"/>
        <w:jc w:val="both"/>
        <w:rPr>
          <w:rFonts w:ascii="TimesNewRomanPSMT" w:hAnsi="TimesNewRomanPSMT" w:cs="TimesNewRomanPSMT"/>
        </w:rPr>
      </w:pPr>
      <w:r>
        <w:rPr>
          <w:rFonts w:cs="TimesNewRomanPSMT" w:ascii="TimesNewRomanPSMT" w:hAnsi="TimesNewRomanPSMT"/>
        </w:rPr>
        <w:t>{% endfor %}{% endif %}</w:t>
      </w:r>
    </w:p>
    <w:p>
      <w:pPr>
        <w:pStyle w:val="Normal"/>
        <w:jc w:val="both"/>
        <w:rPr>
          <w:rFonts w:ascii="TimesNewRomanPSMT" w:hAnsi="TimesNewRomanPSMT" w:cs="TimesNewRomanPSMT"/>
        </w:rPr>
      </w:pPr>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t>{% endif %}{% else -%}</w:t>
      </w:r>
    </w:p>
    <w:p>
      <w:pPr>
        <w:pStyle w:val="Normal"/>
        <w:jc w:val="both"/>
        <w:rPr>
          <w:rFonts w:ascii="TimesNewRomanPSMT" w:hAnsi="TimesNewRomanPSMT" w:cs="TimesNewRomanPSMT"/>
        </w:rPr>
      </w:pPr>
      <w:r>
        <w:rPr>
          <w:rFonts w:cs="TimesNewRomanPSMT" w:ascii="TimesNewRomanPSMT" w:hAnsi="TimesNewRomanPSMT"/>
        </w:rPr>
        <w:t xml:space="preserve">1 </w:t>
      </w:r>
      <w:r>
        <w:rPr>
          <w:rFonts w:cs="TimesNewRomanPSMT" w:ascii="TimesNewRomanPSMT" w:hAnsi="TimesNewRomanPSMT"/>
          <w:lang w:val="fr-FR"/>
        </w:rPr>
        <w:t>-</w:t>
      </w:r>
      <w:r>
        <w:rPr>
          <w:rFonts w:cs="TimesNewRomanPSMT" w:ascii="TimesNewRomanPSMT" w:hAnsi="TimesNewRomanPSMT"/>
        </w:rPr>
        <w:t xml:space="preserve"> Date à laquelle le bailleur s’engage à effectuer les travaux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2 </w:t>
      </w:r>
      <w:r>
        <w:rPr>
          <w:rFonts w:cs="TimesNewRomanPSMT" w:ascii="TimesNewRomanPSMT" w:hAnsi="TimesNewRomanPSMT"/>
          <w:lang w:val="fr-FR"/>
        </w:rPr>
        <w:t>-</w:t>
      </w:r>
      <w:r>
        <w:rPr>
          <w:rFonts w:cs="TimesNewRomanPSMT" w:ascii="TimesNewRomanPSMT" w:hAnsi="TimesNewRomanPSMT"/>
        </w:rPr>
        <w:t xml:space="preserve"> Date prévisible d’achèvement des travaux :</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rPr>
      </w:pPr>
      <w:r>
        <w:rPr>
          <w:rFonts w:cs="TimesNewRomanPSMT" w:ascii="TimesNewRomanPSMT" w:hAnsi="TimesNewRomanPSMT"/>
        </w:rPr>
        <w:t xml:space="preserve">3 </w:t>
      </w:r>
      <w:r>
        <w:rPr>
          <w:rFonts w:cs="TimesNewRomanPSMT" w:ascii="TimesNewRomanPSMT" w:hAnsi="TimesNewRomanPSMT"/>
          <w:lang w:val="fr-FR"/>
        </w:rPr>
        <w:t>-</w:t>
      </w:r>
      <w:r>
        <w:rPr>
          <w:rFonts w:cs="TimesNewRomanPSMT" w:ascii="TimesNewRomanPSMT" w:hAnsi="TimesNewRomanPSMT"/>
        </w:rPr>
        <w:t xml:space="preserve"> Modalités de financement :</w:t>
      </w:r>
    </w:p>
    <w:p>
      <w:pPr>
        <w:pStyle w:val="Normal"/>
        <w:jc w:val="both"/>
        <w:rPr/>
      </w:pPr>
      <w:r>
        <w:rPr>
          <w:rFonts w:cs="TimesNewRomanPSMT" w:ascii="TimesNewRomanPSMT" w:hAnsi="TimesNewRomanPSMT"/>
          <w:lang w:val="fr-FR"/>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mc:AlternateContent>
          <mc:Choice Requires="wps">
            <w:drawing>
              <wp:inline distT="0" distB="1905" distL="0" distR="635" wp14:anchorId="146E7DB9">
                <wp:extent cx="5232400" cy="2716530"/>
                <wp:effectExtent l="0" t="0" r="635" b="1905"/>
                <wp:docPr id="3" name="Form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8</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05pt;width:411.9pt;height:213.8pt;mso-wrap-style:square;v-text-anchor:top;mso-position-vertical:top" wp14:anchorId="146E7DB9">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w:t>
                      </w:r>
                      <w:r>
                        <w:rPr>
                          <w:rFonts w:cs="TimesNewRomanPSMT" w:ascii="TimesNewRomanPSMT" w:hAnsi="TimesNewRomanPSMT"/>
                          <w:lang w:val="fr-FR"/>
                        </w:rPr>
                        <w:t>8</w:t>
                      </w:r>
                      <w:r>
                        <w:rPr>
                          <w:rFonts w:cs="TimesNewRomanPSMT" w:ascii="TimesNewRomanPSMT" w:hAnsi="TimesNewRomanPSMT"/>
                        </w:rPr>
                        <w:t>),</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p>
    <w:p>
      <w:pPr>
        <w:pStyle w:val="Normal"/>
        <w:rPr/>
      </w:pPr>
      <w:r>
        <w:rPr/>
      </w:r>
    </w:p>
    <w:p>
      <w:pPr>
        <w:pStyle w:val="Normal"/>
        <w:rPr>
          <w:rFonts w:ascii="TimesNewRomanPSMT" w:hAnsi="TimesNewRomanPSMT" w:cs="TimesNewRomanPSMT"/>
          <w:sz w:val="16"/>
          <w:szCs w:val="16"/>
        </w:rPr>
      </w:pPr>
      <w:r>
        <w:rPr>
          <w:rFonts w:cs="TimesNewRomanPSMT" w:ascii="TimesNewRomanPSMT" w:hAnsi="TimesNewRomanPSMT"/>
          <w:sz w:val="16"/>
          <w:szCs w:val="16"/>
        </w:rPr>
        <w:t>(1) Nom de la personne physique ou morale identifiée conformément aux dispositions, selon le cas,des articles 5 ou 6 du décret n° 55-22 du 4 janvier 1955 modifié portant réforme 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(3) Si le propriétaire est une personne morale, indiquer le nom de son représentant.</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(4) Rayer la mention inutile ou indiquer les logements concernés par chaque variante.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(5) Indiquer le plus petit nombre entier permettant de respecter l'engagement de 30 %.</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(6) Indiquer un nombre.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(7) Rayer la mention inutile.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(8) Le bailleur doit avoir, préalablement à sa signature, paraphé chacune des pages.</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(9) Etablie conformément à l'article 7 du décret n° 55-22 du 4 janvier 1955 modifié portant réformede la publicité foncière.</w:t>
      </w:r>
    </w:p>
    <w:p>
      <w:pPr>
        <w:pStyle w:val="Normal"/>
        <w:rPr>
          <w:rFonts w:ascii="TimesNewRomanPSMT" w:hAnsi="TimesNewRomanPSMT" w:cs="TimesNewRomanPSMT"/>
          <w:sz w:val="16"/>
          <w:szCs w:val="16"/>
        </w:rPr>
      </w:pPr>
      <w:r>
        <w:rPr>
          <w:rFonts w:cs="TimesNewRomanPSMT" w:ascii="TimesNewRomanPSMT" w:hAnsi="TimesNewRomanPSMT"/>
          <w:sz w:val="16"/>
          <w:szCs w:val="16"/>
        </w:rPr>
      </w:r>
    </w:p>
    <w:p>
      <w:pPr>
        <w:pStyle w:val="Normal"/>
        <w:rPr>
          <w:rFonts w:ascii="TimesNewRomanPSMT" w:hAnsi="TimesNewRomanPSMT" w:cs="TimesNewRomanPSMT"/>
          <w:sz w:val="16"/>
          <w:szCs w:val="16"/>
        </w:rPr>
      </w:pPr>
      <w:r>
        <w:rPr>
          <w:rFonts w:cs="TimesNewRomanPSMT" w:ascii="TimesNewRomanPSMT" w:hAnsi="TimesNewRomanPSMT"/>
          <w:sz w:val="16"/>
          <w:szCs w:val="16"/>
        </w:rPr>
        <w:t>(10) Dans le cas où l’opération a été financée à l’aide du PLUS.</w:t>
      </w:r>
    </w:p>
    <w:p>
      <w:pPr>
        <w:pStyle w:val="Normal"/>
        <w:ind w:right="283" w:hanging="0"/>
        <w:rPr>
          <w:rFonts w:ascii="TimesNewRomanPSMT" w:hAnsi="TimesNewRomanPSMT" w:cs="TimesNewRomanPSMT"/>
          <w:color w:val="000000"/>
          <w:sz w:val="16"/>
          <w:szCs w:val="16"/>
        </w:rPr>
      </w:pPr>
      <w:r>
        <w:rPr>
          <w:rFonts w:cs="TimesNewRomanPSMT" w:ascii="TimesNewRomanPSMT" w:hAnsi="TimesNewRomanPSMT"/>
          <w:color w:val="000000"/>
          <w:sz w:val="16"/>
          <w:szCs w:val="16"/>
        </w:rPr>
      </w:r>
    </w:p>
    <w:p>
      <w:pPr>
        <w:pStyle w:val="Normal"/>
        <w:ind w:right="283" w:hanging="0"/>
        <w:rPr>
          <w:rFonts w:ascii="TimesNewRomanPSMT" w:hAnsi="TimesNewRomanPSMT" w:cs="TimesNewRomanPSMT"/>
          <w:color w:val="000000"/>
          <w:sz w:val="16"/>
          <w:szCs w:val="16"/>
        </w:rPr>
      </w:pPr>
      <w:r>
        <w:rPr>
          <w:rFonts w:cs="TimesNewRomanPSMT" w:ascii="TimesNewRomanPSMT" w:hAnsi="TimesNewRomanPSMT"/>
          <w:color w:val="000000"/>
          <w:sz w:val="16"/>
          <w:szCs w:val="16"/>
        </w:rPr>
      </w:r>
    </w:p>
    <w:p>
      <w:pPr>
        <w:pStyle w:val="Normal"/>
        <w:ind w:right="283" w:hanging="0"/>
        <w:rPr/>
      </w:pPr>
      <w:r>
        <w:rPr/>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27</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75" w:name="Siret2"/>
      <w:bookmarkEnd w:id="75"/>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Open San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62" wp14:anchorId="1C468005">
              <wp:simplePos x="0" y="0"/>
              <wp:positionH relativeFrom="page">
                <wp:posOffset>6844665</wp:posOffset>
              </wp:positionH>
              <wp:positionV relativeFrom="page">
                <wp:posOffset>252095</wp:posOffset>
              </wp:positionV>
              <wp:extent cx="264795" cy="163830"/>
              <wp:effectExtent l="0" t="0" r="0" b="0"/>
              <wp:wrapSquare wrapText="largest"/>
              <wp:docPr id="5" name="Text Box 2"/>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fillRef idx="0"/>
                      <a:effectRef idx="0"/>
                      <a:fontRef idx="minor"/>
                    </wps:style>
                    <wps:txb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26</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r>
                            <w:rPr>
                              <w:rStyle w:val="Pagenumber"/>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95pt;margin-top:19.85pt;width:20.75pt;height:12.8pt;mso-wrap-style:square;v-text-anchor:top;mso-position-horizontal-relative:page;mso-position-vertical-relative:page" wp14:anchorId="1C468005">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26</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r>
                      <w:rPr>
                        <w:rStyle w:val="Pagenumber"/>
                      </w:rPr>
                      <w:t xml:space="preserve"> -101010 878</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mc:AlternateContent>
        <mc:Choice Requires="wps">
          <w:drawing>
            <wp:anchor behindDoc="1" distT="0" distB="0" distL="0" distR="0" simplePos="0" locked="0" layoutInCell="0" allowOverlap="1" relativeHeight="30" wp14:anchorId="6DE7176B">
              <wp:simplePos x="0" y="0"/>
              <wp:positionH relativeFrom="page">
                <wp:posOffset>6841490</wp:posOffset>
              </wp:positionH>
              <wp:positionV relativeFrom="page">
                <wp:posOffset>251460</wp:posOffset>
              </wp:positionV>
              <wp:extent cx="264795" cy="163830"/>
              <wp:effectExtent l="0" t="0" r="0" b="0"/>
              <wp:wrapSquare wrapText="largest"/>
              <wp:docPr id="7" name="Text Box 2"/>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fillRef idx="0"/>
                      <a:effectRef idx="0"/>
                      <a:fontRef idx="minor"/>
                    </wps:style>
                    <wps:txb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27</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r>
                            <w:rPr>
                              <w:rStyle w:val="Pagenumber"/>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7pt;margin-top:19.8pt;width:20.75pt;height:12.8pt;mso-wrap-style:square;v-text-anchor:top;mso-position-horizontal-relative:page;mso-position-vertical-relative:page" wp14:anchorId="6DE7176B">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27</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27</w:t>
                    </w:r>
                    <w:r>
                      <w:rPr>
                        <w:rStyle w:val="Pagenumber"/>
                      </w:rPr>
                      <w:fldChar w:fldCharType="end"/>
                    </w:r>
                    <w:r>
                      <w:rPr>
                        <w:rStyle w:val="Pagenumber"/>
                      </w:rPr>
                      <w:t xml:space="preserve"> -101010 878</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lang w:val="fr-FR"/>
            </w:rPr>
          </w:pPr>
          <w:r>
            <w:rPr>
              <w:rFonts w:eastAsia="Times New Roman" w:cs="Times New Roman"/>
              <w:kern w:val="0"/>
              <w:sz w:val="12"/>
              <w:szCs w:val="12"/>
              <w:lang w:val="en-FR" w:eastAsia="en-GB" w:bidi="ar-SA"/>
            </w:rPr>
          </w:r>
        </w:p>
        <w:p>
          <w:pPr>
            <w:pStyle w:val="Normal"/>
            <w:widowControl/>
            <w:spacing w:before="0" w:after="0"/>
            <w:jc w:val="center"/>
            <w:rPr>
              <w:lang w:val="fr-FR"/>
            </w:rPr>
          </w:pPr>
          <w:r>
            <w:rPr>
              <w:rFonts w:eastAsia="Times New Roman" w:cs="Times New Roman"/>
              <w:kern w:val="0"/>
              <w:lang w:val="en-FR" w:eastAsia="en-GB" w:bidi="ar-SA"/>
            </w:rPr>
            <mc:AlternateContent>
              <mc:Choice Requires="wps">
                <w:drawing>
                  <wp:anchor behindDoc="1" distT="0" distB="0" distL="0" distR="0" simplePos="0" locked="0" layoutInCell="1" allowOverlap="1" relativeHeight="33" wp14:anchorId="4BE100B5">
                    <wp:simplePos x="0" y="0"/>
                    <wp:positionH relativeFrom="column">
                      <wp:posOffset>4092575</wp:posOffset>
                    </wp:positionH>
                    <wp:positionV relativeFrom="page">
                      <wp:posOffset>184785</wp:posOffset>
                    </wp:positionV>
                    <wp:extent cx="799465" cy="307340"/>
                    <wp:effectExtent l="0" t="0" r="0" b="0"/>
                    <wp:wrapNone/>
                    <wp:docPr id="9"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25475" cy="36576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spacing w:before="0" w:after="0"/>
            <w:jc w:val="left"/>
            <w:rPr>
              <w:lang w:val="fr-FR"/>
            </w:rPr>
          </w:pPr>
          <w:r>
            <w:rPr>
              <w:rFonts w:eastAsia="Times New Roman" w:cs="Times New Roman"/>
              <w:kern w:val="0"/>
              <w:lang w:val="en-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en-FR" w:eastAsia="en-GB" w:bidi="ar-SA"/>
            </w:rPr>
          </w:r>
        </w:p>
        <w:p>
          <w:pPr>
            <w:pStyle w:val="Form10C"/>
            <w:widowControl/>
            <w:spacing w:before="0" w:after="0"/>
            <w:rPr>
              <w:sz w:val="4"/>
            </w:rPr>
          </w:pPr>
          <w:r>
            <w:rPr>
              <w:rFonts w:cs="Times New Roman"/>
              <w:kern w:val="0"/>
              <w:sz w:val="20"/>
              <w:szCs w:val="20"/>
              <w:lang w:bidi="ar-SA"/>
            </w:rPr>
          </w:r>
        </w:p>
        <w:p>
          <w:pPr>
            <w:pStyle w:val="Normal"/>
            <w:widowControl/>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spacing w:before="0" w:after="0"/>
            <w:rPr>
              <w:sz w:val="4"/>
              <w:szCs w:val="4"/>
            </w:rPr>
          </w:pPr>
          <w:r>
            <w:rPr>
              <w:rFonts w:cs="Times New Roman"/>
              <w:kern w:val="0"/>
              <w:sz w:val="20"/>
              <w:szCs w:val="20"/>
              <w:lang w:bidi="ar-SA"/>
            </w:rPr>
          </w:r>
        </w:p>
        <w:p>
          <w:pPr>
            <w:pStyle w:val="Form10C"/>
            <w:widowControl/>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spacing w:before="0" w:after="0"/>
            <w:jc w:val="left"/>
            <w:rPr>
              <w:lang w:val="fr-FR"/>
            </w:rPr>
          </w:pPr>
          <w:r>
            <w:rPr>
              <w:rFonts w:eastAsia="Times New Roman" w:cs="Times New Roman"/>
              <w:kern w:val="0"/>
              <w:lang w:val="en-FR" w:eastAsia="en-GB" w:bidi="ar-SA"/>
            </w:rPr>
          </w:r>
        </w:p>
      </w:tc>
      <w:tc>
        <w:tcPr>
          <w:tcW w:w="3440" w:type="dxa"/>
          <w:tcBorders>
            <w:right w:val="nil"/>
          </w:tcBorders>
        </w:tcPr>
        <w:p>
          <w:pPr>
            <w:pStyle w:val="Normal"/>
            <w:widowControl/>
            <w:spacing w:before="0" w:after="0"/>
            <w:jc w:val="left"/>
            <w:rPr>
              <w:sz w:val="4"/>
              <w:szCs w:val="4"/>
              <w:lang w:val="fr-FR"/>
            </w:rPr>
          </w:pPr>
          <w:r>
            <w:rPr>
              <w:rFonts w:eastAsia="Times New Roman" w:cs="Times New Roman"/>
              <w:kern w:val="0"/>
              <w:sz w:val="4"/>
              <w:szCs w:val="4"/>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spacing w:before="0" w:after="0"/>
            <w:jc w:val="left"/>
            <w:rPr>
              <w:sz w:val="20"/>
              <w:szCs w:val="20"/>
              <w:lang w:val="fr-FR"/>
            </w:rPr>
          </w:pPr>
          <w:r>
            <w:rPr>
              <w:rFonts w:eastAsia="Times New Roman" w:cs="Times New Roman"/>
              <w:kern w:val="0"/>
              <w:sz w:val="20"/>
              <w:szCs w:val="20"/>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en-FR" w:eastAsia="en-GB" w:bidi="ar-SA"/>
            </w:rPr>
          </w:r>
        </w:p>
        <w:p>
          <w:pPr>
            <w:pStyle w:val="Form10J"/>
            <w:widowControl/>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spacing w:before="0" w:after="0"/>
            <w:jc w:val="left"/>
            <w:rPr>
              <w:sz w:val="22"/>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spacing w:before="0" w:after="0"/>
            <w:jc w:val="left"/>
            <w:rPr>
              <w:sz w:val="2"/>
            </w:rPr>
          </w:pPr>
          <w:r>
            <w:rPr>
              <w:rFonts w:cs="Times New Roman"/>
              <w:kern w:val="0"/>
              <w:sz w:val="20"/>
              <w:szCs w:val="20"/>
              <w:lang w:bidi="ar-SA"/>
            </w:rPr>
          </w:r>
        </w:p>
        <w:p>
          <w:pPr>
            <w:pStyle w:val="Form10J"/>
            <w:widowControl/>
            <w:spacing w:before="0" w:after="0"/>
            <w:jc w:val="left"/>
            <w:rPr>
              <w:sz w:val="2"/>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3" wp14:anchorId="314566BD">
              <wp:simplePos x="0" y="0"/>
              <wp:positionH relativeFrom="page">
                <wp:posOffset>5577840</wp:posOffset>
              </wp:positionH>
              <wp:positionV relativeFrom="page">
                <wp:posOffset>2743200</wp:posOffset>
              </wp:positionV>
              <wp:extent cx="1372870" cy="1270"/>
              <wp:effectExtent l="12700" t="12700" r="12065" b="12065"/>
              <wp:wrapNone/>
              <wp:docPr id="12"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32" wp14:anchorId="0664A23D">
              <wp:simplePos x="0" y="0"/>
              <wp:positionH relativeFrom="page">
                <wp:posOffset>6884035</wp:posOffset>
              </wp:positionH>
              <wp:positionV relativeFrom="page">
                <wp:posOffset>196215</wp:posOffset>
              </wp:positionV>
              <wp:extent cx="272415" cy="180975"/>
              <wp:effectExtent l="0" t="0" r="0" b="0"/>
              <wp:wrapNone/>
              <wp:docPr id="13" name="Group 14"/>
              <a:graphic xmlns:a="http://schemas.openxmlformats.org/drawingml/2006/main">
                <a:graphicData uri="http://schemas.microsoft.com/office/word/2010/wordprocessingGroup">
                  <wpg:wgp>
                    <wpg:cNvGrpSpPr/>
                    <wpg:grpSpPr>
                      <a:xfrm>
                        <a:off x="0" y="0"/>
                        <a:ext cx="271800" cy="180360"/>
                        <a:chOff x="6883920" y="196200"/>
                        <a:chExt cx="271800" cy="180360"/>
                      </a:xfrm>
                    </wpg:grpSpPr>
                    <wps:wsp>
                      <wps:cNvSpPr/>
                      <wps:spPr>
                        <a:xfrm>
                          <a:off x="4320" y="4320"/>
                          <a:ext cx="267480" cy="176040"/>
                        </a:xfrm>
                        <a:prstGeom prst="roundRect">
                          <a:avLst>
                            <a:gd name="adj" fmla="val 16667"/>
                          </a:avLst>
                        </a:prstGeom>
                        <a:noFill/>
                        <a:ln w="0">
                          <a:noFill/>
                        </a:ln>
                      </wps:spPr>
                      <wps:style>
                        <a:lnRef idx="0"/>
                        <a:fillRef idx="0"/>
                        <a:effectRef idx="0"/>
                        <a:fontRef idx="minor"/>
                      </wps:style>
                      <wps:bodyPr/>
                    </wps:wsp>
                    <wps:wsp>
                      <wps:cNvSpPr/>
                      <wps:spPr>
                        <a:xfrm>
                          <a:off x="0" y="0"/>
                          <a:ext cx="267480" cy="1760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pt;height:14.2pt" coordorigin="10841,309" coordsize="428,284">
              <v:rect id="shape_0" ID="Text Box 16" path="m0,0l-2147483645,0l-2147483645,-2147483646l0,-2147483646xe" stroked="f" o:allowincell="f" style="position:absolute;left:10841;top:309;width:420;height:27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35" wp14:anchorId="20DB70F0">
              <wp:simplePos x="0" y="0"/>
              <wp:positionH relativeFrom="page">
                <wp:posOffset>474345</wp:posOffset>
              </wp:positionH>
              <wp:positionV relativeFrom="page">
                <wp:posOffset>268605</wp:posOffset>
              </wp:positionV>
              <wp:extent cx="997585" cy="631825"/>
              <wp:effectExtent l="0" t="0" r="0" b="0"/>
              <wp:wrapNone/>
              <wp:docPr id="14"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8.65pt;height:26pt;mso-wrap-distance-right:0pt" filled="t" fillcolor="#FFFFFF" o:ole="">
                                <v:imagedata r:id="rId3" o:title=""/>
                              </v:shape>
                              <o:OLEObject Type="Embed" ProgID="Word.Picture.8" ShapeID="ole_rId2" DrawAspect="Content" ObjectID="_1630667919"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8.65pt;height:26pt;mso-wrap-distance-right:0pt" filled="t" fillcolor="#FFFFFF" o:ole="">
                          <v:imagedata r:id="rId5" o:title=""/>
                        </v:shape>
                        <o:OLEObject Type="Embed" ProgID="Word.Picture.8" ShapeID="ole_rId4" DrawAspect="Content" ObjectID="_1928370061"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6e0e"/>
    <w:pPr>
      <w:widowControl/>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tru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tru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tru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tru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tru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val="fr-FR" w:eastAsia="zh-CN" w:bidi="ar-SA"/>
    </w:rPr>
  </w:style>
  <w:style w:type="paragraph" w:styleId="Notedebasdepage">
    <w:name w:val="Footnote Text"/>
    <w:basedOn w:val="Normal"/>
    <w:pPr>
      <w:suppressAutoHyphens w:val="true"/>
      <w:overflowPunct w:val="true"/>
      <w:textAlignment w:val="baseline"/>
    </w:pPr>
    <w:rPr>
      <w:sz w:val="20"/>
      <w:szCs w:val="20"/>
      <w:lang w:val="fr-FR"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tru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true"/>
      <w:jc w:val="both"/>
      <w:textAlignment w:val="baseline"/>
    </w:pPr>
    <w:rPr>
      <w:i/>
      <w:szCs w:val="20"/>
      <w:u w:val="single"/>
      <w:lang w:val="fr-FR" w:eastAsia="zh-CN"/>
    </w:rPr>
  </w:style>
  <w:style w:type="paragraph" w:styleId="TITRE51" w:customStyle="1">
    <w:name w:val="TITRE5"/>
    <w:basedOn w:val="Normal"/>
    <w:qFormat/>
    <w:pPr>
      <w:suppressAutoHyphens w:val="true"/>
      <w:overflowPunct w:val="tru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true"/>
      <w:jc w:val="both"/>
      <w:textAlignment w:val="baseline"/>
    </w:pPr>
    <w:rPr>
      <w:szCs w:val="20"/>
      <w:lang w:val="fr-FR" w:eastAsia="zh-CN"/>
    </w:rPr>
  </w:style>
  <w:style w:type="paragraph" w:styleId="ListParagraph">
    <w:name w:val="List Paragraph"/>
    <w:basedOn w:val="Normal"/>
    <w:uiPriority w:val="34"/>
    <w:qFormat/>
    <w:rsid w:val="00815bb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Application>LibreOffice/7.2.6.2$Windows_X86_64 LibreOffice_project/b0ec3a565991f7569a5a7f5d24fed7f52653d754</Application>
  <AppVersion>15.0000</AppVersion>
  <Pages>27</Pages>
  <Words>10005</Words>
  <Characters>52485</Characters>
  <CharactersWithSpaces>62109</CharactersWithSpaces>
  <Paragraphs>522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2022-04-08T14:14:00Z</dcterms:created>
  <dc:creator>Etude Cheuvreux</dc:creator>
  <dc:description/>
  <dc:language>fr-FR</dc:language>
  <cp:lastModifiedBy>Marjolaine Le Bon</cp:lastModifiedBy>
  <cp:lastPrinted>2021-11-30T08:37:00Z</cp:lastPrinted>
  <dcterms:modified xsi:type="dcterms:W3CDTF">2022-05-06T11:59:38Z</dcterms:modified>
  <cp:revision>68</cp:revision>
  <dc:subject/>
  <dc:title>   </dc:title>
</cp:coreProperties>
</file>

<file path=docProps/custom.xml><?xml version="1.0" encoding="utf-8"?>
<Properties xmlns="http://schemas.openxmlformats.org/officeDocument/2006/custom-properties" xmlns:vt="http://schemas.openxmlformats.org/officeDocument/2006/docPropsVTypes"/>
</file>