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7680DDD7"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21711F">
        <w:rPr>
          <w:rFonts w:ascii="TimesNewRomanPSMT" w:hAnsi="TimesNewRomanPSMT" w:cs="TimesNewRomanPSMT"/>
        </w:rPr>
        <w:t>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3C0478">
        <w:rPr>
          <w:rFonts w:ascii="TimesNewRomanPSMT" w:hAnsi="TimesNewRomanPSMT" w:cs="TimesNewRomanPSMT"/>
        </w:rPr>
        <w:t>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BE0043">
        <w:rPr>
          <w:rFonts w:ascii="TimesNewRomanPSMT" w:hAnsi="TimesNewRomanPSMT" w:cs="TimesNewRomanPSMT"/>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lastRenderedPageBreak/>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 </w:t>
      </w:r>
      <w:proofErr w:type="spellStart"/>
      <w:r>
        <w:rPr>
          <w:rFonts w:ascii="TimesNewRomanPSMT" w:hAnsi="TimesNewRomanPSMT" w:cs="TimesNewRomanPSMT"/>
        </w:rPr>
        <w:t>programme.nom</w:t>
      </w:r>
      <w:proofErr w:type="spellEnd"/>
      <w:r>
        <w:rPr>
          <w:rFonts w:ascii="TimesNewRomanPSMT" w:hAnsi="TimesNewRomanPSMT" w:cs="TimesNewRomanPSMT"/>
        </w:rPr>
        <w:t xml:space="preserve"> }} de {{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 </w:t>
      </w:r>
      <w:proofErr w:type="spellStart"/>
      <w:r>
        <w:rPr>
          <w:rFonts w:ascii="TimesNewRomanPSMT" w:hAnsi="TimesNewRomanPSMT" w:cs="TimesNewRomanPSMT"/>
        </w:rPr>
        <w:t>programme.ville</w:t>
      </w:r>
      <w:proofErr w:type="spellEnd"/>
      <w:r>
        <w:rPr>
          <w:rFonts w:ascii="TimesNewRomanPSMT" w:hAnsi="TimesNewRomanPSMT" w:cs="TimesNewRomanPSMT"/>
        </w:rPr>
        <w:t xml:space="preserv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 xml:space="preserve">Elle expire le </w:t>
      </w:r>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l'Etat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w:t>
      </w:r>
      <w:proofErr w:type="gramStart"/>
      <w:r w:rsidRPr="00095A6E">
        <w:rPr>
          <w:rFonts w:ascii="TimesNewRomanPSMT" w:hAnsi="TimesNewRomanPSMT" w:cs="TimesNewRomanPSMT"/>
        </w:rPr>
        <w:t xml:space="preserve"> ;-</w:t>
      </w:r>
      <w:proofErr w:type="gramEnd"/>
      <w:r w:rsidRPr="00095A6E">
        <w:rPr>
          <w:rFonts w:ascii="TimesNewRomanPSMT" w:hAnsi="TimesNewRomanPSMT" w:cs="TimesNewRomanPSMT"/>
        </w:rPr>
        <w:t xml:space="preserve">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xml:space="preserve">, doivent être attribués à des ménages dont les ressources n'excèdent pas le plafond fixé au I de l'article D. 331-12 précité pour </w:t>
      </w:r>
      <w:proofErr w:type="gramStart"/>
      <w:r>
        <w:rPr>
          <w:rFonts w:ascii="TimesNewRomanPSMT" w:hAnsi="TimesNewRomanPSMT" w:cs="TimesNewRomanPSMT"/>
        </w:rPr>
        <w:t>l'attribution</w:t>
      </w:r>
      <w:proofErr w:type="gramEnd"/>
      <w:r>
        <w:rPr>
          <w:rFonts w:ascii="TimesNewRomanPSMT" w:hAnsi="TimesNewRomanPSMT" w:cs="TimesNewRomanPSMT"/>
        </w:rPr>
        <w:t xml:space="preserve">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proofErr w:type="gramStart"/>
      <w:r w:rsidR="00AB6BDF" w:rsidRPr="00D82E92">
        <w:rPr>
          <w:rFonts w:ascii="TimesNewRomanPSMT" w:hAnsi="TimesNewRomanPSMT" w:cs="TimesNewRomanPSMT"/>
        </w:rPr>
        <w:t xml:space="preserve">{{ </w:t>
      </w:r>
      <w:r w:rsidR="008F4EF0" w:rsidRPr="00D82E92">
        <w:rPr>
          <w:rFonts w:ascii="TimesNewRomanPSMT" w:hAnsi="TimesNewRomanPSMT" w:cs="TimesNewRomanPSMT"/>
        </w:rPr>
        <w:t>mixPLUSinf</w:t>
      </w:r>
      <w:proofErr w:type="gramEnd"/>
      <w:r w:rsidR="008F4EF0" w:rsidRPr="00D82E92">
        <w:rPr>
          <w:rFonts w:ascii="TimesNewRomanPSMT" w:hAnsi="TimesNewRomanPSMT" w:cs="TimesNewRomanPSMT"/>
        </w:rPr>
        <w:t xml:space="preserve">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proofErr w:type="spellStart"/>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proofErr w:type="spellEnd"/>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proofErr w:type="gramStart"/>
      <w:r w:rsidR="00AB6BDF" w:rsidRPr="00D82E92">
        <w:rPr>
          <w:rFonts w:ascii="TimesNewRomanPSMT" w:hAnsi="TimesNewRomanPSMT" w:cs="TimesNewRomanPSMT"/>
        </w:rPr>
        <w:t xml:space="preserve">{{ </w:t>
      </w:r>
      <w:r w:rsidR="008F4EF0" w:rsidRPr="00D82E92">
        <w:rPr>
          <w:rFonts w:ascii="TimesNewRomanPSMT" w:hAnsi="TimesNewRomanPSMT" w:cs="TimesNewRomanPSMT"/>
        </w:rPr>
        <w:t>mixPLUSinf</w:t>
      </w:r>
      <w:proofErr w:type="gramEnd"/>
      <w:r w:rsidR="008F4EF0" w:rsidRPr="00D82E92">
        <w:rPr>
          <w:rFonts w:ascii="TimesNewRomanPSMT" w:hAnsi="TimesNewRomanPSMT" w:cs="TimesNewRomanPSMT"/>
        </w:rPr>
        <w:t xml:space="preserve">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proofErr w:type="gramStart"/>
      <w:r w:rsidR="00454376" w:rsidRPr="000937E6">
        <w:rPr>
          <w:rFonts w:ascii="TimesNewRomanPSMT" w:hAnsi="TimesNewRomanPSMT" w:cs="TimesNewRomanPSMT"/>
        </w:rPr>
        <w:t>{{ loyer</w:t>
      </w:r>
      <w:proofErr w:type="gramEnd"/>
      <w:r w:rsidR="00454376" w:rsidRPr="000937E6">
        <w:rPr>
          <w:rFonts w:ascii="TimesNewRomanPSMT" w:hAnsi="TimesNewRomanPSMT" w:cs="TimesNewRomanPSMT"/>
        </w:rPr>
        <w:t>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w:t>
      </w:r>
      <w:proofErr w:type="spellStart"/>
      <w:r w:rsidRPr="008B0B8B">
        <w:rPr>
          <w:rFonts w:ascii="TimesNewRomanPSMT" w:hAnsi="TimesNewRomanPSMT" w:cs="TimesNewRomanPSMT"/>
        </w:rPr>
        <w:t>ciaprès</w:t>
      </w:r>
      <w:proofErr w:type="spellEnd"/>
      <w:r w:rsidRPr="008B0B8B">
        <w:rPr>
          <w:rFonts w:ascii="TimesNewRomanPSMT" w:hAnsi="TimesNewRomanPSMT" w:cs="TimesNewRomanPSMT"/>
        </w:rPr>
        <w:t>.</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Les dispositions de la loi du 1er septembre 1948 précitée cessent d'être applicables au logement considéré à l'expiration du délai de </w:t>
      </w:r>
      <w:proofErr w:type="gramStart"/>
      <w:r w:rsidRPr="008B0B8B">
        <w:rPr>
          <w:rFonts w:ascii="TimesNewRomanPSMT" w:hAnsi="TimesNewRomanPSMT" w:cs="TimesNewRomanPSMT"/>
        </w:rPr>
        <w:t>six mois susmentionné</w:t>
      </w:r>
      <w:proofErr w:type="gramEnd"/>
      <w:r w:rsidRPr="008B0B8B">
        <w:rPr>
          <w:rFonts w:ascii="TimesNewRomanPSMT" w:hAnsi="TimesNewRomanPSMT" w:cs="TimesNewRomanPSMT"/>
        </w:rPr>
        <w:t xml:space="preserve">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Faute d'acceptation du bail par l'occupant de bonne foi pouvant se prévaloir des dispositions de la loi du 1er septembre 1948 précitée, l'occupant ne bénéficie d'aucun titre d'occupation à l'expiration du délai de </w:t>
      </w:r>
      <w:proofErr w:type="gramStart"/>
      <w:r w:rsidRPr="008B0B8B">
        <w:rPr>
          <w:rFonts w:ascii="TimesNewRomanPSMT" w:hAnsi="TimesNewRomanPSMT" w:cs="TimesNewRomanPSMT"/>
        </w:rPr>
        <w:t>six mois susmentionné</w:t>
      </w:r>
      <w:proofErr w:type="gramEnd"/>
      <w:r w:rsidRPr="008B0B8B">
        <w:rPr>
          <w:rFonts w:ascii="TimesNewRomanPSMT" w:hAnsi="TimesNewRomanPSMT" w:cs="TimesNewRomanPSMT"/>
        </w:rPr>
        <w:t>.</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qu'il</w:t>
      </w:r>
      <w:proofErr w:type="gramEnd"/>
      <w:r w:rsidRPr="00F34931">
        <w:rPr>
          <w:rFonts w:ascii="TimesNewRomanPSMT" w:hAnsi="TimesNewRomanPSMT" w:cs="TimesNewRomanPSMT"/>
        </w:rPr>
        <w:t xml:space="preserve"> soit âgé d'au moins soixante-cinq ans ou d'au moins soixante ans en cas d'inaptitude au </w:t>
      </w:r>
      <w:proofErr w:type="spellStart"/>
      <w:r w:rsidRPr="00F34931">
        <w:rPr>
          <w:rFonts w:ascii="TimesNewRomanPSMT" w:hAnsi="TimesNewRomanPSMT" w:cs="TimesNewRomanPSMT"/>
        </w:rPr>
        <w:t>travailou</w:t>
      </w:r>
      <w:proofErr w:type="spellEnd"/>
      <w:r w:rsidRPr="00F34931">
        <w:rPr>
          <w:rFonts w:ascii="TimesNewRomanPSMT" w:hAnsi="TimesNewRomanPSMT" w:cs="TimesNewRomanPSMT"/>
        </w:rPr>
        <w:t xml:space="preserve">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que</w:t>
      </w:r>
      <w:proofErr w:type="gramEnd"/>
      <w:r w:rsidRPr="00F34931">
        <w:rPr>
          <w:rFonts w:ascii="TimesNewRomanPSMT" w:hAnsi="TimesNewRomanPSMT" w:cs="TimesNewRomanPSMT"/>
        </w:rPr>
        <w:t xml:space="preserve"> les dispositions de la loi du 1er septembre 1948 précitée soient encore applicables au </w:t>
      </w:r>
      <w:proofErr w:type="spellStart"/>
      <w:r w:rsidRPr="00F34931">
        <w:rPr>
          <w:rFonts w:ascii="TimesNewRomanPSMT" w:hAnsi="TimesNewRomanPSMT" w:cs="TimesNewRomanPSMT"/>
        </w:rPr>
        <w:t>logementet</w:t>
      </w:r>
      <w:proofErr w:type="spellEnd"/>
      <w:r w:rsidRPr="00F34931">
        <w:rPr>
          <w:rFonts w:ascii="TimesNewRomanPSMT" w:hAnsi="TimesNewRomanPSMT" w:cs="TimesNewRomanPSMT"/>
        </w:rPr>
        <w:t xml:space="preserve">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w:t>
      </w:r>
      <w:proofErr w:type="gramStart"/>
      <w:r w:rsidRPr="008B0B8B">
        <w:rPr>
          <w:rFonts w:ascii="TimesNewRomanPSMT" w:hAnsi="TimesNewRomanPSMT" w:cs="TimesNewRomanPSMT"/>
        </w:rPr>
        <w:t>des treizième</w:t>
      </w:r>
      <w:proofErr w:type="gramEnd"/>
      <w:r w:rsidRPr="008B0B8B">
        <w:rPr>
          <w:rFonts w:ascii="TimesNewRomanPSMT" w:hAnsi="TimesNewRomanPSMT" w:cs="TimesNewRomanPSMT"/>
        </w:rPr>
        <w:t xml:space="preserv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Les logements peuvent également être loués dans les conditions prévues </w:t>
      </w:r>
      <w:proofErr w:type="gramStart"/>
      <w:r w:rsidRPr="008B0B8B">
        <w:rPr>
          <w:rFonts w:ascii="TimesNewRomanPSMT" w:hAnsi="TimesNewRomanPSMT" w:cs="TimesNewRomanPSMT"/>
        </w:rPr>
        <w:t>aux quatrième et cinquième alinéas</w:t>
      </w:r>
      <w:proofErr w:type="gramEnd"/>
      <w:r w:rsidRPr="008B0B8B">
        <w:rPr>
          <w:rFonts w:ascii="TimesNewRomanPSMT" w:hAnsi="TimesNewRomanPSMT" w:cs="TimesNewRomanPSMT"/>
        </w:rPr>
        <w:t xml:space="preserve">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 locataire peut donner congé à tout moment, dans les conditions </w:t>
      </w:r>
      <w:proofErr w:type="gramStart"/>
      <w:r w:rsidRPr="008B0B8B">
        <w:rPr>
          <w:rFonts w:ascii="TimesNewRomanPSMT" w:hAnsi="TimesNewRomanPSMT" w:cs="TimesNewRomanPSMT"/>
        </w:rPr>
        <w:t>des treizième</w:t>
      </w:r>
      <w:proofErr w:type="gramEnd"/>
      <w:r w:rsidRPr="008B0B8B">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une</w:t>
      </w:r>
      <w:proofErr w:type="gramEnd"/>
      <w:r w:rsidRPr="00F34931">
        <w:rPr>
          <w:rFonts w:ascii="TimesNewRomanPSMT" w:hAnsi="TimesNewRomanPSMT" w:cs="TimesNewRomanPSMT"/>
        </w:rPr>
        <w:t xml:space="preserve"> attestation concernant le montant du loyer applicable à chaque logement concerné par </w:t>
      </w:r>
      <w:proofErr w:type="spellStart"/>
      <w:r w:rsidRPr="00F34931">
        <w:rPr>
          <w:rFonts w:ascii="TimesNewRomanPSMT" w:hAnsi="TimesNewRomanPSMT" w:cs="TimesNewRomanPSMT"/>
        </w:rPr>
        <w:t>laprésente</w:t>
      </w:r>
      <w:proofErr w:type="spellEnd"/>
      <w:r w:rsidRPr="00F34931">
        <w:rPr>
          <w:rFonts w:ascii="TimesNewRomanPSMT" w:hAnsi="TimesNewRomanPSMT" w:cs="TimesNewRomanPSMT"/>
        </w:rPr>
        <w:t xml:space="preserv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965BC17"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un</w:t>
      </w:r>
      <w:proofErr w:type="gramEnd"/>
      <w:r w:rsidRPr="00F34931">
        <w:rPr>
          <w:rFonts w:ascii="TimesNewRomanPSMT" w:hAnsi="TimesNewRomanPSMT" w:cs="TimesNewRomanPSMT"/>
        </w:rPr>
        <w:t xml:space="preserve"> document attestant que tous les bénéficiaires sont à jour de leurs obligations vis-à-vis </w:t>
      </w:r>
      <w:proofErr w:type="spellStart"/>
      <w:r w:rsidRPr="00F34931">
        <w:rPr>
          <w:rFonts w:ascii="TimesNewRomanPSMT" w:hAnsi="TimesNewRomanPSMT" w:cs="TimesNewRomanPSMT"/>
        </w:rPr>
        <w:t>dubailleur</w:t>
      </w:r>
      <w:proofErr w:type="spellEnd"/>
      <w:r w:rsidRPr="00F34931">
        <w:rPr>
          <w:rFonts w:ascii="TimesNewRomanPSMT" w:hAnsi="TimesNewRomanPSMT" w:cs="TimesNewRomanPSMT"/>
        </w:rPr>
        <w:t xml:space="preserve">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rsidRPr="008B0B8B">
        <w:rPr>
          <w:rFonts w:ascii="TimesNewRomanPSMT" w:hAnsi="TimesNewRomanPSMT" w:cs="TimesNewRomanPSMT"/>
        </w:rPr>
        <w:t>a</w:t>
      </w:r>
      <w:proofErr w:type="spellEnd"/>
      <w:r w:rsidRPr="008B0B8B">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w:t>
                            </w:r>
                            <w:proofErr w:type="gramStart"/>
                            <w:r w:rsidR="006C7B56">
                              <w:rPr>
                                <w:rFonts w:ascii="TimesNewRomanPSMT" w:hAnsi="TimesNewRomanPSMT" w:cs="TimesNewRomanPSMT"/>
                              </w:rPr>
                              <w:t>empty</w:t>
                            </w:r>
                            <w:proofErr w:type="spellEnd"/>
                            <w:r w:rsidR="006C7B56">
                              <w:rPr>
                                <w:rFonts w:ascii="TimesNewRomanPSMT" w:hAnsi="TimesNewRomanPSMT" w:cs="TimesNewRomanPSMT"/>
                              </w:rPr>
                              <w:t>(</w:t>
                            </w:r>
                            <w:proofErr w:type="gram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w:t>
                      </w:r>
                      <w:proofErr w:type="gramStart"/>
                      <w:r w:rsidR="006C7B56">
                        <w:rPr>
                          <w:rFonts w:ascii="TimesNewRomanPSMT" w:hAnsi="TimesNewRomanPSMT" w:cs="TimesNewRomanPSMT"/>
                        </w:rPr>
                        <w:t>empty</w:t>
                      </w:r>
                      <w:proofErr w:type="spellEnd"/>
                      <w:r w:rsidR="006C7B56">
                        <w:rPr>
                          <w:rFonts w:ascii="TimesNewRomanPSMT" w:hAnsi="TimesNewRomanPSMT" w:cs="TimesNewRomanPSMT"/>
                        </w:rPr>
                        <w:t>(</w:t>
                      </w:r>
                      <w:proofErr w:type="gram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references_cadastrales|len</w:t>
      </w:r>
      <w:proofErr w:type="spellEnd"/>
      <w:r>
        <w:rPr>
          <w:rFonts w:ascii="TimesNewRomanPSMT" w:hAnsi="TimesNewRomanPSMT" w:cs="TimesNewRomanPSMT"/>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746B9E">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15726">
        <w:rPr>
          <w:rFonts w:ascii="TimesNewRomanPSMT" w:hAnsi="TimesNewRomanPSMT" w:cs="TimesNewRomanPSMT"/>
        </w:rPr>
        <w:t>{</w:t>
      </w:r>
      <w:proofErr w:type="gramEnd"/>
      <w:r w:rsidR="00115726">
        <w:rPr>
          <w:rFonts w:ascii="TimesNewRomanPSMT" w:hAnsi="TimesNewRomanPSMT" w:cs="TimesNewRomanPSMT"/>
        </w:rPr>
        <w:t xml:space="preserve">% for image in </w:t>
      </w:r>
      <w:proofErr w:type="spellStart"/>
      <w:r w:rsidR="00115726">
        <w:rPr>
          <w:rFonts w:ascii="TimesNewRomanPSMT" w:hAnsi="TimesNewRomanPSMT" w:cs="TimesNewRomanPSMT"/>
        </w:rPr>
        <w:t>effet_relatif_images</w:t>
      </w:r>
      <w:proofErr w:type="spellEnd"/>
      <w:r w:rsidR="00115726">
        <w:rPr>
          <w:rFonts w:ascii="TimesNewRomanPSMT" w:hAnsi="TimesNewRomanPSMT" w:cs="TimesNewRomanPSMT"/>
        </w:rPr>
        <w:t xml:space="preserve">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15004B" w:rsidRDefault="00115726" w:rsidP="00115726">
      <w:pPr>
        <w:jc w:val="both"/>
        <w:rPr>
          <w:rFonts w:ascii="TimesNewRomanPSMT" w:hAnsi="TimesNewRomanPSMT" w:cs="TimesNewRomanPSMT"/>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15004B">
        <w:rPr>
          <w:rFonts w:ascii="TimesNewRomanPSMT" w:hAnsi="TimesNewRomanPSMT" w:cs="TimesNewRomanPSMT"/>
        </w:rPr>
        <w:t>{</w:t>
      </w:r>
      <w:proofErr w:type="gramEnd"/>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w:t>
      </w:r>
      <w:proofErr w:type="spellStart"/>
      <w:r w:rsidR="003D5F0B">
        <w:rPr>
          <w:rFonts w:ascii="TimesNewRomanPSMT" w:hAnsi="TimesNewRomanPSMT" w:cs="TimesNewRomanPSMT"/>
        </w:rPr>
        <w:t>edd_volumetrique</w:t>
      </w:r>
      <w:r w:rsidR="003D5F0B" w:rsidRPr="0015004B">
        <w:rPr>
          <w:rFonts w:ascii="TimesNewRomanPSMT" w:hAnsi="TimesNewRomanPSMT" w:cs="TimesNewRomanPSMT"/>
        </w:rPr>
        <w:t>_text</w:t>
      </w:r>
      <w:proofErr w:type="spellEnd"/>
      <w:r w:rsidR="003D5F0B" w:rsidRPr="0015004B">
        <w:rPr>
          <w:rFonts w:ascii="TimesNewRomanPSMT" w:hAnsi="TimesNewRomanPSMT" w:cs="TimesNewRomanPSMT"/>
        </w:rPr>
        <w:t>()</w:t>
      </w:r>
      <w:r w:rsidR="00457116" w:rsidRPr="0015004B">
        <w:rPr>
          <w:rFonts w:ascii="TimesNewRomanPSMT" w:hAnsi="TimesNewRomanPSMT" w:cs="TimesNewRomanPSMT"/>
        </w:rPr>
        <w:t>|</w:t>
      </w:r>
      <w:proofErr w:type="spellStart"/>
      <w:r w:rsidR="00457116" w:rsidRPr="0015004B">
        <w:rPr>
          <w:rFonts w:ascii="TimesNewRomanPSMT" w:hAnsi="TimesNewRomanPSMT" w:cs="TimesNewRomanPSMT"/>
        </w:rPr>
        <w:t>len</w:t>
      </w:r>
      <w:proofErr w:type="spellEnd"/>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00030A99" w:rsidRPr="000953BF">
        <w:rPr>
          <w:rFonts w:ascii="TimesNewRomanPSMT" w:hAnsi="TimesNewRomanPSMT" w:cs="TimesNewRomanPSMT"/>
        </w:rPr>
        <w:t>lot</w:t>
      </w:r>
      <w:r>
        <w:rPr>
          <w:rFonts w:ascii="TimesNewRomanPSMT" w:hAnsi="TimesNewRomanPSMT" w:cs="TimesNewRomanPSMT"/>
        </w:rPr>
        <w:t>.edd</w:t>
      </w:r>
      <w:proofErr w:type="gramEnd"/>
      <w:r>
        <w:rPr>
          <w:rFonts w:ascii="TimesNewRomanPSMT" w:hAnsi="TimesNewRomanPSMT" w:cs="TimesNewRomanPSMT"/>
        </w:rPr>
        <w:t>_volumetrique</w:t>
      </w:r>
      <w:r w:rsidRPr="0015004B">
        <w:rPr>
          <w:rFonts w:ascii="TimesNewRomanPSMT" w:hAnsi="TimesNewRomanPSMT" w:cs="TimesNewRomanPSMT"/>
        </w:rPr>
        <w:t>_text</w:t>
      </w:r>
      <w:proofErr w:type="spellEnd"/>
      <w:r w:rsidRPr="0015004B">
        <w:rPr>
          <w:rFonts w:ascii="TimesNewRomanPSMT" w:hAnsi="TimesNewRomanPSMT" w:cs="TimesNewRomanPSMT"/>
        </w:rPr>
        <w:t>()</w:t>
      </w:r>
      <w:r>
        <w:rPr>
          <w:rFonts w:ascii="TimesNewRomanPSMT" w:hAnsi="TimesNewRomanPSMT" w:cs="TimesNewRomanPSMT"/>
        </w:rPr>
        <w:t xml:space="preserve"> }}</w:t>
      </w:r>
      <w:bookmarkStart w:id="25" w:name="S4"/>
      <w:bookmarkEnd w:id="25"/>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xml:space="preserve">{% </w:t>
      </w:r>
      <w:proofErr w:type="spellStart"/>
      <w:r w:rsidRPr="0015004B">
        <w:rPr>
          <w:rFonts w:ascii="TimesNewRomanPSMT" w:hAnsi="TimesNewRomanPSMT" w:cs="TimesNewRomanPSMT"/>
        </w:rPr>
        <w:t>endif</w:t>
      </w:r>
      <w:proofErr w:type="spellEnd"/>
      <w:r w:rsidRPr="0015004B">
        <w:rPr>
          <w:rFonts w:ascii="TimesNewRomanPSMT" w:hAnsi="TimesNewRomanPSMT" w:cs="TimesNewRomanPSMT"/>
        </w:rPr>
        <w:t xml:space="preserve"> </w:t>
      </w:r>
      <w:proofErr w:type="gramStart"/>
      <w:r w:rsidRPr="0015004B">
        <w:rPr>
          <w:rFonts w:ascii="TimesNewRomanPSMT" w:hAnsi="TimesNewRomanPSMT" w:cs="TimesNewRomanPSMT"/>
        </w:rPr>
        <w:t>%}</w:t>
      </w:r>
      <w:r w:rsidR="00BB7802" w:rsidRPr="00C91B1B">
        <w:rPr>
          <w:rFonts w:ascii="TimesNewRomanPSMT" w:hAnsi="TimesNewRomanPSMT" w:cs="TimesNewRomanPSMT"/>
        </w:rPr>
        <w:t>{</w:t>
      </w:r>
      <w:proofErr w:type="gramEnd"/>
      <w:r w:rsidR="00BB7802" w:rsidRPr="00C91B1B">
        <w:rPr>
          <w:rFonts w:ascii="TimesNewRomanPSMT" w:hAnsi="TimesNewRomanPSMT" w:cs="TimesNewRomanPSMT"/>
        </w:rPr>
        <w:t xml:space="preserve">% for image in </w:t>
      </w:r>
      <w:proofErr w:type="spellStart"/>
      <w:r w:rsidR="00BB7802">
        <w:rPr>
          <w:rFonts w:ascii="TimesNewRomanPSMT" w:hAnsi="TimesNewRomanPSMT" w:cs="TimesNewRomanPSMT"/>
        </w:rPr>
        <w:t>edd_volumetrique</w:t>
      </w:r>
      <w:r w:rsidR="00BB7802" w:rsidRPr="00C91B1B">
        <w:rPr>
          <w:rFonts w:ascii="TimesNewRomanPSMT" w:hAnsi="TimesNewRomanPSMT" w:cs="TimesNewRomanPSMT"/>
        </w:rPr>
        <w:t>_images</w:t>
      </w:r>
      <w:proofErr w:type="spellEnd"/>
      <w:r w:rsidR="00BB7802" w:rsidRPr="00C91B1B">
        <w:rPr>
          <w:rFonts w:ascii="TimesNewRomanPSMT" w:hAnsi="TimesNewRomanPSMT" w:cs="TimesNewRomanPSMT"/>
        </w:rPr>
        <w:t xml:space="preserve">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endfor</w:t>
      </w:r>
      <w:proofErr w:type="spellEnd"/>
      <w:r w:rsidRPr="00BF1F33">
        <w:rPr>
          <w:rFonts w:ascii="TimesNewRomanPSMT" w:hAnsi="TimesNewRomanPSMT" w:cs="TimesNewRomanPSMT"/>
        </w:rPr>
        <w:t xml:space="preserve"> </w:t>
      </w:r>
      <w:proofErr w:type="gramStart"/>
      <w:r w:rsidR="0060540B" w:rsidRPr="00BF1F33">
        <w:rPr>
          <w:rFonts w:ascii="TimesNewRomanPSMT" w:hAnsi="TimesNewRomanPSMT" w:cs="TimesNewRomanPSMT"/>
        </w:rPr>
        <w:t>%}</w:t>
      </w:r>
      <w:r w:rsidR="0070437A" w:rsidRPr="0015004B">
        <w:rPr>
          <w:rFonts w:ascii="TimesNewRomanPSMT" w:hAnsi="TimesNewRomanPSMT" w:cs="TimesNewRomanPSMT"/>
        </w:rPr>
        <w:t>{</w:t>
      </w:r>
      <w:proofErr w:type="gramEnd"/>
      <w:r w:rsidR="0070437A" w:rsidRPr="0015004B">
        <w:rPr>
          <w:rFonts w:ascii="TimesNewRomanPSMT" w:hAnsi="TimesNewRomanPSMT" w:cs="TimesNewRomanPSMT"/>
        </w:rPr>
        <w:t xml:space="preserve">% if </w:t>
      </w:r>
      <w:proofErr w:type="spellStart"/>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proofErr w:type="spellEnd"/>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programme</w:t>
      </w:r>
      <w:proofErr w:type="gramEnd"/>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endif</w:t>
      </w:r>
      <w:proofErr w:type="spellEnd"/>
      <w:r w:rsidRPr="00BF1F33">
        <w:rPr>
          <w:rFonts w:ascii="TimesNewRomanPSMT" w:hAnsi="TimesNewRomanPSMT" w:cs="TimesNewRomanPSMT"/>
        </w:rPr>
        <w:t xml:space="preserve"> </w:t>
      </w:r>
      <w:proofErr w:type="gramStart"/>
      <w:r w:rsidRPr="00BF1F33">
        <w:rPr>
          <w:rFonts w:ascii="TimesNewRomanPSMT" w:hAnsi="TimesNewRomanPSMT" w:cs="TimesNewRomanPSMT"/>
        </w:rPr>
        <w:t>%}</w:t>
      </w:r>
      <w:r w:rsidR="0060540B" w:rsidRPr="0015004B">
        <w:rPr>
          <w:rFonts w:ascii="TimesNewRomanPSMT" w:hAnsi="TimesNewRomanPSMT" w:cs="TimesNewRomanPSMT"/>
        </w:rPr>
        <w:t>{</w:t>
      </w:r>
      <w:proofErr w:type="gramEnd"/>
      <w:r w:rsidR="0060540B" w:rsidRPr="0015004B">
        <w:rPr>
          <w:rFonts w:ascii="TimesNewRomanPSMT" w:hAnsi="TimesNewRomanPSMT" w:cs="TimesNewRomanPSMT"/>
        </w:rPr>
        <w:t xml:space="preserve">% if </w:t>
      </w:r>
      <w:proofErr w:type="spellStart"/>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w:t>
      </w:r>
      <w:proofErr w:type="spellEnd"/>
      <w:r w:rsidR="0060540B" w:rsidRPr="0015004B">
        <w:rPr>
          <w:rFonts w:ascii="TimesNewRomanPSMT" w:hAnsi="TimesNewRomanPSMT" w:cs="TimesNewRomanPSMT"/>
        </w:rPr>
        <w:t>()|</w:t>
      </w:r>
      <w:proofErr w:type="spellStart"/>
      <w:r w:rsidR="0060540B" w:rsidRPr="0015004B">
        <w:rPr>
          <w:rFonts w:ascii="TimesNewRomanPSMT" w:hAnsi="TimesNewRomanPSMT" w:cs="TimesNewRomanPSMT"/>
        </w:rPr>
        <w:t>len</w:t>
      </w:r>
      <w:proofErr w:type="spellEnd"/>
      <w:r w:rsidR="0060540B" w:rsidRPr="0015004B">
        <w:rPr>
          <w:rFonts w:ascii="TimesNewRomanPSMT" w:hAnsi="TimesNewRomanPSMT" w:cs="TimesNewRomanPSMT"/>
        </w:rPr>
        <w:t xml:space="preserve"> %}</w:t>
      </w:r>
    </w:p>
    <w:p w14:paraId="38E388D1" w14:textId="77777777" w:rsidR="0060540B" w:rsidRDefault="0060540B"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lot</w:t>
      </w:r>
      <w:r>
        <w:rPr>
          <w:rFonts w:ascii="TimesNewRomanPSMT" w:hAnsi="TimesNewRomanPSMT" w:cs="TimesNewRomanPSMT"/>
        </w:rPr>
        <w:t>.edd</w:t>
      </w:r>
      <w:proofErr w:type="gramEnd"/>
      <w:r>
        <w:rPr>
          <w:rFonts w:ascii="TimesNewRomanPSMT" w:hAnsi="TimesNewRomanPSMT" w:cs="TimesNewRomanPSMT"/>
        </w:rPr>
        <w:t>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_text</w:t>
      </w:r>
      <w:proofErr w:type="spellEnd"/>
      <w:r w:rsidRPr="0075141F">
        <w:rPr>
          <w:rFonts w:ascii="TimesNewRomanPSMT" w:hAnsi="TimesNewRomanPSMT" w:cs="TimesNewRomanPSMT"/>
        </w:rPr>
        <w:t xml:space="preserve">()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endif</w:t>
      </w:r>
      <w:proofErr w:type="spellEnd"/>
      <w:r w:rsidRPr="00BF1F33">
        <w:rPr>
          <w:rFonts w:ascii="TimesNewRomanPSMT" w:hAnsi="TimesNewRomanPSMT" w:cs="TimesNewRomanPSMT"/>
        </w:rPr>
        <w:t xml:space="preserve"> </w:t>
      </w:r>
      <w:proofErr w:type="gramStart"/>
      <w:r w:rsidRPr="00BF1F33">
        <w:rPr>
          <w:rFonts w:ascii="TimesNewRomanPSMT" w:hAnsi="TimesNewRomanPSMT" w:cs="TimesNewRomanPSMT"/>
        </w:rPr>
        <w:t>%}</w:t>
      </w:r>
      <w:r w:rsidR="00104A2A" w:rsidRPr="00C91B1B">
        <w:rPr>
          <w:rFonts w:ascii="TimesNewRomanPSMT" w:hAnsi="TimesNewRomanPSMT" w:cs="TimesNewRomanPSMT"/>
        </w:rPr>
        <w:t>{</w:t>
      </w:r>
      <w:proofErr w:type="gramEnd"/>
      <w:r w:rsidR="00104A2A" w:rsidRPr="00C91B1B">
        <w:rPr>
          <w:rFonts w:ascii="TimesNewRomanPSMT" w:hAnsi="TimesNewRomanPSMT" w:cs="TimesNewRomanPSMT"/>
        </w:rPr>
        <w:t xml:space="preserve">% for image in </w:t>
      </w:r>
      <w:proofErr w:type="spellStart"/>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w:t>
      </w:r>
      <w:proofErr w:type="spellEnd"/>
      <w:r w:rsidR="00104A2A" w:rsidRPr="00C91B1B">
        <w:rPr>
          <w:rFonts w:ascii="TimesNewRomanPSMT" w:hAnsi="TimesNewRomanPSMT" w:cs="TimesNewRomanPSMT"/>
        </w:rPr>
        <w:t xml:space="preserve">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endfor</w:t>
      </w:r>
      <w:proofErr w:type="spellEnd"/>
      <w:r w:rsidRPr="00BF1F33">
        <w:rPr>
          <w:rFonts w:ascii="TimesNewRomanPSMT" w:hAnsi="TimesNewRomanPSMT" w:cs="TimesNewRomanPSMT"/>
        </w:rPr>
        <w:t xml:space="preserve"> </w:t>
      </w:r>
      <w:proofErr w:type="gramStart"/>
      <w:r w:rsidRPr="00BF1F33">
        <w:rPr>
          <w:rFonts w:ascii="TimesNewRomanPSMT" w:hAnsi="TimesNewRomanPSMT" w:cs="TimesNewRomanPSMT"/>
        </w:rPr>
        <w:t>%}</w:t>
      </w:r>
      <w:r w:rsidR="0070437A" w:rsidRPr="0015004B">
        <w:rPr>
          <w:rFonts w:ascii="TimesNewRomanPSMT" w:hAnsi="TimesNewRomanPSMT" w:cs="TimesNewRomanPSMT"/>
        </w:rPr>
        <w:t>{</w:t>
      </w:r>
      <w:proofErr w:type="gramEnd"/>
      <w:r w:rsidR="0070437A" w:rsidRPr="0015004B">
        <w:rPr>
          <w:rFonts w:ascii="TimesNewRomanPSMT" w:hAnsi="TimesNewRomanPSMT" w:cs="TimesNewRomanPSMT"/>
        </w:rPr>
        <w:t xml:space="preserve">% if </w:t>
      </w:r>
      <w:proofErr w:type="spellStart"/>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proofErr w:type="spellEnd"/>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programme</w:t>
      </w:r>
      <w:proofErr w:type="gramEnd"/>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endif</w:t>
      </w:r>
      <w:proofErr w:type="spellEnd"/>
      <w:r w:rsidRPr="00BF1F33">
        <w:rPr>
          <w:rFonts w:ascii="TimesNewRomanPSMT" w:hAnsi="TimesNewRomanPSMT" w:cs="TimesNewRomanPSMT"/>
        </w:rPr>
        <w:t xml:space="preserve"> </w:t>
      </w:r>
      <w:proofErr w:type="gramStart"/>
      <w:r w:rsidRPr="00BF1F33">
        <w:rPr>
          <w:rFonts w:ascii="TimesNewRomanPSMT" w:hAnsi="TimesNewRomanPSMT" w:cs="TimesNewRomanPSMT"/>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xml:space="preserve">% if </w:t>
      </w:r>
      <w:proofErr w:type="spellStart"/>
      <w:r w:rsidR="00D21B14" w:rsidRPr="00D21B14">
        <w:rPr>
          <w:rFonts w:ascii="TimesNewRomanPSMT" w:hAnsi="TimesNewRomanPSMT" w:cs="TimesNewRomanPSMT"/>
        </w:rPr>
        <w:t>logement_edds</w:t>
      </w:r>
      <w:r w:rsidR="00442A08">
        <w:rPr>
          <w:rFonts w:ascii="TimesNewRomanPSMT" w:hAnsi="TimesNewRomanPSMT" w:cs="TimesNewRomanPSMT"/>
        </w:rPr>
        <w:t>|len</w:t>
      </w:r>
      <w:proofErr w:type="spellEnd"/>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746B9E">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746B9E">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746B9E">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230FDF59" w14:textId="77777777" w:rsidR="003A275F" w:rsidRPr="006A600B" w:rsidRDefault="003A275F" w:rsidP="003A275F">
            <w:pPr>
              <w:rPr>
                <w:b/>
                <w:bCs/>
                <w:sz w:val="16"/>
                <w:szCs w:val="16"/>
                <w:lang w:val="en-US"/>
              </w:rPr>
            </w:pPr>
            <w:proofErr w:type="spellStart"/>
            <w:r>
              <w:rPr>
                <w:b/>
                <w:bCs/>
                <w:sz w:val="16"/>
                <w:szCs w:val="16"/>
                <w:lang w:val="en-US"/>
              </w:rPr>
              <w:t>N</w:t>
            </w:r>
            <w:r w:rsidRPr="006A600B">
              <w:rPr>
                <w:b/>
                <w:bCs/>
                <w:sz w:val="16"/>
                <w:szCs w:val="16"/>
                <w:lang w:val="en-US"/>
              </w:rPr>
              <w:t>uméro</w:t>
            </w:r>
            <w:proofErr w:type="spellEnd"/>
            <w:r w:rsidRPr="006A600B">
              <w:rPr>
                <w:b/>
                <w:bCs/>
                <w:sz w:val="16"/>
                <w:szCs w:val="16"/>
                <w:lang w:val="en-US"/>
              </w:rPr>
              <w:t xml:space="preserve"> de lot des </w:t>
            </w:r>
            <w:proofErr w:type="spellStart"/>
            <w:r w:rsidRPr="006A600B">
              <w:rPr>
                <w:b/>
                <w:bCs/>
                <w:sz w:val="16"/>
                <w:szCs w:val="16"/>
                <w:lang w:val="en-US"/>
              </w:rPr>
              <w:t>logements</w:t>
            </w:r>
            <w:proofErr w:type="spellEnd"/>
            <w:r w:rsidRPr="006A600B">
              <w:rPr>
                <w:b/>
                <w:bCs/>
                <w:sz w:val="16"/>
                <w:szCs w:val="16"/>
                <w:lang w:val="en-US"/>
              </w:rPr>
              <w:t xml:space="preserve"> </w:t>
            </w:r>
          </w:p>
          <w:p w14:paraId="7104DBE2" w14:textId="32F81E7E" w:rsidR="003B4290" w:rsidRPr="00F96F52" w:rsidRDefault="003A275F" w:rsidP="003A275F">
            <w:pPr>
              <w:rPr>
                <w:b/>
                <w:bCs/>
                <w:sz w:val="16"/>
                <w:szCs w:val="16"/>
                <w:lang w:val="en-US"/>
              </w:rPr>
            </w:pPr>
            <w:r w:rsidRPr="006A600B">
              <w:rPr>
                <w:sz w:val="16"/>
                <w:szCs w:val="16"/>
                <w:lang w:val="en-US"/>
              </w:rPr>
              <w:t>(</w:t>
            </w:r>
            <w:proofErr w:type="spellStart"/>
            <w:proofErr w:type="gramStart"/>
            <w:r w:rsidRPr="006A600B">
              <w:rPr>
                <w:sz w:val="16"/>
                <w:szCs w:val="16"/>
                <w:lang w:val="en-US"/>
              </w:rPr>
              <w:t>tel</w:t>
            </w:r>
            <w:proofErr w:type="spellEnd"/>
            <w:proofErr w:type="gramEnd"/>
            <w:r w:rsidRPr="006A600B">
              <w:rPr>
                <w:sz w:val="16"/>
                <w:szCs w:val="16"/>
                <w:lang w:val="en-US"/>
              </w:rPr>
              <w:t xml:space="preserve"> que </w:t>
            </w:r>
            <w:proofErr w:type="spellStart"/>
            <w:r w:rsidRPr="006A600B">
              <w:rPr>
                <w:sz w:val="16"/>
                <w:szCs w:val="16"/>
                <w:lang w:val="en-US"/>
              </w:rPr>
              <w:t>inscrit</w:t>
            </w:r>
            <w:proofErr w:type="spellEnd"/>
            <w:r w:rsidRPr="006A600B">
              <w:rPr>
                <w:sz w:val="16"/>
                <w:szCs w:val="16"/>
                <w:lang w:val="en-US"/>
              </w:rPr>
              <w:t xml:space="preserve"> dans les </w:t>
            </w:r>
            <w:proofErr w:type="spellStart"/>
            <w:r w:rsidRPr="006A600B">
              <w:rPr>
                <w:sz w:val="16"/>
                <w:szCs w:val="16"/>
                <w:lang w:val="en-US"/>
              </w:rPr>
              <w:t>actes</w:t>
            </w:r>
            <w:proofErr w:type="spellEnd"/>
            <w:r w:rsidRPr="006A600B">
              <w:rPr>
                <w:sz w:val="16"/>
                <w:szCs w:val="16"/>
                <w:lang w:val="en-US"/>
              </w:rPr>
              <w:t xml:space="preserve"> de vente/</w:t>
            </w:r>
            <w:proofErr w:type="spellStart"/>
            <w:r w:rsidRPr="006A600B">
              <w:rPr>
                <w:sz w:val="16"/>
                <w:szCs w:val="16"/>
                <w:lang w:val="en-US"/>
              </w:rPr>
              <w:t>propriété</w:t>
            </w:r>
            <w:proofErr w:type="spellEnd"/>
            <w:r w:rsidRPr="006A600B">
              <w:rPr>
                <w:sz w:val="16"/>
                <w:szCs w:val="16"/>
                <w:lang w:val="en-US"/>
              </w:rPr>
              <w:t>…)</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66580420" w:rsidR="003B4290" w:rsidRPr="00F96F52" w:rsidRDefault="003A275F"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1" w:name="Fi4"/>
      <w:bookmarkEnd w:id="31"/>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lastRenderedPageBreak/>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proofErr w:type="gramStart"/>
      <w:r w:rsidR="008D5540" w:rsidRPr="008D5540">
        <w:rPr>
          <w:rFonts w:ascii="TimesNewRomanPSMT" w:hAnsi="TimesNewRomanPSMT" w:cs="TimesNewRomanPSMT"/>
        </w:rPr>
        <w:t>)</w:t>
      </w:r>
      <w:r w:rsidR="00C91A80">
        <w:rPr>
          <w:rFonts w:ascii="TimesNewRomanPSMT" w:hAnsi="TimesNewRomanPSMT" w:cs="TimesNewRomanPSMT"/>
        </w:rPr>
        <w:t>:</w:t>
      </w:r>
      <w:proofErr w:type="gramEnd"/>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7D663B">
        <w:rPr>
          <w:rFonts w:ascii="TimesNewRomanPSMT" w:hAnsi="TimesNewRomanPSMT" w:cs="TimesNewRomanPSMT"/>
          <w:sz w:val="16"/>
          <w:szCs w:val="16"/>
        </w:rPr>
      </w:r>
      <w:r w:rsidR="007D6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D663B">
        <w:rPr>
          <w:rFonts w:ascii="TimesNewRomanPSMT" w:hAnsi="TimesNewRomanPSMT" w:cs="TimesNewRomanPSMT"/>
          <w:sz w:val="16"/>
          <w:szCs w:val="16"/>
        </w:rPr>
      </w:r>
      <w:r w:rsidR="007D6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8085C4D"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644093">
        <w:rPr>
          <w:rFonts w:ascii="TimesNewRomanPSMT" w:hAnsi="TimesNewRomanPSMT" w:cs="TimesNewRomanPSMT"/>
          <w:sz w:val="16"/>
          <w:szCs w:val="16"/>
        </w:rPr>
        <w:t>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D663B">
        <w:rPr>
          <w:rFonts w:ascii="TimesNewRomanPSMT" w:hAnsi="TimesNewRomanPSMT" w:cs="TimesNewRomanPSMT"/>
          <w:sz w:val="16"/>
          <w:szCs w:val="16"/>
        </w:rPr>
      </w:r>
      <w:r w:rsidR="007D6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139A492E"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0F6322B"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ateliers</w:t>
      </w:r>
      <w:proofErr w:type="spellEnd"/>
      <w:r w:rsidRPr="00644093">
        <w:rPr>
          <w:rFonts w:ascii="TimesNewRomanPSMT" w:hAnsi="TimesNewRomanPSMT" w:cs="TimesNewRomanPSMT"/>
          <w:sz w:val="16"/>
          <w:szCs w:val="16"/>
        </w:rPr>
        <w:t xml:space="preserve">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D663B">
        <w:rPr>
          <w:rFonts w:ascii="TimesNewRomanPSMT" w:hAnsi="TimesNewRomanPSMT" w:cs="TimesNewRomanPSMT"/>
          <w:sz w:val="16"/>
          <w:szCs w:val="16"/>
        </w:rPr>
      </w:r>
      <w:r w:rsidR="007D6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D663B">
        <w:rPr>
          <w:rFonts w:ascii="TimesNewRomanPSMT" w:hAnsi="TimesNewRomanPSMT" w:cs="TimesNewRomanPSMT"/>
          <w:sz w:val="16"/>
          <w:szCs w:val="16"/>
        </w:rPr>
      </w:r>
      <w:r w:rsidR="007D6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4350D2E"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Pr="002D10D2">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644093">
        <w:rPr>
          <w:rFonts w:ascii="TimesNewRomanPSMT" w:hAnsi="TimesNewRomanPSMT" w:cs="TimesNewRomanPSMT"/>
          <w:sz w:val="16"/>
          <w:szCs w:val="16"/>
        </w:rPr>
        <w:t>_</w:t>
      </w:r>
      <w:proofErr w:type="spellStart"/>
      <w:r w:rsidRPr="002D10D2">
        <w:rPr>
          <w:rFonts w:ascii="TimesNewRomanPSMT" w:hAnsi="TimesNewRomanPSMT" w:cs="TimesNewRomanPSMT"/>
          <w:sz w:val="16"/>
          <w:szCs w:val="16"/>
          <w:lang w:val="en-US"/>
        </w:rPr>
        <w:t>celliers</w:t>
      </w:r>
      <w:proofErr w:type="spellEnd"/>
      <w:r w:rsidRPr="00644093">
        <w:rPr>
          <w:rFonts w:ascii="TimesNewRomanPSMT" w:hAnsi="TimesNewRomanPSMT" w:cs="TimesNewRomanPSMT"/>
          <w:sz w:val="16"/>
          <w:szCs w:val="16"/>
        </w:rPr>
        <w:t xml:space="preserve">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D663B">
        <w:rPr>
          <w:rFonts w:ascii="TimesNewRomanPSMT" w:hAnsi="TimesNewRomanPSMT" w:cs="TimesNewRomanPSMT"/>
          <w:sz w:val="16"/>
          <w:szCs w:val="16"/>
        </w:rPr>
      </w:r>
      <w:r w:rsidR="007D6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516BA3A"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644093">
        <w:rPr>
          <w:rFonts w:ascii="TimesNewRomanPSMT" w:hAnsi="TimesNewRomanPSMT" w:cs="TimesNewRomanPSMT"/>
          <w:sz w:val="16"/>
          <w:szCs w:val="16"/>
        </w:rPr>
        <w:t>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D663B">
        <w:rPr>
          <w:rFonts w:ascii="TimesNewRomanPSMT" w:hAnsi="TimesNewRomanPSMT" w:cs="TimesNewRomanPSMT"/>
          <w:sz w:val="16"/>
          <w:szCs w:val="16"/>
        </w:rPr>
      </w:r>
      <w:r w:rsidR="007D6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lang w:val="en-US"/>
        </w:rPr>
        <w:t>Resserres</w:t>
      </w:r>
      <w:proofErr w:type="spellEnd"/>
    </w:p>
    <w:p w14:paraId="23214BF1"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F6B24A2"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D663B">
        <w:rPr>
          <w:rFonts w:ascii="TimesNewRomanPSMT" w:hAnsi="TimesNewRomanPSMT" w:cs="TimesNewRomanPSMT"/>
          <w:sz w:val="16"/>
          <w:szCs w:val="16"/>
        </w:rPr>
      </w:r>
      <w:r w:rsidR="007D6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C892B8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spellEnd"/>
      <w:proofErr w:type="gramEnd"/>
      <w:r w:rsidRPr="00644093">
        <w:rPr>
          <w:rFonts w:ascii="TimesNewRomanPSMT" w:hAnsi="TimesNewRomanPSMT" w:cs="TimesNewRomanPSMT"/>
          <w:sz w:val="16"/>
          <w:szCs w:val="16"/>
        </w:rPr>
        <w:t>_</w:t>
      </w:r>
      <w:proofErr w:type="spellStart"/>
      <w:r w:rsidRPr="00F34A24">
        <w:rPr>
          <w:rFonts w:ascii="TimesNewRomanPSMT" w:hAnsi="TimesNewRomanPSMT" w:cs="TimesNewRomanPSMT"/>
          <w:sz w:val="16"/>
          <w:szCs w:val="16"/>
          <w:lang w:val="en-US"/>
        </w:rPr>
        <w:t>balcons</w:t>
      </w:r>
      <w:proofErr w:type="spellEnd"/>
      <w:r w:rsidRPr="00644093">
        <w:rPr>
          <w:rFonts w:ascii="TimesNewRomanPSMT" w:hAnsi="TimesNewRomanPSMT" w:cs="TimesNewRomanPSMT"/>
          <w:sz w:val="16"/>
          <w:szCs w:val="16"/>
        </w:rPr>
        <w:t xml:space="preserve"> %}</w:t>
      </w:r>
    </w:p>
    <w:p w14:paraId="55568FE3"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D663B">
        <w:rPr>
          <w:rFonts w:ascii="TimesNewRomanPSMT" w:hAnsi="TimesNewRomanPSMT" w:cs="TimesNewRomanPSMT"/>
          <w:sz w:val="16"/>
          <w:szCs w:val="16"/>
        </w:rPr>
      </w:r>
      <w:r w:rsidR="007D6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74DACEC1"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D663B">
        <w:rPr>
          <w:rFonts w:ascii="TimesNewRomanPSMT" w:hAnsi="TimesNewRomanPSMT" w:cs="TimesNewRomanPSMT"/>
          <w:sz w:val="16"/>
          <w:szCs w:val="16"/>
        </w:rPr>
      </w:r>
      <w:r w:rsidR="007D6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D663B">
        <w:rPr>
          <w:rFonts w:ascii="TimesNewRomanPSMT" w:hAnsi="TimesNewRomanPSMT" w:cs="TimesNewRomanPSMT"/>
          <w:sz w:val="16"/>
          <w:szCs w:val="16"/>
        </w:rPr>
      </w:r>
      <w:r w:rsidR="007D66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77777777" w:rsidR="00C05BC5" w:rsidRDefault="00C05BC5" w:rsidP="00323340">
      <w:pPr>
        <w:jc w:val="both"/>
        <w:rPr>
          <w:rFonts w:ascii="Open Sans" w:hAnsi="Open Sans" w:cs="Open Sans"/>
          <w:color w:val="3F4350"/>
          <w:sz w:val="20"/>
          <w:szCs w:val="20"/>
        </w:rPr>
      </w:pPr>
    </w:p>
    <w:p w14:paraId="201B27DA" w14:textId="64E6F80A" w:rsidR="00325DDB" w:rsidRDefault="00325DDB" w:rsidP="00323340">
      <w:pPr>
        <w:jc w:val="both"/>
      </w:pPr>
      <w:r>
        <w:rPr>
          <w:rFonts w:ascii="TimesNewRomanPSMT" w:hAnsi="TimesNewRomanPSMT" w:cs="TimesNewRomanPSMT"/>
        </w:rPr>
        <w:t>3ter.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proofErr w:type="gramStart"/>
            <w:r w:rsidRPr="009D5CD6">
              <w:rPr>
                <w:rFonts w:ascii="TimesNewRomanPSMT" w:hAnsi="TimesNewRomanPSMT" w:cs="TimesNewRomanPSMT"/>
                <w:sz w:val="16"/>
                <w:szCs w:val="16"/>
              </w:rPr>
              <w:t xml:space="preserve">{{ </w:t>
            </w:r>
            <w:proofErr w:type="spellStart"/>
            <w:r w:rsidRPr="009D5CD6">
              <w:rPr>
                <w:rFonts w:ascii="TimesNewRomanPSMT" w:hAnsi="TimesNewRomanPSMT" w:cs="TimesNewRomanPSMT"/>
                <w:sz w:val="16"/>
                <w:szCs w:val="16"/>
              </w:rPr>
              <w:t>s</w:t>
            </w:r>
            <w:proofErr w:type="gramEnd"/>
            <w:r w:rsidR="009D5CD6" w:rsidRPr="009D5CD6">
              <w:rPr>
                <w:rFonts w:ascii="TimesNewRomanPSMT" w:hAnsi="TimesNewRomanPSMT" w:cs="TimesNewRomanPSMT"/>
                <w:sz w:val="16"/>
                <w:szCs w:val="16"/>
              </w:rPr>
              <w:t>.nb</w:t>
            </w:r>
            <w:proofErr w:type="spellEnd"/>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stationnement{{</w:t>
            </w:r>
            <w:proofErr w:type="spellStart"/>
            <w:r w:rsidR="000A3661" w:rsidRPr="000A3661">
              <w:rPr>
                <w:rFonts w:ascii="TimesNewRomanPSMT" w:hAnsi="TimesNewRomanPSMT" w:cs="TimesNewRomanPSMT"/>
                <w:sz w:val="16"/>
                <w:szCs w:val="16"/>
              </w:rPr>
              <w:t>s.nb|pl</w:t>
            </w:r>
            <w:proofErr w:type="spellEnd"/>
            <w:r w:rsidR="000A3661" w:rsidRPr="000A3661">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43" w:name="Commerce"/>
      <w:bookmarkEnd w:id="43"/>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2B50BA02"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48" w:name="ActeNotaire"/>
      <w:bookmarkEnd w:id="48"/>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r w:rsidR="000E6D13" w:rsidRPr="009D4B34">
        <w:rPr>
          <w:rFonts w:ascii="TimesNewRomanPSMT" w:hAnsi="TimesNewRomanPSMT" w:cs="TimesNewRomanPSMT"/>
        </w:rPr>
        <w:t>_text</w:t>
      </w:r>
      <w:proofErr w:type="spellEnd"/>
      <w:r w:rsidR="000E6D13" w:rsidRPr="009D4B34">
        <w:rPr>
          <w:rFonts w:ascii="TimesNewRomanPSMT" w:hAnsi="TimesNewRomanPSMT" w:cs="TimesNewRomanPSMT"/>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50" w:name="Refpublic"/>
      <w:bookmarkEnd w:id="50"/>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reference_publication</w:t>
      </w:r>
      <w:proofErr w:type="spellEnd"/>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 xml:space="preserve">.type2_lgts_concernes_option1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 xml:space="preserve">1 - Date d’achèvement des travaux ou certificat de conformité :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.date_achevement|d</w:t>
      </w:r>
      <w:proofErr w:type="spellEnd"/>
      <w:r>
        <w:rPr>
          <w:rFonts w:ascii="TimesNewRomanPSMT" w:hAnsi="TimesNewRomanPSMT" w:cs="TimesNewRomanPSMT"/>
        </w:rPr>
        <w:t xml:space="preserve"> }}</w:t>
      </w:r>
    </w:p>
    <w:p w14:paraId="4400343C" w14:textId="2DF48F25" w:rsidR="000E04C6" w:rsidRDefault="000E04C6" w:rsidP="00323340">
      <w:pPr>
        <w:jc w:val="both"/>
        <w:rPr>
          <w:rFonts w:ascii="TimesNewRomanPSMT" w:hAnsi="TimesNewRomanPSMT" w:cs="TimesNewRomanPSMT"/>
        </w:rPr>
      </w:pPr>
    </w:p>
    <w:p w14:paraId="7B8365C7"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Modalités de financement :</w:t>
      </w:r>
    </w:p>
    <w:p w14:paraId="4370B539" w14:textId="77777777" w:rsid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r w:rsidRPr="00815BB2">
        <w:rPr>
          <w:rFonts w:ascii="TimesNewRomanPSMT" w:hAnsi="TimesNewRomanPSMT" w:cs="TimesNewRomanPSMT"/>
        </w:rPr>
        <w:t xml:space="preserve">{% for p in </w:t>
      </w:r>
      <w:proofErr w:type="spellStart"/>
      <w:r w:rsidRPr="00815BB2">
        <w:rPr>
          <w:rFonts w:ascii="TimesNewRomanPSMT" w:hAnsi="TimesNewRomanPSMT" w:cs="TimesNewRomanPSMT"/>
        </w:rPr>
        <w:t>prets_cdc</w:t>
      </w:r>
      <w:proofErr w:type="spellEnd"/>
      <w:r w:rsidRPr="00815BB2">
        <w:rPr>
          <w:rFonts w:ascii="TimesNewRomanPSMT" w:hAnsi="TimesNewRomanPSMT" w:cs="TimesNewRomanPSMT"/>
        </w:rPr>
        <w:t xml:space="preserve"> %}</w:t>
      </w:r>
    </w:p>
    <w:p w14:paraId="55E531E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Numéro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p.n</w:t>
      </w:r>
      <w:proofErr w:type="spellEnd"/>
      <w:proofErr w:type="gramEnd"/>
      <w:r w:rsidRPr="00376E0E">
        <w:rPr>
          <w:rFonts w:ascii="TimesNewRomanPSMT" w:hAnsi="TimesNewRomanPSMT" w:cs="TimesNewRomanPSMT"/>
        </w:rPr>
        <w:t xml:space="preserve"> }}</w:t>
      </w:r>
    </w:p>
    <w:p w14:paraId="54B8883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Date d’octroi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.do|sd</w:t>
      </w:r>
      <w:proofErr w:type="spellEnd"/>
      <w:r w:rsidRPr="00376E0E">
        <w:rPr>
          <w:rFonts w:ascii="TimesNewRomanPSMT" w:hAnsi="TimesNewRomanPSMT" w:cs="TimesNewRomanPSMT"/>
        </w:rPr>
        <w:t xml:space="preserve"> }}</w:t>
      </w:r>
    </w:p>
    <w:p w14:paraId="464DA3C1" w14:textId="77777777" w:rsidR="00376E0E" w:rsidRPr="00376E0E" w:rsidRDefault="00376E0E" w:rsidP="00376E0E">
      <w:pPr>
        <w:jc w:val="both"/>
        <w:rPr>
          <w:rFonts w:ascii="TimesNewRomanPSMT" w:hAnsi="TimesNewRomanPSMT" w:cs="TimesNewRomanPSMT"/>
        </w:rPr>
      </w:pPr>
      <w:proofErr w:type="gramStart"/>
      <w:r w:rsidRPr="00376E0E">
        <w:rPr>
          <w:rFonts w:ascii="TimesNewRomanPSMT" w:hAnsi="TimesNewRomanPSMT" w:cs="TimesNewRomanPSMT"/>
        </w:rPr>
        <w:t>Durée:</w:t>
      </w:r>
      <w:proofErr w:type="gramEnd"/>
      <w:r w:rsidRPr="00376E0E">
        <w:rPr>
          <w:rFonts w:ascii="TimesNewRomanPSMT" w:hAnsi="TimesNewRomanPSMT" w:cs="TimesNewRomanPSMT"/>
        </w:rPr>
        <w:t xml:space="preserve"> {{ </w:t>
      </w:r>
      <w:proofErr w:type="spellStart"/>
      <w:r w:rsidRPr="00376E0E">
        <w:rPr>
          <w:rFonts w:ascii="TimesNewRomanPSMT" w:hAnsi="TimesNewRomanPSMT" w:cs="TimesNewRomanPSMT"/>
        </w:rPr>
        <w:t>p.d</w:t>
      </w:r>
      <w:proofErr w:type="spellEnd"/>
      <w:r w:rsidRPr="00376E0E">
        <w:rPr>
          <w:rFonts w:ascii="TimesNewRomanPSMT" w:hAnsi="TimesNewRomanPSMT" w:cs="TimesNewRomanPSMT"/>
        </w:rPr>
        <w:t xml:space="preserve"> }} an{{ </w:t>
      </w:r>
      <w:proofErr w:type="spellStart"/>
      <w:r w:rsidRPr="00376E0E">
        <w:rPr>
          <w:rFonts w:ascii="TimesNewRomanPSMT" w:hAnsi="TimesNewRomanPSMT" w:cs="TimesNewRomanPSMT"/>
        </w:rPr>
        <w:t>p.d|pl</w:t>
      </w:r>
      <w:proofErr w:type="spellEnd"/>
      <w:r w:rsidRPr="00376E0E">
        <w:rPr>
          <w:rFonts w:ascii="TimesNewRomanPSMT" w:hAnsi="TimesNewRomanPSMT" w:cs="TimesNewRomanPSMT"/>
        </w:rPr>
        <w:t xml:space="preserve"> }}</w:t>
      </w:r>
    </w:p>
    <w:p w14:paraId="2B9008C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Montant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.m|f</w:t>
      </w:r>
      <w:proofErr w:type="spellEnd"/>
      <w:r w:rsidRPr="00376E0E">
        <w:rPr>
          <w:rFonts w:ascii="TimesNewRomanPSMT" w:hAnsi="TimesNewRomanPSMT" w:cs="TimesNewRomanPSMT"/>
        </w:rPr>
        <w:t xml:space="preserve"> }} €</w:t>
      </w:r>
    </w:p>
    <w:p w14:paraId="4FAE19E1"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p.p</w:t>
      </w:r>
      <w:proofErr w:type="gramEnd"/>
      <w:r w:rsidRPr="00376E0E">
        <w:rPr>
          <w:rFonts w:ascii="TimesNewRomanPSMT" w:hAnsi="TimesNewRomanPSMT" w:cs="TimesNewRomanPSMT"/>
        </w:rPr>
        <w:t>_full</w:t>
      </w:r>
      <w:proofErr w:type="spellEnd"/>
      <w:r w:rsidRPr="00376E0E">
        <w:rPr>
          <w:rFonts w:ascii="TimesNewRomanPSMT" w:hAnsi="TimesNewRomanPSMT" w:cs="TimesNewRomanPSMT"/>
        </w:rPr>
        <w:t>() }}</w:t>
      </w:r>
    </w:p>
    <w:p w14:paraId="6523A72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proofErr w:type="spellStart"/>
      <w:r w:rsidRPr="00376E0E">
        <w:rPr>
          <w:rFonts w:ascii="TimesNewRomanPSMT" w:hAnsi="TimesNewRomanPSMT" w:cs="TimesNewRomanPSMT"/>
        </w:rPr>
        <w:t>autres_</w:t>
      </w:r>
      <w:r w:rsidRPr="00815BB2">
        <w:rPr>
          <w:rFonts w:ascii="TimesNewRomanPSMT" w:hAnsi="TimesNewRomanPSMT" w:cs="TimesNewRomanPSMT"/>
        </w:rPr>
        <w:t>prets</w:t>
      </w:r>
      <w:proofErr w:type="spellEnd"/>
      <w:r w:rsidRPr="00815BB2">
        <w:rPr>
          <w:rFonts w:ascii="TimesNewRomanPSMT" w:hAnsi="TimesNewRomanPSMT" w:cs="TimesNewRomanPSMT"/>
        </w:rPr>
        <w:t xml:space="preserve"> </w:t>
      </w:r>
      <w:proofErr w:type="gramStart"/>
      <w:r w:rsidRPr="00815BB2">
        <w:rPr>
          <w:rFonts w:ascii="TimesNewRomanPSMT" w:hAnsi="TimesNewRomanPSMT" w:cs="TimesNewRomanPSMT"/>
        </w:rPr>
        <w:t>%}</w:t>
      </w:r>
      <w:r w:rsidRPr="00376E0E">
        <w:rPr>
          <w:rFonts w:ascii="TimesNewRomanPSMT" w:hAnsi="TimesNewRomanPSMT" w:cs="TimesNewRomanPSMT"/>
        </w:rPr>
        <w:t>{</w:t>
      </w:r>
      <w:proofErr w:type="gramEnd"/>
      <w:r w:rsidRPr="00376E0E">
        <w:rPr>
          <w:rFonts w:ascii="TimesNewRomanPSMT" w:hAnsi="TimesNewRomanPSMT" w:cs="TimesNewRomanPSMT"/>
        </w:rPr>
        <w:t xml:space="preserve">% if </w:t>
      </w:r>
      <w:proofErr w:type="spellStart"/>
      <w:r w:rsidRPr="00376E0E">
        <w:rPr>
          <w:rFonts w:ascii="TimesNewRomanPSMT" w:hAnsi="TimesNewRomanPSMT" w:cs="TimesNewRomanPSMT"/>
        </w:rPr>
        <w:t>p.n</w:t>
      </w:r>
      <w:proofErr w:type="spellEnd"/>
      <w:r w:rsidRPr="00376E0E">
        <w:rPr>
          <w:rFonts w:ascii="TimesNewRomanPSMT" w:hAnsi="TimesNewRomanPSMT" w:cs="TimesNewRomanPSMT"/>
        </w:rPr>
        <w:t xml:space="preserve"> %}</w:t>
      </w:r>
    </w:p>
    <w:p w14:paraId="00619E1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Numéro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.n</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p.do %}</w:t>
      </w:r>
    </w:p>
    <w:p w14:paraId="3BFB947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Date d’octroi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.do|sd</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w:t>
      </w:r>
      <w:proofErr w:type="spellStart"/>
      <w:r w:rsidRPr="00376E0E">
        <w:rPr>
          <w:rFonts w:ascii="TimesNewRomanPSMT" w:hAnsi="TimesNewRomanPSMT" w:cs="TimesNewRomanPSMT"/>
        </w:rPr>
        <w:t>p.d</w:t>
      </w:r>
      <w:proofErr w:type="spellEnd"/>
      <w:r w:rsidRPr="00376E0E">
        <w:rPr>
          <w:rFonts w:ascii="TimesNewRomanPSMT" w:hAnsi="TimesNewRomanPSMT" w:cs="TimesNewRomanPSMT"/>
        </w:rPr>
        <w:t xml:space="preserve"> %}</w:t>
      </w:r>
    </w:p>
    <w:p w14:paraId="3D7BF34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Durée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p.d</w:t>
      </w:r>
      <w:proofErr w:type="spellEnd"/>
      <w:proofErr w:type="gramEnd"/>
      <w:r w:rsidRPr="00376E0E">
        <w:rPr>
          <w:rFonts w:ascii="TimesNewRomanPSMT" w:hAnsi="TimesNewRomanPSMT" w:cs="TimesNewRomanPSMT"/>
        </w:rPr>
        <w:t xml:space="preserve"> }} an{{ </w:t>
      </w:r>
      <w:proofErr w:type="spellStart"/>
      <w:r w:rsidRPr="00376E0E">
        <w:rPr>
          <w:rFonts w:ascii="TimesNewRomanPSMT" w:hAnsi="TimesNewRomanPSMT" w:cs="TimesNewRomanPSMT"/>
        </w:rPr>
        <w:t>p.d|pl</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w:t>
      </w:r>
      <w:proofErr w:type="spellStart"/>
      <w:r w:rsidRPr="00376E0E">
        <w:rPr>
          <w:rFonts w:ascii="TimesNewRomanPSMT" w:hAnsi="TimesNewRomanPSMT" w:cs="TimesNewRomanPSMT"/>
        </w:rPr>
        <w:t>p.m</w:t>
      </w:r>
      <w:proofErr w:type="spellEnd"/>
      <w:r w:rsidRPr="00376E0E">
        <w:rPr>
          <w:rFonts w:ascii="TimesNewRomanPSMT" w:hAnsi="TimesNewRomanPSMT" w:cs="TimesNewRomanPSMT"/>
        </w:rPr>
        <w:t xml:space="preserve"> %}</w:t>
      </w:r>
    </w:p>
    <w:p w14:paraId="57309C52"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Montant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.m|f</w:t>
      </w:r>
      <w:proofErr w:type="spellEnd"/>
      <w:r w:rsidRPr="00376E0E">
        <w:rPr>
          <w:rFonts w:ascii="TimesNewRomanPSMT" w:hAnsi="TimesNewRomanPSMT" w:cs="TimesNewRomanPSMT"/>
        </w:rPr>
        <w:t xml:space="preserve"> }}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w:t>
      </w:r>
      <w:proofErr w:type="spellStart"/>
      <w:r w:rsidRPr="00376E0E">
        <w:rPr>
          <w:rFonts w:ascii="TimesNewRomanPSMT" w:hAnsi="TimesNewRomanPSMT" w:cs="TimesNewRomanPSMT"/>
        </w:rPr>
        <w:t>p.preteur_display</w:t>
      </w:r>
      <w:proofErr w:type="spellEnd"/>
      <w:r w:rsidRPr="00376E0E">
        <w:rPr>
          <w:rFonts w:ascii="TimesNewRomanPSMT" w:hAnsi="TimesNewRomanPSMT" w:cs="TimesNewRomanPSMT"/>
        </w:rPr>
        <w:t>()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 xml:space="preserve">Fond propre : </w:t>
      </w:r>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.fond_propre|f</w:t>
      </w:r>
      <w:proofErr w:type="spellEnd"/>
      <w:r>
        <w:rPr>
          <w:rFonts w:ascii="TimesNewRomanPSMT" w:hAnsi="TimesNewRomanPSMT" w:cs="TimesNewRomanPSMT"/>
        </w:rPr>
        <w:t xml:space="preserve">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2F7C6E">
        <w:rPr>
          <w:rFonts w:ascii="TimesNewRomanPSMT" w:hAnsi="TimesNewRomanPSMT" w:cs="TimesNewRomanPSMT"/>
        </w:rPr>
        <w:t>{</w:t>
      </w:r>
      <w:proofErr w:type="gramEnd"/>
      <w:r w:rsidR="002F7C6E">
        <w:rPr>
          <w:rFonts w:ascii="TimesNewRomanPSMT" w:hAnsi="TimesNewRomanPSMT" w:cs="TimesNewRomanPSMT"/>
        </w:rPr>
        <w:t xml:space="preserve">% </w:t>
      </w:r>
      <w:proofErr w:type="spellStart"/>
      <w:r w:rsidR="002F7C6E">
        <w:rPr>
          <w:rFonts w:ascii="TimesNewRomanPSMT" w:hAnsi="TimesNewRomanPSMT" w:cs="TimesNewRomanPSMT"/>
        </w:rPr>
        <w:t>else</w:t>
      </w:r>
      <w:proofErr w:type="spellEnd"/>
      <w:r w:rsidR="002F7C6E">
        <w:rPr>
          <w:rFonts w:ascii="TimesNewRomanPSMT" w:hAnsi="TimesNewRomanPSMT" w:cs="TimesNewRomanPSMT"/>
        </w:rPr>
        <w:t xml:space="preserv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 xml:space="preserve">if  </w:t>
      </w:r>
      <w:r w:rsidR="00EE2C65">
        <w:rPr>
          <w:rFonts w:ascii="TimesNewRomanPSMT" w:hAnsi="TimesNewRomanPSMT" w:cs="TimesNewRomanPSMT"/>
        </w:rPr>
        <w:t>convention</w:t>
      </w:r>
      <w:proofErr w:type="gramEnd"/>
      <w:r w:rsidR="00EE2C65">
        <w:rPr>
          <w:rFonts w:ascii="TimesNewRomanPSMT" w:hAnsi="TimesNewRomanPSMT" w:cs="TimesNewRomanPSMT"/>
        </w:rPr>
        <w:t>.type2_lgts_concernes_option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.date_achat|d</w:t>
      </w:r>
      <w:proofErr w:type="spellEnd"/>
      <w:r>
        <w:rPr>
          <w:rFonts w:ascii="TimesNewRomanPSMT" w:hAnsi="TimesNewRomanPSMT" w:cs="TimesNewRomanPSMT"/>
        </w:rPr>
        <w:t xml:space="preserve">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.date_achevement_compile|d</w:t>
      </w:r>
      <w:proofErr w:type="spellEnd"/>
      <w:r>
        <w:rPr>
          <w:rFonts w:ascii="TimesNewRomanPSMT" w:hAnsi="TimesNewRomanPSMT" w:cs="TimesNewRomanPSMT"/>
        </w:rPr>
        <w:t xml:space="preserve"> }}</w:t>
      </w:r>
    </w:p>
    <w:p w14:paraId="57DBA551" w14:textId="77777777" w:rsidR="00376E0E" w:rsidRDefault="00376E0E" w:rsidP="00376E0E">
      <w:pPr>
        <w:jc w:val="both"/>
        <w:rPr>
          <w:rFonts w:ascii="TimesNewRomanPSMT" w:hAnsi="TimesNewRomanPSMT" w:cs="TimesNewRomanPSMT"/>
        </w:rPr>
      </w:pPr>
    </w:p>
    <w:p w14:paraId="4D33C54E" w14:textId="316BF34F"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Modalités de financement :</w:t>
      </w:r>
    </w:p>
    <w:p w14:paraId="2AED5506" w14:textId="77777777" w:rsid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r w:rsidRPr="00815BB2">
        <w:rPr>
          <w:rFonts w:ascii="TimesNewRomanPSMT" w:hAnsi="TimesNewRomanPSMT" w:cs="TimesNewRomanPSMT"/>
        </w:rPr>
        <w:t xml:space="preserve">{% for p in </w:t>
      </w:r>
      <w:proofErr w:type="spellStart"/>
      <w:r w:rsidRPr="00815BB2">
        <w:rPr>
          <w:rFonts w:ascii="TimesNewRomanPSMT" w:hAnsi="TimesNewRomanPSMT" w:cs="TimesNewRomanPSMT"/>
        </w:rPr>
        <w:t>prets_cdc</w:t>
      </w:r>
      <w:proofErr w:type="spellEnd"/>
      <w:r w:rsidRPr="00815BB2">
        <w:rPr>
          <w:rFonts w:ascii="TimesNewRomanPSMT" w:hAnsi="TimesNewRomanPSMT" w:cs="TimesNewRomanPSMT"/>
        </w:rPr>
        <w:t xml:space="preserve"> %}</w:t>
      </w:r>
    </w:p>
    <w:p w14:paraId="6DE3993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Numéro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p.n</w:t>
      </w:r>
      <w:proofErr w:type="spellEnd"/>
      <w:proofErr w:type="gramEnd"/>
      <w:r w:rsidRPr="00376E0E">
        <w:rPr>
          <w:rFonts w:ascii="TimesNewRomanPSMT" w:hAnsi="TimesNewRomanPSMT" w:cs="TimesNewRomanPSMT"/>
        </w:rPr>
        <w:t xml:space="preserve"> }}</w:t>
      </w:r>
    </w:p>
    <w:p w14:paraId="4F7A1BF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Date d’octroi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.do|sd</w:t>
      </w:r>
      <w:proofErr w:type="spellEnd"/>
      <w:r w:rsidRPr="00376E0E">
        <w:rPr>
          <w:rFonts w:ascii="TimesNewRomanPSMT" w:hAnsi="TimesNewRomanPSMT" w:cs="TimesNewRomanPSMT"/>
        </w:rPr>
        <w:t xml:space="preserve"> }}</w:t>
      </w:r>
    </w:p>
    <w:p w14:paraId="1A8EA653" w14:textId="77777777" w:rsidR="00376E0E" w:rsidRPr="00376E0E" w:rsidRDefault="00376E0E" w:rsidP="00376E0E">
      <w:pPr>
        <w:jc w:val="both"/>
        <w:rPr>
          <w:rFonts w:ascii="TimesNewRomanPSMT" w:hAnsi="TimesNewRomanPSMT" w:cs="TimesNewRomanPSMT"/>
        </w:rPr>
      </w:pPr>
      <w:proofErr w:type="gramStart"/>
      <w:r w:rsidRPr="00376E0E">
        <w:rPr>
          <w:rFonts w:ascii="TimesNewRomanPSMT" w:hAnsi="TimesNewRomanPSMT" w:cs="TimesNewRomanPSMT"/>
        </w:rPr>
        <w:t>Durée:</w:t>
      </w:r>
      <w:proofErr w:type="gramEnd"/>
      <w:r w:rsidRPr="00376E0E">
        <w:rPr>
          <w:rFonts w:ascii="TimesNewRomanPSMT" w:hAnsi="TimesNewRomanPSMT" w:cs="TimesNewRomanPSMT"/>
        </w:rPr>
        <w:t xml:space="preserve"> {{ </w:t>
      </w:r>
      <w:proofErr w:type="spellStart"/>
      <w:r w:rsidRPr="00376E0E">
        <w:rPr>
          <w:rFonts w:ascii="TimesNewRomanPSMT" w:hAnsi="TimesNewRomanPSMT" w:cs="TimesNewRomanPSMT"/>
        </w:rPr>
        <w:t>p.d</w:t>
      </w:r>
      <w:proofErr w:type="spellEnd"/>
      <w:r w:rsidRPr="00376E0E">
        <w:rPr>
          <w:rFonts w:ascii="TimesNewRomanPSMT" w:hAnsi="TimesNewRomanPSMT" w:cs="TimesNewRomanPSMT"/>
        </w:rPr>
        <w:t xml:space="preserve"> }} an{{ </w:t>
      </w:r>
      <w:proofErr w:type="spellStart"/>
      <w:r w:rsidRPr="00376E0E">
        <w:rPr>
          <w:rFonts w:ascii="TimesNewRomanPSMT" w:hAnsi="TimesNewRomanPSMT" w:cs="TimesNewRomanPSMT"/>
        </w:rPr>
        <w:t>p.d|pl</w:t>
      </w:r>
      <w:proofErr w:type="spellEnd"/>
      <w:r w:rsidRPr="00376E0E">
        <w:rPr>
          <w:rFonts w:ascii="TimesNewRomanPSMT" w:hAnsi="TimesNewRomanPSMT" w:cs="TimesNewRomanPSMT"/>
        </w:rPr>
        <w:t xml:space="preserve"> }}</w:t>
      </w:r>
    </w:p>
    <w:p w14:paraId="6D8F735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Montant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.m|f</w:t>
      </w:r>
      <w:proofErr w:type="spellEnd"/>
      <w:r w:rsidRPr="00376E0E">
        <w:rPr>
          <w:rFonts w:ascii="TimesNewRomanPSMT" w:hAnsi="TimesNewRomanPSMT" w:cs="TimesNewRomanPSMT"/>
        </w:rPr>
        <w:t xml:space="preserve"> }} €</w:t>
      </w:r>
    </w:p>
    <w:p w14:paraId="33491C30"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p.p</w:t>
      </w:r>
      <w:proofErr w:type="gramEnd"/>
      <w:r w:rsidRPr="00376E0E">
        <w:rPr>
          <w:rFonts w:ascii="TimesNewRomanPSMT" w:hAnsi="TimesNewRomanPSMT" w:cs="TimesNewRomanPSMT"/>
        </w:rPr>
        <w:t>_full</w:t>
      </w:r>
      <w:proofErr w:type="spellEnd"/>
      <w:r w:rsidRPr="00376E0E">
        <w:rPr>
          <w:rFonts w:ascii="TimesNewRomanPSMT" w:hAnsi="TimesNewRomanPSMT" w:cs="TimesNewRomanPSMT"/>
        </w:rPr>
        <w:t>() }}</w:t>
      </w:r>
    </w:p>
    <w:p w14:paraId="16CB24D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76E0E" w:rsidRDefault="00376E0E" w:rsidP="00376E0E">
      <w:pPr>
        <w:jc w:val="both"/>
        <w:rPr>
          <w:rFonts w:ascii="TimesNewRomanPSMT" w:hAnsi="TimesNewRomanPSMT" w:cs="TimesNewRomanPSMT"/>
        </w:rPr>
      </w:pPr>
      <w:r w:rsidRPr="00815BB2">
        <w:rPr>
          <w:rFonts w:ascii="TimesNewRomanPSMT" w:hAnsi="TimesNewRomanPSMT" w:cs="TimesNewRomanPSMT"/>
        </w:rPr>
        <w:t xml:space="preserve">{% for p in </w:t>
      </w:r>
      <w:proofErr w:type="spellStart"/>
      <w:r w:rsidRPr="00376E0E">
        <w:rPr>
          <w:rFonts w:ascii="TimesNewRomanPSMT" w:hAnsi="TimesNewRomanPSMT" w:cs="TimesNewRomanPSMT"/>
        </w:rPr>
        <w:t>autres_</w:t>
      </w:r>
      <w:r w:rsidRPr="00815BB2">
        <w:rPr>
          <w:rFonts w:ascii="TimesNewRomanPSMT" w:hAnsi="TimesNewRomanPSMT" w:cs="TimesNewRomanPSMT"/>
        </w:rPr>
        <w:t>prets</w:t>
      </w:r>
      <w:proofErr w:type="spellEnd"/>
      <w:r w:rsidRPr="00815BB2">
        <w:rPr>
          <w:rFonts w:ascii="TimesNewRomanPSMT" w:hAnsi="TimesNewRomanPSMT" w:cs="TimesNewRomanPSMT"/>
        </w:rPr>
        <w:t xml:space="preserve"> </w:t>
      </w:r>
      <w:proofErr w:type="gramStart"/>
      <w:r w:rsidRPr="00815BB2">
        <w:rPr>
          <w:rFonts w:ascii="TimesNewRomanPSMT" w:hAnsi="TimesNewRomanPSMT" w:cs="TimesNewRomanPSMT"/>
        </w:rPr>
        <w:t>%}</w:t>
      </w:r>
      <w:r w:rsidRPr="00376E0E">
        <w:rPr>
          <w:rFonts w:ascii="TimesNewRomanPSMT" w:hAnsi="TimesNewRomanPSMT" w:cs="TimesNewRomanPSMT"/>
        </w:rPr>
        <w:t>{</w:t>
      </w:r>
      <w:proofErr w:type="gramEnd"/>
      <w:r w:rsidRPr="00376E0E">
        <w:rPr>
          <w:rFonts w:ascii="TimesNewRomanPSMT" w:hAnsi="TimesNewRomanPSMT" w:cs="TimesNewRomanPSMT"/>
        </w:rPr>
        <w:t xml:space="preserve">% if </w:t>
      </w:r>
      <w:proofErr w:type="spellStart"/>
      <w:r w:rsidRPr="00376E0E">
        <w:rPr>
          <w:rFonts w:ascii="TimesNewRomanPSMT" w:hAnsi="TimesNewRomanPSMT" w:cs="TimesNewRomanPSMT"/>
        </w:rPr>
        <w:t>p.n</w:t>
      </w:r>
      <w:proofErr w:type="spellEnd"/>
      <w:r w:rsidRPr="00376E0E">
        <w:rPr>
          <w:rFonts w:ascii="TimesNewRomanPSMT" w:hAnsi="TimesNewRomanPSMT" w:cs="TimesNewRomanPSMT"/>
        </w:rPr>
        <w:t xml:space="preserve"> %}</w:t>
      </w:r>
    </w:p>
    <w:p w14:paraId="4384B61B"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Numéro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.n</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p.do %}</w:t>
      </w:r>
    </w:p>
    <w:p w14:paraId="554B0C0A"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Date d’octroi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.do|sd</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w:t>
      </w:r>
      <w:proofErr w:type="spellStart"/>
      <w:r w:rsidRPr="00376E0E">
        <w:rPr>
          <w:rFonts w:ascii="TimesNewRomanPSMT" w:hAnsi="TimesNewRomanPSMT" w:cs="TimesNewRomanPSMT"/>
        </w:rPr>
        <w:t>p.d</w:t>
      </w:r>
      <w:proofErr w:type="spellEnd"/>
      <w:r w:rsidRPr="00376E0E">
        <w:rPr>
          <w:rFonts w:ascii="TimesNewRomanPSMT" w:hAnsi="TimesNewRomanPSMT" w:cs="TimesNewRomanPSMT"/>
        </w:rPr>
        <w:t xml:space="preserve"> %}</w:t>
      </w:r>
    </w:p>
    <w:p w14:paraId="3B19BA7E"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 xml:space="preserve">Durée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p.d</w:t>
      </w:r>
      <w:proofErr w:type="spellEnd"/>
      <w:proofErr w:type="gramEnd"/>
      <w:r w:rsidRPr="00376E0E">
        <w:rPr>
          <w:rFonts w:ascii="TimesNewRomanPSMT" w:hAnsi="TimesNewRomanPSMT" w:cs="TimesNewRomanPSMT"/>
        </w:rPr>
        <w:t xml:space="preserve"> }} an{{ </w:t>
      </w:r>
      <w:proofErr w:type="spellStart"/>
      <w:r w:rsidRPr="00376E0E">
        <w:rPr>
          <w:rFonts w:ascii="TimesNewRomanPSMT" w:hAnsi="TimesNewRomanPSMT" w:cs="TimesNewRomanPSMT"/>
        </w:rPr>
        <w:t>p.d|pl</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w:t>
      </w:r>
      <w:proofErr w:type="spellStart"/>
      <w:r w:rsidRPr="00376E0E">
        <w:rPr>
          <w:rFonts w:ascii="TimesNewRomanPSMT" w:hAnsi="TimesNewRomanPSMT" w:cs="TimesNewRomanPSMT"/>
        </w:rPr>
        <w:t>p.m</w:t>
      </w:r>
      <w:proofErr w:type="spellEnd"/>
      <w:r w:rsidRPr="00376E0E">
        <w:rPr>
          <w:rFonts w:ascii="TimesNewRomanPSMT" w:hAnsi="TimesNewRomanPSMT" w:cs="TimesNewRomanPSMT"/>
        </w:rPr>
        <w:t xml:space="preserve"> %}</w:t>
      </w:r>
    </w:p>
    <w:p w14:paraId="65144BF6"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Montant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.m|f</w:t>
      </w:r>
      <w:proofErr w:type="spellEnd"/>
      <w:r w:rsidRPr="00376E0E">
        <w:rPr>
          <w:rFonts w:ascii="TimesNewRomanPSMT" w:hAnsi="TimesNewRomanPSMT" w:cs="TimesNewRomanPSMT"/>
        </w:rPr>
        <w:t xml:space="preserve"> }}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w:t>
      </w:r>
      <w:proofErr w:type="spellStart"/>
      <w:r w:rsidRPr="00376E0E">
        <w:rPr>
          <w:rFonts w:ascii="TimesNewRomanPSMT" w:hAnsi="TimesNewRomanPSMT" w:cs="TimesNewRomanPSMT"/>
        </w:rPr>
        <w:t>p.preteur_display</w:t>
      </w:r>
      <w:proofErr w:type="spellEnd"/>
      <w:r w:rsidRPr="00376E0E">
        <w:rPr>
          <w:rFonts w:ascii="TimesNewRomanPSMT" w:hAnsi="TimesNewRomanPSMT" w:cs="TimesNewRomanPSMT"/>
        </w:rPr>
        <w:t>()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125D8B" w:rsidRPr="00C45798">
        <w:rPr>
          <w:rFonts w:ascii="TimesNewRomanPSMT" w:hAnsi="TimesNewRomanPSMT" w:cs="TimesNewRomanPSMT"/>
        </w:rPr>
        <w:t>{</w:t>
      </w:r>
      <w:proofErr w:type="gramEnd"/>
      <w:r w:rsidR="00125D8B" w:rsidRPr="00C45798">
        <w:rPr>
          <w:rFonts w:ascii="TimesNewRomanPSMT" w:hAnsi="TimesNewRomanPSMT" w:cs="TimesNewRomanPSMT"/>
        </w:rPr>
        <w:t xml:space="preserve">% </w:t>
      </w:r>
      <w:proofErr w:type="spellStart"/>
      <w:r w:rsidR="00125D8B" w:rsidRPr="00C45798">
        <w:rPr>
          <w:rFonts w:ascii="TimesNewRomanPSMT" w:hAnsi="TimesNewRomanPSMT" w:cs="TimesNewRomanPSMT"/>
        </w:rPr>
        <w:t>else</w:t>
      </w:r>
      <w:proofErr w:type="spellEnd"/>
      <w:r w:rsidR="00125D8B" w:rsidRPr="00C45798">
        <w:rPr>
          <w:rFonts w:ascii="TimesNewRomanPSMT" w:hAnsi="TimesNewRomanPSMT" w:cs="TimesNewRomanPSMT"/>
        </w:rPr>
        <w:t xml:space="preserv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w:t>
      </w:r>
      <w:proofErr w:type="gramStart"/>
      <w:r w:rsidR="00A42517">
        <w:rPr>
          <w:rFonts w:ascii="TimesNewRomanPSMT" w:hAnsi="TimesNewRomanPSMT" w:cs="TimesNewRomanPSMT"/>
        </w:rPr>
        <w:t xml:space="preserve">{{ </w:t>
      </w:r>
      <w:proofErr w:type="spellStart"/>
      <w:r w:rsidR="00A42517">
        <w:rPr>
          <w:rFonts w:ascii="TimesNewRomanPSMT" w:hAnsi="TimesNewRomanPSMT" w:cs="TimesNewRomanPSMT"/>
        </w:rPr>
        <w:t>programme</w:t>
      </w:r>
      <w:proofErr w:type="gramEnd"/>
      <w:r w:rsidR="00A42517">
        <w:rPr>
          <w:rFonts w:ascii="TimesNewRomanPSMT" w:hAnsi="TimesNewRomanPSMT" w:cs="TimesNewRomanPSMT"/>
        </w:rPr>
        <w:t>.date_achevement_compile|d</w:t>
      </w:r>
      <w:proofErr w:type="spellEnd"/>
      <w:r w:rsidR="00A42517">
        <w:rPr>
          <w:rFonts w:ascii="TimesNewRomanPSMT" w:hAnsi="TimesNewRomanPSMT" w:cs="TimesNewRomanPSMT"/>
        </w:rPr>
        <w:t xml:space="preserve">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3 </w:t>
      </w:r>
      <w:r w:rsidR="00BC19A8" w:rsidRPr="000C21A0">
        <w:rPr>
          <w:rFonts w:ascii="TimesNewRomanPSMT" w:hAnsi="TimesNewRomanPSMT" w:cs="TimesNewRomanPSMT"/>
          <w:lang w:val="en-US"/>
        </w:rPr>
        <w:t>-</w:t>
      </w:r>
      <w:r w:rsidRPr="00376E0E">
        <w:rPr>
          <w:rFonts w:ascii="TimesNewRomanPSMT" w:hAnsi="TimesNewRomanPSMT" w:cs="TimesNewRomanPSMT"/>
        </w:rPr>
        <w:t xml:space="preserve"> Modalités de financement :</w:t>
      </w:r>
    </w:p>
    <w:p w14:paraId="34FCA706" w14:textId="77777777" w:rsidR="00A42517" w:rsidRDefault="00A42517" w:rsidP="00A42517">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r w:rsidRPr="00815BB2">
        <w:rPr>
          <w:rFonts w:ascii="TimesNewRomanPSMT" w:hAnsi="TimesNewRomanPSMT" w:cs="TimesNewRomanPSMT"/>
        </w:rPr>
        <w:t xml:space="preserve">{% for p in </w:t>
      </w:r>
      <w:proofErr w:type="spellStart"/>
      <w:r w:rsidRPr="00815BB2">
        <w:rPr>
          <w:rFonts w:ascii="TimesNewRomanPSMT" w:hAnsi="TimesNewRomanPSMT" w:cs="TimesNewRomanPSMT"/>
        </w:rPr>
        <w:t>prets_cdc</w:t>
      </w:r>
      <w:proofErr w:type="spellEnd"/>
      <w:r w:rsidRPr="00815BB2">
        <w:rPr>
          <w:rFonts w:ascii="TimesNewRomanPSMT" w:hAnsi="TimesNewRomanPSMT" w:cs="TimesNewRomanPSMT"/>
        </w:rPr>
        <w:t xml:space="preserve"> %}</w:t>
      </w:r>
    </w:p>
    <w:p w14:paraId="5BA06F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Numéro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p.n</w:t>
      </w:r>
      <w:proofErr w:type="spellEnd"/>
      <w:proofErr w:type="gramEnd"/>
      <w:r w:rsidRPr="00376E0E">
        <w:rPr>
          <w:rFonts w:ascii="TimesNewRomanPSMT" w:hAnsi="TimesNewRomanPSMT" w:cs="TimesNewRomanPSMT"/>
        </w:rPr>
        <w:t xml:space="preserve"> }}</w:t>
      </w:r>
    </w:p>
    <w:p w14:paraId="34EB8857"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Date d’octroi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.do|sd</w:t>
      </w:r>
      <w:proofErr w:type="spellEnd"/>
      <w:r w:rsidRPr="00376E0E">
        <w:rPr>
          <w:rFonts w:ascii="TimesNewRomanPSMT" w:hAnsi="TimesNewRomanPSMT" w:cs="TimesNewRomanPSMT"/>
        </w:rPr>
        <w:t xml:space="preserve"> }}</w:t>
      </w:r>
    </w:p>
    <w:p w14:paraId="4ADA53E9" w14:textId="77777777" w:rsidR="00A42517" w:rsidRPr="00376E0E" w:rsidRDefault="00A42517" w:rsidP="00A42517">
      <w:pPr>
        <w:jc w:val="both"/>
        <w:rPr>
          <w:rFonts w:ascii="TimesNewRomanPSMT" w:hAnsi="TimesNewRomanPSMT" w:cs="TimesNewRomanPSMT"/>
        </w:rPr>
      </w:pPr>
      <w:proofErr w:type="gramStart"/>
      <w:r w:rsidRPr="00376E0E">
        <w:rPr>
          <w:rFonts w:ascii="TimesNewRomanPSMT" w:hAnsi="TimesNewRomanPSMT" w:cs="TimesNewRomanPSMT"/>
        </w:rPr>
        <w:t>Durée:</w:t>
      </w:r>
      <w:proofErr w:type="gramEnd"/>
      <w:r w:rsidRPr="00376E0E">
        <w:rPr>
          <w:rFonts w:ascii="TimesNewRomanPSMT" w:hAnsi="TimesNewRomanPSMT" w:cs="TimesNewRomanPSMT"/>
        </w:rPr>
        <w:t xml:space="preserve"> {{ </w:t>
      </w:r>
      <w:proofErr w:type="spellStart"/>
      <w:r w:rsidRPr="00376E0E">
        <w:rPr>
          <w:rFonts w:ascii="TimesNewRomanPSMT" w:hAnsi="TimesNewRomanPSMT" w:cs="TimesNewRomanPSMT"/>
        </w:rPr>
        <w:t>p.d</w:t>
      </w:r>
      <w:proofErr w:type="spellEnd"/>
      <w:r w:rsidRPr="00376E0E">
        <w:rPr>
          <w:rFonts w:ascii="TimesNewRomanPSMT" w:hAnsi="TimesNewRomanPSMT" w:cs="TimesNewRomanPSMT"/>
        </w:rPr>
        <w:t xml:space="preserve"> }} an{{ </w:t>
      </w:r>
      <w:proofErr w:type="spellStart"/>
      <w:r w:rsidRPr="00376E0E">
        <w:rPr>
          <w:rFonts w:ascii="TimesNewRomanPSMT" w:hAnsi="TimesNewRomanPSMT" w:cs="TimesNewRomanPSMT"/>
        </w:rPr>
        <w:t>p.d|pl</w:t>
      </w:r>
      <w:proofErr w:type="spellEnd"/>
      <w:r w:rsidRPr="00376E0E">
        <w:rPr>
          <w:rFonts w:ascii="TimesNewRomanPSMT" w:hAnsi="TimesNewRomanPSMT" w:cs="TimesNewRomanPSMT"/>
        </w:rPr>
        <w:t xml:space="preserve"> }}</w:t>
      </w:r>
    </w:p>
    <w:p w14:paraId="34D1F779"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Montant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.m|f</w:t>
      </w:r>
      <w:proofErr w:type="spellEnd"/>
      <w:r w:rsidRPr="00376E0E">
        <w:rPr>
          <w:rFonts w:ascii="TimesNewRomanPSMT" w:hAnsi="TimesNewRomanPSMT" w:cs="TimesNewRomanPSMT"/>
        </w:rPr>
        <w:t xml:space="preserve"> }} €</w:t>
      </w:r>
    </w:p>
    <w:p w14:paraId="760FB10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p.p</w:t>
      </w:r>
      <w:proofErr w:type="gramEnd"/>
      <w:r w:rsidRPr="00376E0E">
        <w:rPr>
          <w:rFonts w:ascii="TimesNewRomanPSMT" w:hAnsi="TimesNewRomanPSMT" w:cs="TimesNewRomanPSMT"/>
        </w:rPr>
        <w:t>_full</w:t>
      </w:r>
      <w:proofErr w:type="spellEnd"/>
      <w:r w:rsidRPr="00376E0E">
        <w:rPr>
          <w:rFonts w:ascii="TimesNewRomanPSMT" w:hAnsi="TimesNewRomanPSMT" w:cs="TimesNewRomanPSMT"/>
        </w:rPr>
        <w:t>()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76E0E" w:rsidRDefault="00A42517" w:rsidP="00A42517">
      <w:pPr>
        <w:jc w:val="both"/>
        <w:rPr>
          <w:rFonts w:ascii="TimesNewRomanPSMT" w:hAnsi="TimesNewRomanPSMT" w:cs="TimesNewRomanPSMT"/>
        </w:rPr>
      </w:pPr>
      <w:r w:rsidRPr="00815BB2">
        <w:rPr>
          <w:rFonts w:ascii="TimesNewRomanPSMT" w:hAnsi="TimesNewRomanPSMT" w:cs="TimesNewRomanPSMT"/>
        </w:rPr>
        <w:t xml:space="preserve">{% for p in </w:t>
      </w:r>
      <w:proofErr w:type="spellStart"/>
      <w:r w:rsidRPr="00376E0E">
        <w:rPr>
          <w:rFonts w:ascii="TimesNewRomanPSMT" w:hAnsi="TimesNewRomanPSMT" w:cs="TimesNewRomanPSMT"/>
        </w:rPr>
        <w:t>autres_</w:t>
      </w:r>
      <w:r w:rsidRPr="00815BB2">
        <w:rPr>
          <w:rFonts w:ascii="TimesNewRomanPSMT" w:hAnsi="TimesNewRomanPSMT" w:cs="TimesNewRomanPSMT"/>
        </w:rPr>
        <w:t>prets</w:t>
      </w:r>
      <w:proofErr w:type="spellEnd"/>
      <w:r w:rsidRPr="00815BB2">
        <w:rPr>
          <w:rFonts w:ascii="TimesNewRomanPSMT" w:hAnsi="TimesNewRomanPSMT" w:cs="TimesNewRomanPSMT"/>
        </w:rPr>
        <w:t xml:space="preserve"> </w:t>
      </w:r>
      <w:proofErr w:type="gramStart"/>
      <w:r w:rsidRPr="00815BB2">
        <w:rPr>
          <w:rFonts w:ascii="TimesNewRomanPSMT" w:hAnsi="TimesNewRomanPSMT" w:cs="TimesNewRomanPSMT"/>
        </w:rPr>
        <w:t>%}</w:t>
      </w:r>
      <w:r w:rsidRPr="00376E0E">
        <w:rPr>
          <w:rFonts w:ascii="TimesNewRomanPSMT" w:hAnsi="TimesNewRomanPSMT" w:cs="TimesNewRomanPSMT"/>
        </w:rPr>
        <w:t>{</w:t>
      </w:r>
      <w:proofErr w:type="gramEnd"/>
      <w:r w:rsidRPr="00376E0E">
        <w:rPr>
          <w:rFonts w:ascii="TimesNewRomanPSMT" w:hAnsi="TimesNewRomanPSMT" w:cs="TimesNewRomanPSMT"/>
        </w:rPr>
        <w:t xml:space="preserve">% if </w:t>
      </w:r>
      <w:proofErr w:type="spellStart"/>
      <w:r w:rsidRPr="00376E0E">
        <w:rPr>
          <w:rFonts w:ascii="TimesNewRomanPSMT" w:hAnsi="TimesNewRomanPSMT" w:cs="TimesNewRomanPSMT"/>
        </w:rPr>
        <w:t>p.n</w:t>
      </w:r>
      <w:proofErr w:type="spellEnd"/>
      <w:r w:rsidRPr="00376E0E">
        <w:rPr>
          <w:rFonts w:ascii="TimesNewRomanPSMT" w:hAnsi="TimesNewRomanPSMT" w:cs="TimesNewRomanPSMT"/>
        </w:rPr>
        <w:t xml:space="preserve"> %}</w:t>
      </w:r>
    </w:p>
    <w:p w14:paraId="251A41BA"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Numéro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.n</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p.do %}</w:t>
      </w:r>
    </w:p>
    <w:p w14:paraId="7B583044"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Date d’octroi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.do|sd</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w:t>
      </w:r>
      <w:proofErr w:type="spellStart"/>
      <w:r w:rsidRPr="00376E0E">
        <w:rPr>
          <w:rFonts w:ascii="TimesNewRomanPSMT" w:hAnsi="TimesNewRomanPSMT" w:cs="TimesNewRomanPSMT"/>
        </w:rPr>
        <w:t>p.d</w:t>
      </w:r>
      <w:proofErr w:type="spellEnd"/>
      <w:r w:rsidRPr="00376E0E">
        <w:rPr>
          <w:rFonts w:ascii="TimesNewRomanPSMT" w:hAnsi="TimesNewRomanPSMT" w:cs="TimesNewRomanPSMT"/>
        </w:rPr>
        <w:t xml:space="preserve"> %}</w:t>
      </w:r>
    </w:p>
    <w:p w14:paraId="0140ADA6"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Durée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p.d</w:t>
      </w:r>
      <w:proofErr w:type="spellEnd"/>
      <w:proofErr w:type="gramEnd"/>
      <w:r w:rsidRPr="00376E0E">
        <w:rPr>
          <w:rFonts w:ascii="TimesNewRomanPSMT" w:hAnsi="TimesNewRomanPSMT" w:cs="TimesNewRomanPSMT"/>
        </w:rPr>
        <w:t xml:space="preserve"> }} an{{ </w:t>
      </w:r>
      <w:proofErr w:type="spellStart"/>
      <w:r w:rsidRPr="00376E0E">
        <w:rPr>
          <w:rFonts w:ascii="TimesNewRomanPSMT" w:hAnsi="TimesNewRomanPSMT" w:cs="TimesNewRomanPSMT"/>
        </w:rPr>
        <w:t>p.d|pl</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w:t>
      </w:r>
      <w:proofErr w:type="spellStart"/>
      <w:r w:rsidRPr="00376E0E">
        <w:rPr>
          <w:rFonts w:ascii="TimesNewRomanPSMT" w:hAnsi="TimesNewRomanPSMT" w:cs="TimesNewRomanPSMT"/>
        </w:rPr>
        <w:t>p.m</w:t>
      </w:r>
      <w:proofErr w:type="spellEnd"/>
      <w:r w:rsidRPr="00376E0E">
        <w:rPr>
          <w:rFonts w:ascii="TimesNewRomanPSMT" w:hAnsi="TimesNewRomanPSMT" w:cs="TimesNewRomanPSMT"/>
        </w:rPr>
        <w:t xml:space="preserve"> %}</w:t>
      </w:r>
    </w:p>
    <w:p w14:paraId="2952600B"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Montant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.m|f</w:t>
      </w:r>
      <w:proofErr w:type="spellEnd"/>
      <w:r w:rsidRPr="00376E0E">
        <w:rPr>
          <w:rFonts w:ascii="TimesNewRomanPSMT" w:hAnsi="TimesNewRomanPSMT" w:cs="TimesNewRomanPSMT"/>
        </w:rPr>
        <w:t xml:space="preserve"> }}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 if </w:t>
      </w:r>
      <w:proofErr w:type="spellStart"/>
      <w:r w:rsidRPr="00376E0E">
        <w:rPr>
          <w:rFonts w:ascii="TimesNewRomanPSMT" w:hAnsi="TimesNewRomanPSMT" w:cs="TimesNewRomanPSMT"/>
        </w:rPr>
        <w:t>p.preteur_display</w:t>
      </w:r>
      <w:proofErr w:type="spellEnd"/>
      <w:r w:rsidRPr="00376E0E">
        <w:rPr>
          <w:rFonts w:ascii="TimesNewRomanPSMT" w:hAnsi="TimesNewRomanPSMT" w:cs="TimesNewRomanPSMT"/>
        </w:rPr>
        <w:t>()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BC19A8" w:rsidRPr="000C21A0">
        <w:rPr>
          <w:rFonts w:ascii="TimesNewRomanPSMT" w:hAnsi="TimesNewRomanPSMT" w:cs="TimesNewRomanPSMT"/>
        </w:rPr>
        <w:t>{</w:t>
      </w:r>
      <w:proofErr w:type="gramEnd"/>
      <w:r w:rsidR="00BC19A8" w:rsidRPr="000C21A0">
        <w:rPr>
          <w:rFonts w:ascii="TimesNewRomanPSMT" w:hAnsi="TimesNewRomanPSMT" w:cs="TimesNewRomanPSMT"/>
        </w:rPr>
        <w:t xml:space="preserve">% </w:t>
      </w:r>
      <w:proofErr w:type="spellStart"/>
      <w:r w:rsidR="00BC19A8" w:rsidRPr="000C21A0">
        <w:rPr>
          <w:rFonts w:ascii="TimesNewRomanPSMT" w:hAnsi="TimesNewRomanPSMT" w:cs="TimesNewRomanPSMT"/>
        </w:rPr>
        <w:t>else</w:t>
      </w:r>
      <w:proofErr w:type="spellEnd"/>
      <w:r w:rsidR="00BC19A8" w:rsidRPr="000C21A0">
        <w:rPr>
          <w:rFonts w:ascii="TimesNewRomanPSMT" w:hAnsi="TimesNewRomanPSMT" w:cs="TimesNewRomanPSMT"/>
        </w:rPr>
        <w:t xml:space="preserv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 xml:space="preserve">1) Nom de la personne physique ou morale identifiée conformément aux dispositions, selon le </w:t>
      </w:r>
      <w:proofErr w:type="spellStart"/>
      <w:proofErr w:type="gramStart"/>
      <w:r w:rsidR="00A42517" w:rsidRPr="00A42517">
        <w:rPr>
          <w:rFonts w:ascii="TimesNewRomanPSMT" w:hAnsi="TimesNewRomanPSMT" w:cs="TimesNewRomanPSMT"/>
          <w:sz w:val="16"/>
          <w:szCs w:val="16"/>
        </w:rPr>
        <w:t>cas,des</w:t>
      </w:r>
      <w:proofErr w:type="spellEnd"/>
      <w:proofErr w:type="gramEnd"/>
      <w:r w:rsidR="00A42517" w:rsidRPr="00A42517">
        <w:rPr>
          <w:rFonts w:ascii="TimesNewRomanPSMT" w:hAnsi="TimesNewRomanPSMT" w:cs="TimesNewRomanPSMT"/>
          <w:sz w:val="16"/>
          <w:szCs w:val="16"/>
        </w:rPr>
        <w:t xml:space="preserve">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 xml:space="preserve">(9) Etablie conformément à l'article 7 du décret n° 55-22 du 4 janvier 1955 modifié portant </w:t>
      </w:r>
      <w:proofErr w:type="spellStart"/>
      <w:r w:rsidRPr="00A42517">
        <w:rPr>
          <w:rFonts w:ascii="TimesNewRomanPSMT" w:hAnsi="TimesNewRomanPSMT" w:cs="TimesNewRomanPSMT"/>
          <w:sz w:val="16"/>
          <w:szCs w:val="16"/>
        </w:rPr>
        <w:t>réformede</w:t>
      </w:r>
      <w:proofErr w:type="spellEnd"/>
      <w:r w:rsidRPr="00A42517">
        <w:rPr>
          <w:rFonts w:ascii="TimesNewRomanPSMT" w:hAnsi="TimesNewRomanPSMT" w:cs="TimesNewRomanPSMT"/>
          <w:sz w:val="16"/>
          <w:szCs w:val="16"/>
        </w:rPr>
        <w:t xml:space="preserv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51" w:name="Siret2"/>
      <w:bookmarkEnd w:id="51"/>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C4579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C09BD" w14:textId="77777777" w:rsidR="007D663B" w:rsidRDefault="007D663B">
      <w:r>
        <w:separator/>
      </w:r>
    </w:p>
  </w:endnote>
  <w:endnote w:type="continuationSeparator" w:id="0">
    <w:p w14:paraId="085E1EC4" w14:textId="77777777" w:rsidR="007D663B" w:rsidRDefault="007D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FC82F" w14:textId="77777777" w:rsidR="007D663B" w:rsidRDefault="007D663B">
      <w:r>
        <w:separator/>
      </w:r>
    </w:p>
  </w:footnote>
  <w:footnote w:type="continuationSeparator" w:id="0">
    <w:p w14:paraId="1E5B403C" w14:textId="77777777" w:rsidR="007D663B" w:rsidRDefault="007D6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En-tte"/>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7D663B">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7D663B">
    <w:pPr>
      <w:pStyle w:val="En-tte"/>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7D663B" w:rsidP="00D279D1">
    <w:pPr>
      <w:pStyle w:val="En-tte"/>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C8660E" w:rsidP="00D279D1">
                          <w:pPr>
                            <w:pStyle w:val="Cerfa"/>
                            <w:rPr>
                              <w:sz w:val="16"/>
                              <w:szCs w:val="16"/>
                            </w:rPr>
                          </w:pPr>
                          <w:r>
                            <w:rPr>
                              <w:noProof/>
                            </w:rPr>
                            <w:object w:dxaOrig="780" w:dyaOrig="510"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5pt;height:26.05pt;mso-width-percent:0;mso-height-percent:0;mso-width-percent:0;mso-height-percent:0" filled="t">
                                <v:fill color2="black"/>
                                <v:imagedata r:id="rId2" o:title="" croptop="-22f" cropbottom="-22f" cropleft="-25f" cropright="-25f"/>
                              </v:shape>
                              <o:OLEObject Type="Embed" ProgID="Word.Picture.8" ShapeID="_x0000_i1026" DrawAspect="Content" ObjectID="_1715518866"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C8660E" w:rsidP="00D279D1">
                    <w:pPr>
                      <w:pStyle w:val="Cerfa"/>
                      <w:rPr>
                        <w:sz w:val="16"/>
                        <w:szCs w:val="16"/>
                      </w:rPr>
                    </w:pPr>
                    <w:r>
                      <w:rPr>
                        <w:noProof/>
                      </w:rPr>
                      <w:object w:dxaOrig="780" w:dyaOrig="510" w14:anchorId="78E8790C">
                        <v:shape id="_x0000_i1026" type="#_x0000_t75" alt="" style="width:38.5pt;height:26.05pt;mso-width-percent:0;mso-height-percent:0;mso-width-percent:0;mso-height-percent:0" filled="t">
                          <v:fill color2="black"/>
                          <v:imagedata r:id="rId2" o:title="" croptop="-22f" cropbottom="-22f" cropleft="-25f" cropright="-25f"/>
                        </v:shape>
                        <o:OLEObject Type="Embed" ProgID="Word.Picture.8" ShapeID="_x0000_i1026" DrawAspect="Content" ObjectID="_1715518866"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7D0D"/>
    <w:rsid w:val="000B329A"/>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7444D"/>
    <w:rsid w:val="0017551D"/>
    <w:rsid w:val="001917D3"/>
    <w:rsid w:val="001A3701"/>
    <w:rsid w:val="001B32E7"/>
    <w:rsid w:val="001D0F40"/>
    <w:rsid w:val="001E36ED"/>
    <w:rsid w:val="001E3937"/>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4D4E"/>
    <w:rsid w:val="00620A9C"/>
    <w:rsid w:val="00623898"/>
    <w:rsid w:val="00623E2D"/>
    <w:rsid w:val="00626D7C"/>
    <w:rsid w:val="00633EB8"/>
    <w:rsid w:val="0064144E"/>
    <w:rsid w:val="00644093"/>
    <w:rsid w:val="00644781"/>
    <w:rsid w:val="00646E0E"/>
    <w:rsid w:val="00655189"/>
    <w:rsid w:val="00663B6A"/>
    <w:rsid w:val="0067499F"/>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3709"/>
    <w:rsid w:val="00FC6F2A"/>
    <w:rsid w:val="00FD1663"/>
    <w:rsid w:val="00FD349B"/>
    <w:rsid w:val="00FD5A7E"/>
    <w:rsid w:val="00FD7F9D"/>
    <w:rsid w:val="00FE0C25"/>
    <w:rsid w:val="00FE6DFC"/>
    <w:rsid w:val="00FF0AE2"/>
    <w:rsid w:val="00FF4271"/>
    <w:rsid w:val="00FF59D1"/>
    <w:rsid w:val="00FF69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27</Pages>
  <Words>9591</Words>
  <Characters>52751</Characters>
  <Application>Microsoft Office Word</Application>
  <DocSecurity>0</DocSecurity>
  <Lines>439</Lines>
  <Paragraphs>124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72</cp:revision>
  <cp:lastPrinted>2021-11-30T08:37:00Z</cp:lastPrinted>
  <dcterms:created xsi:type="dcterms:W3CDTF">2022-04-08T14:14:00Z</dcterms:created>
  <dcterms:modified xsi:type="dcterms:W3CDTF">2022-05-31T14:15:00Z</dcterms:modified>
</cp:coreProperties>
</file>