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76"/>
        <w:rPr>
          <w:rFonts w:ascii="Arial" w:hAnsi="Arial" w:eastAsia="Arial" w:cs="Arial"/>
          <w:color w:val="000000"/>
          <w:sz w:val="22"/>
          <w:szCs w:val="22"/>
          <w:highlight w:val="none"/>
          <w:shd w:fill="auto" w:val="clear"/>
        </w:rPr>
      </w:pPr>
      <w:r>
        <w:rPr>
          <w:rFonts w:eastAsia="Arial" w:cs="Arial" w:ascii="Arial" w:hAnsi="Arial"/>
          <w:color w:val="000000"/>
          <w:sz w:val="22"/>
          <w:szCs w:val="22"/>
          <w:shd w:fill="auto" w:val="clear"/>
        </w:rPr>
      </w:r>
    </w:p>
    <w:tbl>
      <w:tblPr>
        <w:tblStyle w:val="a"/>
        <w:tblpPr w:vertAnchor="page" w:horzAnchor="margin" w:leftFromText="141" w:rightFromText="141" w:tblpX="-51" w:tblpY="1471"/>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Ministère de l’économie, des finances et de la souveraineté industrielle et numérique</w:t>
            </w:r>
          </w:p>
        </w:tc>
      </w:tr>
    </w:tbl>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color w:val="000000"/>
          <w:highlight w:val="none"/>
          <w:shd w:fill="auto" w:val="clear"/>
        </w:rPr>
      </w:pPr>
      <w:r>
        <w:rPr>
          <w:rFonts w:eastAsia="Times New Roman" w:cs="Times New Roman" w:ascii="Times New Roman" w:hAnsi="Times New Roman"/>
          <w:b/>
          <w:color w:val="000000"/>
          <w:shd w:fill="auto" w:val="clear"/>
        </w:rPr>
        <w:t>Décision du</w:t>
      </w:r>
    </w:p>
    <w:p>
      <w:pPr>
        <w:pStyle w:val="Normal"/>
        <w:spacing w:before="0" w:after="360"/>
        <w:jc w:val="both"/>
        <w:rPr>
          <w:color w:val="000000"/>
          <w:highlight w:val="none"/>
          <w:shd w:fill="auto" w:val="clear"/>
        </w:rPr>
      </w:pPr>
      <w:r>
        <w:rPr>
          <w:rFonts w:eastAsia="Times New Roman" w:cs="Times New Roman" w:ascii="Times New Roman" w:hAnsi="Times New Roman"/>
          <w:b/>
          <w:color w:val="000000"/>
          <w:shd w:fill="auto" w:val="clear"/>
        </w:rPr>
        <w:t xml:space="preserve">reconnaissant l’unité de production de biocarburants de </w:t>
      </w:r>
      <w:r>
        <w:rPr>
          <w:rFonts w:eastAsia="Times New Roman" w:cs="Times New Roman" w:ascii="Times New Roman" w:hAnsi="Times New Roman"/>
          <w:b/>
          <w:color w:val="000000"/>
          <w:shd w:fill="auto" w:val="clear"/>
        </w:rPr>
        <w:t>«Ville»</w:t>
      </w: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«Pays»</w:t>
      </w:r>
      <w:r>
        <w:rPr>
          <w:rFonts w:eastAsia="Times New Roman" w:cs="Times New Roman" w:ascii="Times New Roman" w:hAnsi="Times New Roman"/>
          <w:b/>
          <w:color w:val="000000"/>
          <w:shd w:fill="auto" w:val="clear"/>
        </w:rPr>
        <w:t xml:space="preserve">) de la société </w:t>
      </w:r>
      <w:r>
        <w:rPr>
          <w:rFonts w:eastAsia="Times New Roman" w:cs="Times New Roman" w:ascii="Times New Roman" w:hAnsi="Times New Roman"/>
          <w:b/>
          <w:color w:val="000000"/>
          <w:shd w:fill="auto" w:val="clear"/>
        </w:rPr>
        <w:t>«Nom_Opérateur»</w:t>
      </w:r>
      <w:r>
        <w:rPr>
          <w:rFonts w:eastAsia="Times New Roman" w:cs="Times New Roman" w:ascii="Times New Roman" w:hAnsi="Times New Roman"/>
          <w:b/>
          <w:color w:val="000000"/>
          <w:shd w:fill="auto" w:val="clear"/>
        </w:rPr>
        <w:t xml:space="preserve"> au titre de l’article 13 du décret n° 2019-570 du 7 juin 2019.</w:t>
      </w:r>
    </w:p>
    <w:p>
      <w:pPr>
        <w:pStyle w:val="Normal"/>
        <w:spacing w:before="0" w:after="360"/>
        <w:ind w:firstLine="709"/>
        <w:jc w:val="both"/>
        <w:rPr>
          <w:color w:val="000000"/>
          <w:highlight w:val="none"/>
          <w:shd w:fill="auto" w:val="clear"/>
        </w:rPr>
      </w:pPr>
      <w:r>
        <w:rPr>
          <w:rFonts w:eastAsia="Times New Roman" w:cs="Times New Roman" w:ascii="Times New Roman" w:hAnsi="Times New Roman"/>
          <w:b/>
          <w:color w:val="000000"/>
          <w:shd w:fill="auto" w:val="clear"/>
        </w:rPr>
        <w:t>La directrice générale de l’énergie et du climat ;</w:t>
      </w:r>
    </w:p>
    <w:p>
      <w:pPr>
        <w:pStyle w:val="Normal"/>
        <w:widowControl/>
        <w:rPr>
          <w:color w:val="000000"/>
          <w:highlight w:val="none"/>
          <w:shd w:fill="auto" w:val="clear"/>
        </w:rPr>
      </w:pPr>
      <w:r>
        <w:rPr>
          <w:rFonts w:eastAsia="Times New Roman" w:cs="Times New Roman" w:ascii="Times New Roman" w:hAnsi="Times New Roman"/>
          <w:b/>
          <w:color w:val="000000"/>
          <w:shd w:fill="auto" w:val="clear"/>
        </w:rPr>
        <w:tab/>
        <w:t>Le directeur général de la performance économique et environnementale</w:t>
      </w:r>
    </w:p>
    <w:p>
      <w:pPr>
        <w:pStyle w:val="Normal"/>
        <w:widowControl/>
        <w:spacing w:before="0" w:after="238"/>
        <w:jc w:val="both"/>
        <w:rPr>
          <w:color w:val="000000"/>
          <w:highlight w:val="none"/>
          <w:shd w:fill="auto" w:val="clear"/>
        </w:rPr>
      </w:pP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ab/>
        <w:t>des entreprises ;</w:t>
      </w:r>
    </w:p>
    <w:p>
      <w:pPr>
        <w:pStyle w:val="Normal"/>
        <w:widowControl/>
        <w:spacing w:before="0" w:after="238"/>
        <w:ind w:firstLine="720"/>
        <w:jc w:val="both"/>
        <w:rPr>
          <w:color w:val="000000"/>
          <w:highlight w:val="none"/>
          <w:shd w:fill="auto" w:val="clear"/>
        </w:rPr>
      </w:pPr>
      <w:r>
        <w:rPr>
          <w:rFonts w:eastAsia="Times New Roman" w:cs="Times New Roman" w:ascii="Times New Roman" w:hAnsi="Times New Roman"/>
          <w:b/>
          <w:color w:val="000000"/>
          <w:shd w:fill="auto" w:val="clear"/>
        </w:rPr>
        <w:t>Vu le code de l’énergie, notamment ses articles L. 641-6, D. 641-13 et R. 283-1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code des douanes, notamment son article 266 quindecies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décret n° 2019-570 du 7 juin 2019 portant sur la taxe incitative relative à l'incorporation des biocarburants modifié par le décret n° 2023-1420 du 29 Décembre 2023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 xml:space="preserve">Vu le dossier initial de demande de reconnaissance présenté par la société </w:t>
      </w:r>
      <w:r>
        <w:rPr>
          <w:rFonts w:eastAsia="Times New Roman" w:cs="Times New Roman" w:ascii="Times New Roman" w:hAnsi="Times New Roman"/>
          <w:color w:val="000000"/>
          <w:shd w:fill="auto" w:val="clear"/>
        </w:rPr>
        <w:t>«Nom_Opérateur» </w:t>
      </w:r>
      <w:r>
        <w:rPr>
          <w:rFonts w:eastAsia="Times New Roman" w:cs="Times New Roman" w:ascii="Times New Roman" w:hAnsi="Times New Roman"/>
          <w:color w:val="000000"/>
          <w:shd w:fill="auto" w:val="clear"/>
        </w:rPr>
        <w:t>;</w:t>
      </w:r>
    </w:p>
    <w:p>
      <w:pPr>
        <w:pStyle w:val="Normal"/>
        <w:widowControl/>
        <w:spacing w:before="369" w:after="363"/>
        <w:jc w:val="center"/>
        <w:rPr>
          <w:color w:val="000000"/>
          <w:highlight w:val="none"/>
          <w:shd w:fill="auto" w:val="clear"/>
        </w:rPr>
      </w:pPr>
      <w:r>
        <w:rPr>
          <w:rFonts w:eastAsia="Times New Roman" w:cs="Times New Roman" w:ascii="Times New Roman" w:hAnsi="Times New Roman"/>
          <w:b/>
          <w:color w:val="000000"/>
          <w:shd w:fill="auto" w:val="clear"/>
        </w:rPr>
        <w:t>Décident :</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1</w:t>
      </w:r>
      <w:r>
        <w:rPr>
          <w:rFonts w:eastAsia="Times New Roman" w:cs="Times New Roman" w:ascii="Times New Roman" w:hAnsi="Times New Roman"/>
          <w:b/>
          <w:color w:val="000000"/>
          <w:shd w:fill="auto" w:val="clear"/>
          <w:vertAlign w:val="superscript"/>
        </w:rPr>
        <w:t>er</w:t>
      </w:r>
    </w:p>
    <w:p>
      <w:pPr>
        <w:pStyle w:val="Normal"/>
        <w:rPr>
          <w:color w:val="000000"/>
          <w:highlight w:val="none"/>
          <w:shd w:fill="auto" w:val="clear"/>
        </w:rPr>
      </w:pPr>
      <w:r>
        <w:rPr>
          <w:rFonts w:eastAsia="Times New Roman" w:cs="Times New Roman" w:ascii="Times New Roman" w:hAnsi="Times New Roman"/>
          <w:color w:val="000000"/>
          <w:shd w:fill="auto" w:val="clear"/>
        </w:rPr>
        <w:t xml:space="preserve">L’unité de production de biocarburants située </w:t>
      </w:r>
      <w:r>
        <w:rPr>
          <w:rFonts w:eastAsia="Times New Roman" w:cs="Times New Roman" w:ascii="Times New Roman" w:hAnsi="Times New Roman"/>
          <w:color w:val="000000"/>
          <w:shd w:fill="auto" w:val="clear"/>
        </w:rPr>
        <w:t>«Adresse»</w:t>
      </w:r>
      <w:r>
        <w:rPr>
          <w:rFonts w:eastAsia="Times New Roman" w:cs="Times New Roman" w:ascii="Times New Roman" w:hAnsi="Times New Roman"/>
          <w:color w:val="000000"/>
          <w:shd w:fill="auto" w:val="clear"/>
        </w:rPr>
        <w:t xml:space="preserve">, </w:t>
      </w:r>
      <w:r>
        <w:rPr>
          <w:rFonts w:eastAsia="Times New Roman" w:cs="Times New Roman" w:ascii="Times New Roman" w:hAnsi="Times New Roman"/>
          <w:color w:val="000000"/>
          <w:shd w:fill="auto" w:val="clear"/>
        </w:rPr>
        <w:t>«Code_Postal»</w:t>
      </w:r>
      <w:r>
        <w:rPr>
          <w:rFonts w:eastAsia="Times New Roman" w:cs="Times New Roman" w:ascii="Times New Roman" w:hAnsi="Times New Roman"/>
          <w:color w:val="000000"/>
          <w:shd w:fill="auto" w:val="clear"/>
        </w:rPr>
        <w:t xml:space="preserve">, </w:t>
      </w:r>
      <w:r>
        <w:rPr>
          <w:rFonts w:eastAsia="Times New Roman" w:cs="Times New Roman" w:ascii="Times New Roman" w:hAnsi="Times New Roman"/>
          <w:color w:val="000000"/>
          <w:shd w:fill="auto" w:val="clear"/>
        </w:rPr>
        <w:t xml:space="preserve">«Ville» </w:t>
      </w:r>
      <w:r>
        <w:rPr>
          <w:rFonts w:eastAsia="Times New Roman" w:cs="Times New Roman" w:ascii="Times New Roman" w:hAnsi="Times New Roman"/>
          <w:color w:val="000000"/>
          <w:shd w:fill="auto" w:val="clear"/>
        </w:rPr>
        <w:t>(</w:t>
      </w:r>
      <w:r>
        <w:rPr>
          <w:rFonts w:eastAsia="Times New Roman" w:cs="Times New Roman" w:ascii="Times New Roman" w:hAnsi="Times New Roman"/>
          <w:color w:val="000000"/>
          <w:shd w:fill="auto" w:val="clear"/>
        </w:rPr>
        <w:t>«Pays»</w:t>
      </w:r>
      <w:r>
        <w:rPr>
          <w:rFonts w:eastAsia="Times New Roman" w:cs="Times New Roman" w:ascii="Times New Roman" w:hAnsi="Times New Roman"/>
          <w:color w:val="000000"/>
          <w:shd w:fill="auto" w:val="clear"/>
        </w:rPr>
        <w:t xml:space="preserve">), est reconnue sous le numéro d’enregistrement </w:t>
      </w:r>
      <w:r>
        <w:rPr>
          <w:rFonts w:eastAsia="Times New Roman" w:cs="Times New Roman" w:ascii="Times New Roman" w:hAnsi="Times New Roman"/>
          <w:color w:val="000000"/>
          <w:shd w:fill="auto" w:val="clear"/>
        </w:rPr>
        <w:t>«Numéro_valide»</w:t>
      </w:r>
      <w:r>
        <w:rPr>
          <w:rFonts w:eastAsia="Times New Roman" w:cs="Times New Roman" w:ascii="Times New Roman" w:hAnsi="Times New Roman"/>
          <w:color w:val="000000"/>
          <w:shd w:fill="auto" w:val="clear"/>
        </w:rPr>
        <w:t>.</w:t>
      </w:r>
    </w:p>
    <w:p>
      <w:pPr>
        <w:pStyle w:val="Normal"/>
        <w:rPr>
          <w:color w:val="000000"/>
          <w:highlight w:val="none"/>
          <w:shd w:fill="auto" w:val="clear"/>
        </w:rPr>
      </w:pPr>
      <w:r>
        <w:rPr>
          <w:rFonts w:eastAsia="Times New Roman" w:cs="Times New Roman" w:ascii="Times New Roman" w:hAnsi="Times New Roman"/>
          <w:color w:val="000000"/>
          <w:shd w:fill="auto" w:val="clear"/>
        </w:rPr>
        <w:t>Les quantités de biocarburants reconnus :</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w:t>
            </w:r>
            <w:r>
              <w:rPr>
                <w:rFonts w:eastAsia="Times New Roman" w:cs="Times New Roman" w:ascii="Times New Roman" w:hAnsi="Times New Roman"/>
                <w:color w:val="000000"/>
                <w:shd w:fill="auto" w:val="clear"/>
              </w:rPr>
              <w:t>Année n</w:t>
            </w:r>
            <w:r>
              <w:rPr>
                <w:rFonts w:eastAsia="Times New Roman" w:cs="Times New Roman" w:ascii="Times New Roman" w:hAnsi="Times New Roman"/>
                <w:color w:val="000000"/>
                <w:shd w:fill="auto" w:val="clear"/>
              </w:rPr>
              <w:t>»</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w:t>
            </w:r>
            <w:r>
              <w:rPr>
                <w:rFonts w:eastAsia="Times New Roman" w:cs="Times New Roman" w:ascii="Times New Roman" w:hAnsi="Times New Roman"/>
                <w:color w:val="000000"/>
                <w:shd w:fill="auto" w:val="clear"/>
              </w:rPr>
              <w:t>Année n+1</w:t>
            </w:r>
            <w:r>
              <w:rPr>
                <w:rFonts w:eastAsia="Times New Roman" w:cs="Times New Roman" w:ascii="Times New Roman" w:hAnsi="Times New Roman"/>
                <w:color w:val="000000"/>
                <w:shd w:fill="auto" w:val="clear"/>
              </w:rPr>
              <w: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r>
    </w:tbl>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2</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La part énergétique renouvelable, exprimée en énergie (MJ)</w:t>
      </w:r>
      <w:r>
        <w:rPr>
          <w:rFonts w:eastAsia="Times New Roman" w:cs="Times New Roman" w:ascii="Times New Roman" w:hAnsi="Times New Roman"/>
          <w:color w:val="000000"/>
          <w:shd w:fill="auto" w:val="clear"/>
        </w:rPr>
        <w:t xml:space="preserve"> «YYYY»</w:t>
      </w:r>
      <w:r>
        <w:rPr>
          <w:color w:val="000000"/>
          <w:shd w:fill="auto" w:val="clear"/>
        </w:rPr>
        <w:commentReference w:id="0"/>
      </w:r>
      <w:r>
        <w:rPr>
          <w:rFonts w:eastAsia="Times New Roman" w:cs="Times New Roman" w:ascii="Times New Roman" w:hAnsi="Times New Roman"/>
          <w:color w:val="000000"/>
          <w:shd w:fill="auto" w:val="clear"/>
        </w:rPr>
        <w:t>.,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spacing w:before="0" w:after="120"/>
        <w:jc w:val="both"/>
        <w:rPr>
          <w:color w:val="000000"/>
          <w:highlight w:val="none"/>
          <w:shd w:fill="auto" w:val="clear"/>
        </w:rPr>
      </w:pPr>
      <w:bookmarkStart w:id="0" w:name="_heading=h.gjdgxs"/>
      <w:bookmarkEnd w:id="0"/>
      <w:r>
        <w:rPr>
          <w:rFonts w:eastAsia="Times New Roman" w:cs="Times New Roman" w:ascii="Times New Roman" w:hAnsi="Times New Roman"/>
          <w:color w:val="000000"/>
          <w:shd w:fill="auto" w:val="clear"/>
        </w:rPr>
        <w:t xml:space="preserve">La part énergétique </w:t>
      </w:r>
      <w:sdt>
        <w:sdtPr>
          <w:id w:val="685856674"/>
        </w:sdtPr>
        <w:sdtContent>
          <w:r>
            <w:rPr>
              <w:color w:val="000000"/>
              <w:shd w:fill="auto" w:val="clear"/>
            </w:rPr>
          </w:r>
        </w:sdtContent>
      </w:sdt>
      <w:r>
        <w:rPr>
          <w:rFonts w:eastAsia="Times New Roman" w:cs="Times New Roman" w:ascii="Times New Roman" w:hAnsi="Times New Roman"/>
          <w:color w:val="000000"/>
          <w:shd w:fill="auto" w:val="clear"/>
        </w:rPr>
        <w:t>«YYYY»</w:t>
      </w:r>
      <w:r>
        <w:rPr>
          <w:color w:val="000000"/>
          <w:shd w:fill="auto" w:val="clear"/>
        </w:rPr>
        <w:commentReference w:id="1"/>
      </w:r>
      <w:r>
        <w:rPr>
          <w:rFonts w:eastAsia="Times New Roman" w:cs="Times New Roman" w:ascii="Times New Roman" w:hAnsi="Times New Roman"/>
          <w:color w:val="000000"/>
          <w:shd w:fill="auto" w:val="clear"/>
        </w:rPr>
        <w:t xml:space="preserve">. </w:t>
      </w:r>
      <w:r>
        <w:rPr>
          <w:rFonts w:eastAsia="Times New Roman" w:cs="Times New Roman" w:ascii="Times New Roman" w:hAnsi="Times New Roman"/>
          <w:color w:val="000000"/>
          <w:shd w:fill="auto" w:val="clear"/>
        </w:rPr>
        <w:t xml:space="preserve">de déchets industriels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lorsqu’ils sont issus des déchets certifiés suivants : </w:t>
      </w:r>
      <w:r>
        <w:rPr>
          <w:rFonts w:eastAsia="Times New Roman" w:cs="Times New Roman" w:ascii="Times New Roman" w:hAnsi="Times New Roman"/>
          <w:color w:val="000000"/>
          <w:shd w:fill="auto" w:val="clear"/>
          <w:lang w:val="fr-CI"/>
        </w:rPr>
        <w:t>«DECHETS_INDUSTRIELS».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jc w:val="both"/>
        <w:rPr>
          <w:color w:val="000000"/>
          <w:highlight w:val="none"/>
          <w:shd w:fill="auto" w:val="clear"/>
        </w:rPr>
      </w:pPr>
      <w:r>
        <w:rPr>
          <w:rFonts w:eastAsia="Times New Roman" w:cs="Times New Roman" w:ascii="Times New Roman" w:hAnsi="Times New Roman"/>
          <w:color w:val="000000"/>
          <w:shd w:fill="auto" w:val="clear"/>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4</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 xml:space="preserve">La présente décision est valable pour les années civiles </w:t>
      </w:r>
      <w:sdt>
        <w:sdtPr>
          <w:id w:val="449570727"/>
        </w:sdtPr>
        <w:sdtContent>
          <w:commentRangeStart w:id="2"/>
          <w:r>
            <w:rPr>
              <w:color w:val="000000"/>
              <w:shd w:fill="auto" w:val="clear"/>
            </w:rPr>
          </w:r>
        </w:sdtContent>
      </w:sdt>
      <w:r>
        <w:rPr>
          <w:rFonts w:eastAsia="Times New Roman" w:cs="Times New Roman" w:ascii="Times New Roman" w:hAnsi="Times New Roman"/>
          <w:color w:val="000000"/>
          <w:shd w:fill="auto" w:val="clear"/>
        </w:rPr>
        <w:t xml:space="preserve">«Année </w:t>
      </w:r>
      <w:r>
        <w:rPr>
          <w:rFonts w:eastAsia="Times New Roman" w:cs="Times New Roman" w:ascii="Times New Roman" w:hAnsi="Times New Roman"/>
          <w:color w:val="000000"/>
          <w:shd w:fill="auto" w:val="clear"/>
        </w:rPr>
        <w:t xml:space="preserve">n» </w:t>
      </w:r>
      <w:r>
        <w:rPr>
          <w:rFonts w:eastAsia="Times New Roman" w:cs="Times New Roman" w:ascii="Times New Roman" w:hAnsi="Times New Roman"/>
          <w:color w:val="000000"/>
          <w:shd w:fill="auto" w:val="clear"/>
        </w:rPr>
      </w:r>
      <w:commentRangeEnd w:id="2"/>
      <w:r>
        <w:commentReference w:id="2"/>
      </w:r>
      <w:r>
        <w:rPr>
          <w:rFonts w:eastAsia="Times New Roman" w:cs="Times New Roman" w:ascii="Times New Roman" w:hAnsi="Times New Roman"/>
          <w:color w:val="000000"/>
          <w:shd w:fill="auto" w:val="clear"/>
        </w:rPr>
        <w:t xml:space="preserve">et </w:t>
      </w:r>
      <w:sdt>
        <w:sdtPr>
          <w:id w:val="493244466"/>
        </w:sdtPr>
        <w:sdtContent>
          <w:r>
            <w:rPr>
              <w:color w:val="000000"/>
              <w:shd w:fill="auto" w:val="clear"/>
            </w:rPr>
          </w:r>
        </w:sdtContent>
      </w:sdt>
      <w:r>
        <w:rPr>
          <w:rFonts w:eastAsia="Times New Roman" w:cs="Times New Roman" w:ascii="Times New Roman" w:hAnsi="Times New Roman"/>
          <w:color w:val="000000"/>
          <w:shd w:fill="auto" w:val="clear"/>
        </w:rPr>
        <w:t>«</w:t>
      </w:r>
      <w:r>
        <w:rPr>
          <w:rFonts w:eastAsia="Times New Roman" w:cs="Times New Roman" w:ascii="Times New Roman" w:hAnsi="Times New Roman"/>
          <w:color w:val="000000"/>
          <w:shd w:fill="auto" w:val="clear"/>
        </w:rPr>
        <w:t>Année n+1</w:t>
      </w:r>
      <w:r>
        <w:rPr>
          <w:rFonts w:eastAsia="Times New Roman" w:cs="Times New Roman" w:ascii="Times New Roman" w:hAnsi="Times New Roman"/>
          <w:color w:val="000000"/>
          <w:shd w:fill="auto" w:val="clear"/>
        </w:rPr>
        <w:t>».</w:t>
      </w:r>
    </w:p>
    <w:p>
      <w:pPr>
        <w:pStyle w:val="Normal"/>
        <w:widowControl/>
        <w:spacing w:before="0" w:after="1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482" w:after="544"/>
        <w:ind w:firstLine="720"/>
        <w:rPr>
          <w:color w:val="000000"/>
          <w:highlight w:val="none"/>
          <w:shd w:fill="auto" w:val="clear"/>
        </w:rPr>
      </w:pPr>
      <w:r>
        <w:rPr>
          <w:rFonts w:eastAsia="Times New Roman" w:cs="Times New Roman" w:ascii="Times New Roman" w:hAnsi="Times New Roman"/>
          <w:color w:val="000000"/>
          <w:shd w:fill="auto" w:val="clear"/>
        </w:rPr>
        <w:t>Fait le</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Pour la directrice générale de l’énergie et du climat, et par délégation,</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Le sous-directeur de la sécurité d’approvisionnement et nouveaux produits énergétiques</w:t>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center"/>
        <w:rPr>
          <w:color w:val="000000"/>
          <w:highlight w:val="none"/>
          <w:shd w:fill="auto" w:val="clear"/>
        </w:rPr>
      </w:pPr>
      <w:r>
        <w:rPr>
          <w:rFonts w:eastAsia="Times New Roman" w:cs="Times New Roman" w:ascii="Times New Roman" w:hAnsi="Times New Roman"/>
          <w:color w:val="000000"/>
          <w:shd w:fill="auto" w:val="clear"/>
        </w:rPr>
        <w:tab/>
        <w:tab/>
        <w:tab/>
        <w:t>Alexandre Chevallier</w:t>
        <w:tab/>
        <w:tab/>
        <w:tab/>
        <w:tab/>
        <w:tab/>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Pour le directeur général de la performance économique et environnementale des</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entreprises et par délégation,</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La Sous-Directrice des filières forêts-bois, cheval et bioéconomie</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sz w:val="16"/>
          <w:szCs w:val="16"/>
          <w:highlight w:val="none"/>
          <w:shd w:fill="auto" w:val="clear"/>
        </w:rPr>
      </w:pPr>
      <w:r>
        <w:rPr>
          <w:rFonts w:eastAsia="Times New Roman" w:cs="Times New Roman" w:ascii="Times New Roman" w:hAnsi="Times New Roman"/>
          <w:color w:val="000000"/>
          <w:sz w:val="16"/>
          <w:szCs w:val="16"/>
          <w:shd w:fill="auto" w:val="clear"/>
        </w:rPr>
      </w:r>
    </w:p>
    <w:p>
      <w:pPr>
        <w:pStyle w:val="Normal"/>
        <w:widowControl/>
        <w:ind w:firstLine="720"/>
        <w:rPr>
          <w:rFonts w:ascii="Times New Roman" w:hAnsi="Times New Roman" w:eastAsia="Times New Roman" w:cs="Times New Roman"/>
          <w:color w:val="000000"/>
          <w:sz w:val="16"/>
          <w:szCs w:val="16"/>
          <w:highlight w:val="none"/>
          <w:shd w:fill="auto" w:val="clear"/>
        </w:rPr>
      </w:pPr>
      <w:r>
        <w:rPr>
          <w:rFonts w:eastAsia="Times New Roman" w:cs="Times New Roman" w:ascii="Times New Roman" w:hAnsi="Times New Roman"/>
          <w:color w:val="000000"/>
          <w:sz w:val="16"/>
          <w:szCs w:val="16"/>
          <w:shd w:fill="auto" w:val="clear"/>
        </w:rPr>
      </w:r>
    </w:p>
    <w:p>
      <w:pPr>
        <w:pStyle w:val="Normal"/>
        <w:widowControl/>
        <w:rPr>
          <w:rFonts w:ascii="Times New Roman" w:hAnsi="Times New Roman" w:eastAsia="Times New Roman" w:cs="Times New Roman"/>
          <w:color w:val="000000"/>
          <w:sz w:val="16"/>
          <w:szCs w:val="16"/>
          <w:highlight w:val="none"/>
          <w:shd w:fill="auto" w:val="clear"/>
        </w:rPr>
      </w:pPr>
      <w:r>
        <w:rPr>
          <w:rFonts w:eastAsia="Times New Roman" w:cs="Times New Roman" w:ascii="Times New Roman" w:hAnsi="Times New Roman"/>
          <w:color w:val="000000"/>
          <w:sz w:val="16"/>
          <w:szCs w:val="16"/>
          <w:shd w:fill="auto" w:val="clear"/>
        </w:rPr>
      </w:r>
    </w:p>
    <w:p>
      <w:pPr>
        <w:pStyle w:val="Normal"/>
        <w:widowControl/>
        <w:ind w:firstLine="720"/>
        <w:rPr>
          <w:rFonts w:ascii="Times New Roman" w:hAnsi="Times New Roman" w:eastAsia="Times New Roman" w:cs="Times New Roman"/>
          <w:color w:val="000000"/>
          <w:sz w:val="16"/>
          <w:szCs w:val="16"/>
          <w:highlight w:val="none"/>
          <w:shd w:fill="auto" w:val="clear"/>
        </w:rPr>
      </w:pPr>
      <w:r>
        <w:rPr>
          <w:rFonts w:eastAsia="Times New Roman" w:cs="Times New Roman" w:ascii="Times New Roman" w:hAnsi="Times New Roman"/>
          <w:color w:val="000000"/>
          <w:sz w:val="16"/>
          <w:szCs w:val="16"/>
          <w:shd w:fill="auto" w:val="clear"/>
        </w:rPr>
      </w:r>
    </w:p>
    <w:p>
      <w:pPr>
        <w:pStyle w:val="Normal"/>
        <w:keepNext w:val="false"/>
        <w:keepLines w:val="false"/>
        <w:widowControl w:val="false"/>
        <w:shd w:val="clear" w:fill="auto"/>
        <w:spacing w:lineRule="auto" w:line="276" w:before="0" w:after="0"/>
        <w:ind w:left="0" w:right="0" w:hanging="0"/>
        <w:jc w:val="left"/>
        <w:rPr>
          <w:color w:val="000000"/>
          <w:highlight w:val="none"/>
          <w:shd w:fill="auto" w:val="clear"/>
        </w:rPr>
      </w:pPr>
      <w:r>
        <w:rPr>
          <w:color w:val="000000"/>
          <w:shd w:fill="auto" w:val="clear"/>
        </w:rPr>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left="0" w:right="0" w:hanging="0"/>
      <w:jc w:val="left"/>
      <w:rPr>
        <w:color w:val="000000"/>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«ID»</w:t>
    </w: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_</w:t>
    </w:r>
    <w:r>
      <w:rPr>
        <w:color w:val="000000"/>
        <w:shd w:fill="auto" w:val="clear"/>
      </w:rPr>
      <w:fldChar w:fldCharType="begin"/>
    </w:r>
    <w:r>
      <w:rPr>
        <w:shd w:fill="auto" w:val="clear"/>
        <w:color w:val="000000"/>
      </w:rPr>
      <w:instrText xml:space="preserve"> FILLIN ""</w:instrText>
    </w:r>
    <w:r>
      <w:rPr>
        <w:shd w:fill="auto" w:val="clear"/>
        <w:color w:val="000000"/>
      </w:rPr>
      <w:fldChar w:fldCharType="separate"/>
    </w:r>
    <w:r>
      <w:rPr>
        <w:shd w:fill="auto" w:val="clear"/>
        <w:color w:val="000000"/>
      </w:rPr>
    </w:r>
    <w:r>
      <w:rPr>
        <w:shd w:fill="auto" w:val="clear"/>
        <w:color w:val="000000"/>
      </w:rPr>
      <w:fldChar w:fldCharType="end"/>
    </w:r>
    <w:r>
      <w:rPr>
        <w:rFonts w:eastAsia="Times New Roman" w:cs="Times New Roman" w:ascii="Times New Roman" w:hAnsi="Times New Roman"/>
        <w:color w:val="000000"/>
        <w:sz w:val="16"/>
        <w:szCs w:val="16"/>
        <w:shd w:fill="auto" w:val="clear"/>
      </w:rPr>
      <w:t xml:space="preserve">«Année n» </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LOnormal" w:default="1">
    <w:name w:val="LO-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val="fr-FR" w:eastAsia="zh-CN" w:bidi="ar-SA"/>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LOnormal"/>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LOnormal"/>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LOnormal"/>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2</Pages>
  <Words>498</Words>
  <Characters>2680</Characters>
  <CharactersWithSpaces>3144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2024-09-17T10:42:52Z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