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pPr w:vertAnchor="page" w:horzAnchor="margin" w:leftFromText="141" w:rightFromText="141" w:tblpX="-51" w:tblpY="1471"/>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pBdr/>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pBd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pBd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pBdr/>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pBdr/>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Ministère de l’économie, des finances et de la souveraineté industrielle et numérique</w:t>
            </w:r>
          </w:p>
        </w:tc>
      </w:tr>
    </w:tbl>
    <w:p>
      <w:pPr>
        <w:pStyle w:val="Normal"/>
        <w:pBdr/>
        <w:spacing w:before="720" w:after="12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pBdr/>
        <w:spacing w:before="720" w:after="12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pBdr/>
        <w:spacing w:before="720" w:after="12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pBdr/>
        <w:spacing w:before="720" w:after="12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Décision du</w:t>
      </w:r>
    </w:p>
    <w:p>
      <w:pPr>
        <w:pStyle w:val="Normal"/>
        <w:pBdr/>
        <w:spacing w:before="0" w:after="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reconnaissant l’unité de production de biocarburants </w:t>
      </w:r>
      <w:r>
        <w:rPr>
          <w:rFonts w:eastAsia="Times New Roman" w:cs="Times New Roman" w:ascii="Times New Roman" w:hAnsi="Times New Roman"/>
          <w:b/>
          <w:color w:val="000000"/>
          <w:highlight w:val="white"/>
        </w:rPr>
        <w:t xml:space="preserve">de </w:t>
      </w:r>
      <w:r>
        <w:rPr>
          <w:rFonts w:eastAsia="Times New Roman" w:cs="Times New Roman" w:ascii="Times New Roman" w:hAnsi="Times New Roman"/>
          <w:b/>
          <w:color w:val="0000FF"/>
          <w:highlight w:val="white"/>
        </w:rPr>
        <w:t>«Ville»</w:t>
      </w:r>
      <w:r>
        <w:rPr>
          <w:rFonts w:eastAsia="Times New Roman" w:cs="Times New Roman" w:ascii="Times New Roman" w:hAnsi="Times New Roman"/>
          <w:b/>
          <w:color w:val="000000"/>
          <w:highlight w:val="white"/>
        </w:rPr>
        <w:t xml:space="preserve"> (</w:t>
      </w:r>
      <w:r>
        <w:rPr>
          <w:rFonts w:eastAsia="Times New Roman" w:cs="Times New Roman" w:ascii="Times New Roman" w:hAnsi="Times New Roman"/>
          <w:b/>
          <w:color w:val="0000FF"/>
          <w:highlight w:val="white"/>
        </w:rPr>
        <w:t>«Pays»</w:t>
      </w:r>
      <w:r>
        <w:rPr>
          <w:rFonts w:eastAsia="Times New Roman" w:cs="Times New Roman" w:ascii="Times New Roman" w:hAnsi="Times New Roman"/>
          <w:b/>
          <w:color w:val="000000"/>
          <w:highlight w:val="white"/>
        </w:rPr>
        <w:t xml:space="preserve">) de la société </w:t>
      </w:r>
      <w:r>
        <w:rPr>
          <w:rFonts w:eastAsia="Times New Roman" w:cs="Times New Roman" w:ascii="Times New Roman" w:hAnsi="Times New Roman"/>
          <w:b/>
          <w:color w:val="0000FF"/>
          <w:highlight w:val="white"/>
        </w:rPr>
        <w:t>«Nom_Opérateur»</w:t>
      </w:r>
      <w:r>
        <w:rPr>
          <w:rFonts w:eastAsia="Times New Roman" w:cs="Times New Roman" w:ascii="Times New Roman" w:hAnsi="Times New Roman"/>
          <w:b/>
          <w:color w:val="000000"/>
          <w:highlight w:val="white"/>
        </w:rPr>
        <w:t xml:space="preserve"> </w:t>
      </w:r>
      <w:r>
        <w:rPr>
          <w:rFonts w:eastAsia="Times New Roman" w:cs="Times New Roman" w:ascii="Times New Roman" w:hAnsi="Times New Roman"/>
          <w:b/>
          <w:color w:val="000000"/>
        </w:rPr>
        <w:t>au titre de l’article 13 du décret n° 2019-570 du 7 juin 2019.</w:t>
      </w:r>
    </w:p>
    <w:p>
      <w:pPr>
        <w:pStyle w:val="Normal"/>
        <w:pBdr/>
        <w:spacing w:before="0" w:after="360"/>
        <w:ind w:firstLine="709"/>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La directrice générale de l’énergie et du climat ;</w:t>
      </w:r>
    </w:p>
    <w:p>
      <w:pPr>
        <w:pStyle w:val="Normal"/>
        <w:widowControl/>
        <w:pBdr/>
        <w:rPr>
          <w:rFonts w:ascii="Times New Roman" w:hAnsi="Times New Roman" w:eastAsia="Times New Roman" w:cs="Times New Roman"/>
          <w:color w:val="000000"/>
        </w:rPr>
      </w:pPr>
      <w:r>
        <w:rPr>
          <w:rFonts w:eastAsia="Times New Roman" w:cs="Times New Roman" w:ascii="Times New Roman" w:hAnsi="Times New Roman"/>
          <w:b/>
          <w:color w:val="000000"/>
        </w:rPr>
        <w:tab/>
        <w:t>Le directeur général de la performance économique et environnementale</w:t>
      </w:r>
    </w:p>
    <w:p>
      <w:pPr>
        <w:pStyle w:val="Normal"/>
        <w:widowControl/>
        <w:pBdr/>
        <w:spacing w:before="0" w:after="238"/>
        <w:jc w:val="both"/>
        <w:rPr>
          <w:rFonts w:ascii="Times New Roman" w:hAnsi="Times New Roman" w:eastAsia="Times New Roman" w:cs="Times New Roman"/>
          <w:color w:val="000000"/>
        </w:rPr>
      </w:pPr>
      <w:r>
        <w:rPr>
          <w:rFonts w:eastAsia="Times New Roman" w:cs="Times New Roman" w:ascii="Times New Roman" w:hAnsi="Times New Roman"/>
          <w:b/>
          <w:color w:val="000000"/>
        </w:rPr>
        <w:t xml:space="preserve"> </w:t>
      </w:r>
      <w:r>
        <w:rPr>
          <w:rFonts w:eastAsia="Times New Roman" w:cs="Times New Roman" w:ascii="Times New Roman" w:hAnsi="Times New Roman"/>
          <w:b/>
          <w:color w:val="000000"/>
        </w:rPr>
        <w:tab/>
        <w:t>des entreprises ;</w:t>
      </w:r>
    </w:p>
    <w:p>
      <w:pPr>
        <w:pStyle w:val="Normal"/>
        <w:widowControl/>
        <w:pBdr/>
        <w:spacing w:before="0" w:after="238"/>
        <w:ind w:firstLine="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Vu le code de l’énergie, notamment ses articles L. 641-6, D. 641-13 et R. 283-1 ;</w:t>
      </w:r>
    </w:p>
    <w:p>
      <w:pPr>
        <w:pStyle w:val="Normal"/>
        <w:widowControl/>
        <w:pBdr/>
        <w:spacing w:before="120" w:after="120"/>
        <w:ind w:firstLine="720"/>
        <w:jc w:val="both"/>
        <w:rPr>
          <w:rFonts w:ascii="Times New Roman" w:hAnsi="Times New Roman" w:eastAsia="Times New Roman" w:cs="Times New Roman"/>
          <w:color w:val="000000"/>
        </w:rPr>
      </w:pPr>
      <w:r>
        <w:rPr>
          <w:rFonts w:eastAsia="Times New Roman" w:cs="Times New Roman" w:ascii="Times New Roman" w:hAnsi="Times New Roman"/>
          <w:color w:val="000000"/>
        </w:rPr>
        <w:t>Vu le code des douanes, notamment son article 266 quindecies ;</w:t>
      </w:r>
    </w:p>
    <w:p>
      <w:pPr>
        <w:pStyle w:val="Normal"/>
        <w:widowControl/>
        <w:pBdr/>
        <w:spacing w:before="120" w:after="120"/>
        <w:ind w:firstLine="720"/>
        <w:jc w:val="both"/>
        <w:rPr>
          <w:rFonts w:ascii="Times New Roman" w:hAnsi="Times New Roman" w:eastAsia="Times New Roman" w:cs="Times New Roman"/>
          <w:color w:val="000000"/>
        </w:rPr>
      </w:pPr>
      <w:r>
        <w:rPr>
          <w:rFonts w:eastAsia="Times New Roman" w:cs="Times New Roman" w:ascii="Times New Roman" w:hAnsi="Times New Roman"/>
          <w:color w:val="000000"/>
        </w:rPr>
        <w:t>Vu le décret n° 2019-570 du 7 juin 2019 portant sur la taxe incitative relative à l'incorporation des biocarburants modifié par le décret n° 2023-1420 du 29 Décembre 2023 ;</w:t>
      </w:r>
    </w:p>
    <w:p>
      <w:pPr>
        <w:pStyle w:val="Normal"/>
        <w:widowControl/>
        <w:pBdr/>
        <w:spacing w:before="120" w:after="120"/>
        <w:ind w:firstLine="7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t xml:space="preserve">Vu le dossier initial de demande de reconnaissance présenté par la société </w:t>
      </w:r>
      <w:r>
        <w:rPr>
          <w:rFonts w:eastAsia="Times New Roman" w:cs="Times New Roman" w:ascii="Times New Roman" w:hAnsi="Times New Roman"/>
          <w:color w:val="0000FF"/>
          <w:highlight w:val="white"/>
        </w:rPr>
        <w:t>«Nom_Opérateur» </w:t>
      </w:r>
      <w:r>
        <w:rPr>
          <w:rFonts w:eastAsia="Times New Roman" w:cs="Times New Roman" w:ascii="Times New Roman" w:hAnsi="Times New Roman"/>
          <w:color w:val="000000"/>
          <w:highlight w:val="white"/>
        </w:rPr>
        <w:t>;</w:t>
      </w:r>
    </w:p>
    <w:p>
      <w:pPr>
        <w:pStyle w:val="Normal"/>
        <w:widowControl/>
        <w:pBdr/>
        <w:spacing w:before="369" w:after="363"/>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Décident :</w:t>
      </w:r>
    </w:p>
    <w:p>
      <w:pPr>
        <w:pStyle w:val="Normal"/>
        <w:widowControl/>
        <w:pBdr/>
        <w:spacing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Article 1</w:t>
      </w:r>
      <w:r>
        <w:rPr>
          <w:rFonts w:eastAsia="Times New Roman" w:cs="Times New Roman" w:ascii="Times New Roman" w:hAnsi="Times New Roman"/>
          <w:b/>
          <w:color w:val="000000"/>
          <w:vertAlign w:val="superscript"/>
        </w:rPr>
        <w:t>er</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 xml:space="preserve">L’unité de production de biocarburants située </w:t>
      </w:r>
      <w:r>
        <w:rPr>
          <w:rFonts w:eastAsia="Times New Roman" w:cs="Times New Roman" w:ascii="Times New Roman" w:hAnsi="Times New Roman"/>
          <w:color w:val="0000FF"/>
        </w:rPr>
        <w:t>«Adresse»</w:t>
      </w:r>
      <w:r>
        <w:rPr>
          <w:rFonts w:eastAsia="Times New Roman" w:cs="Times New Roman" w:ascii="Times New Roman" w:hAnsi="Times New Roman"/>
          <w:color w:val="000000"/>
        </w:rPr>
        <w:t xml:space="preserve">, </w:t>
      </w:r>
      <w:r>
        <w:rPr>
          <w:rFonts w:eastAsia="Times New Roman" w:cs="Times New Roman" w:ascii="Times New Roman" w:hAnsi="Times New Roman"/>
          <w:color w:val="0000FF"/>
        </w:rPr>
        <w:t>«Code_Postal»</w:t>
      </w:r>
      <w:r>
        <w:rPr>
          <w:rFonts w:eastAsia="Times New Roman" w:cs="Times New Roman" w:ascii="Times New Roman" w:hAnsi="Times New Roman"/>
          <w:color w:val="000000"/>
        </w:rPr>
        <w:t xml:space="preserve">, </w:t>
      </w:r>
      <w:r>
        <w:rPr>
          <w:rFonts w:eastAsia="Times New Roman" w:cs="Times New Roman" w:ascii="Times New Roman" w:hAnsi="Times New Roman"/>
          <w:color w:val="0000FF"/>
        </w:rPr>
        <w:t xml:space="preserve">«Ville» </w:t>
      </w:r>
      <w:r>
        <w:rPr>
          <w:rFonts w:eastAsia="Times New Roman" w:cs="Times New Roman" w:ascii="Times New Roman" w:hAnsi="Times New Roman"/>
          <w:color w:val="000000"/>
        </w:rPr>
        <w:t>(</w:t>
      </w:r>
      <w:r>
        <w:rPr>
          <w:rFonts w:eastAsia="Times New Roman" w:cs="Times New Roman" w:ascii="Times New Roman" w:hAnsi="Times New Roman"/>
          <w:color w:val="0000FF"/>
        </w:rPr>
        <w:t>«Pays»</w:t>
      </w:r>
      <w:r>
        <w:rPr>
          <w:rFonts w:eastAsia="Times New Roman" w:cs="Times New Roman" w:ascii="Times New Roman" w:hAnsi="Times New Roman"/>
          <w:color w:val="000000"/>
        </w:rPr>
        <w:t xml:space="preserve">), est reconnue sous le numéro d’enregistrement </w:t>
      </w:r>
      <w:r>
        <w:rPr>
          <w:rFonts w:eastAsia="Times New Roman" w:cs="Times New Roman" w:ascii="Times New Roman" w:hAnsi="Times New Roman"/>
          <w:color w:val="0000FF"/>
        </w:rPr>
        <w:t>«Numéro_valide»</w:t>
      </w:r>
      <w:r>
        <w:rPr>
          <w:rFonts w:eastAsia="Times New Roman" w:cs="Times New Roman" w:ascii="Times New Roman" w:hAnsi="Times New Roman"/>
          <w:color w:val="000000"/>
        </w:rPr>
        <w:t>.</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Les quantités de biocarburants reconnus :</w:t>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FF"/>
              </w:rPr>
              <w:t>«</w:t>
            </w:r>
            <w:r>
              <w:rPr>
                <w:rFonts w:eastAsia="Times New Roman" w:cs="Times New Roman" w:ascii="Times New Roman" w:hAnsi="Times New Roman"/>
                <w:color w:val="000000"/>
                <w:highlight w:val="yellow"/>
              </w:rPr>
              <w:t>Année n</w:t>
            </w:r>
            <w:r>
              <w:rPr>
                <w:rFonts w:eastAsia="Times New Roman" w:cs="Times New Roman" w:ascii="Times New Roman" w:hAnsi="Times New Roman"/>
                <w:color w:val="0000FF"/>
              </w:rPr>
              <w:t>»</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FF"/>
              </w:rPr>
              <w:t>«</w:t>
            </w:r>
            <w:r>
              <w:rPr>
                <w:rFonts w:eastAsia="Times New Roman" w:cs="Times New Roman" w:ascii="Times New Roman" w:hAnsi="Times New Roman"/>
                <w:color w:val="000000"/>
                <w:highlight w:val="yellow"/>
              </w:rPr>
              <w:t>Année n+1</w:t>
            </w:r>
            <w:r>
              <w:rPr>
                <w:rFonts w:eastAsia="Times New Roman" w:cs="Times New Roman" w:ascii="Times New Roman" w:hAnsi="Times New Roman"/>
                <w:color w:val="0000FF"/>
              </w:rPr>
              <w: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pBdr/>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Quotas approuvés en tonnes</w:t>
            </w:r>
          </w:p>
        </w:tc>
      </w:tr>
    </w:tbl>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spacing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Article 2</w:t>
      </w:r>
    </w:p>
    <w:p>
      <w:pPr>
        <w:pStyle w:val="Normal"/>
        <w:widowControl/>
        <w:pBdr/>
        <w:spacing w:before="0" w:after="1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rPr>
        <w:t>La part énergétique renouvelable, exprimée en énergie (MJ)</w:t>
      </w:r>
      <w:r>
        <w:rPr>
          <w:rFonts w:eastAsia="Times New Roman" w:cs="Times New Roman" w:ascii="Times New Roman" w:hAnsi="Times New Roman"/>
          <w:color w:val="0000FF"/>
        </w:rPr>
        <w:t xml:space="preserve"> «YYYY»</w:t>
      </w:r>
      <w:r>
        <w:rPr>
          <w:rFonts w:eastAsia="Times New Roman" w:cs="Times New Roman" w:ascii="Times New Roman" w:hAnsi="Times New Roman"/>
          <w:color w:val="0000FF"/>
        </w:rPr>
        <w:commentReference w:id="0"/>
      </w:r>
      <w:r>
        <w:rPr>
          <w:rFonts w:eastAsia="Times New Roman" w:cs="Times New Roman" w:ascii="Times New Roman" w:hAnsi="Times New Roman"/>
          <w:color w:val="000000"/>
          <w:highlight w:val="white"/>
        </w:rPr>
        <w:t>.,</w:t>
      </w:r>
      <w:r>
        <w:rPr>
          <w:rFonts w:eastAsia="Times New Roman" w:cs="Times New Roman" w:ascii="Times New Roman" w:hAnsi="Times New Roman"/>
          <w:color w:val="000000"/>
        </w:rPr>
        <w:t xml:space="preserve">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r>
        <w:rPr>
          <w:rFonts w:eastAsia="Times New Roman" w:cs="Times New Roman" w:ascii="Times New Roman" w:hAnsi="Times New Roman"/>
          <w:color w:val="000000"/>
          <w:highlight w:val="white"/>
        </w:rPr>
        <w:t>.</w:t>
      </w:r>
    </w:p>
    <w:p>
      <w:pPr>
        <w:pStyle w:val="Normal"/>
        <w:widowControl/>
        <w:spacing w:before="240" w:after="240"/>
        <w:jc w:val="center"/>
        <w:rPr>
          <w:rFonts w:ascii="Times New Roman" w:hAnsi="Times New Roman" w:eastAsia="Times New Roman" w:cs="Times New Roman"/>
          <w:b/>
          <w:b/>
        </w:rPr>
      </w:pPr>
      <w:r>
        <w:rPr>
          <w:rFonts w:eastAsia="Times New Roman" w:cs="Times New Roman" w:ascii="Times New Roman" w:hAnsi="Times New Roman"/>
          <w:b/>
        </w:rPr>
        <w:t>Article 3</w:t>
      </w:r>
    </w:p>
    <w:p>
      <w:pPr>
        <w:pStyle w:val="Normal"/>
        <w:widowControl/>
        <w:spacing w:before="0" w:after="120"/>
        <w:jc w:val="both"/>
        <w:rPr>
          <w:rFonts w:ascii="Times New Roman" w:hAnsi="Times New Roman" w:eastAsia="Times New Roman" w:cs="Times New Roman"/>
          <w:highlight w:val="yellow"/>
        </w:rPr>
      </w:pPr>
      <w:bookmarkStart w:id="0" w:name="_heading=h.gjdgxs"/>
      <w:bookmarkEnd w:id="0"/>
      <w:r>
        <w:rPr>
          <w:rFonts w:eastAsia="Times New Roman" w:cs="Times New Roman" w:ascii="Times New Roman" w:hAnsi="Times New Roman"/>
          <w:highlight w:val="white"/>
        </w:rPr>
        <w:t xml:space="preserve">La part énergétique </w:t>
      </w:r>
      <w:sdt>
        <w:sdtPr>
          <w:id w:val="473779689"/>
        </w:sdtPr>
        <w:sdtContent>
          <w:r>
            <w:rPr/>
          </w:r>
        </w:sdtContent>
      </w:sdt>
      <w:r>
        <w:rPr>
          <w:rFonts w:eastAsia="Times New Roman" w:cs="Times New Roman" w:ascii="Times New Roman" w:hAnsi="Times New Roman"/>
          <w:color w:val="0000FF"/>
        </w:rPr>
        <w:t>«YYYY»</w:t>
      </w:r>
      <w:r>
        <w:rPr>
          <w:rFonts w:eastAsia="Times New Roman" w:cs="Times New Roman" w:ascii="Times New Roman" w:hAnsi="Times New Roman"/>
          <w:color w:val="0000FF"/>
        </w:rPr>
        <w:commentReference w:id="1"/>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highlight w:val="white"/>
        </w:rPr>
        <w:t xml:space="preserve">de déchets industriels </w:t>
      </w:r>
      <w:r>
        <w:rPr>
          <w:rFonts w:eastAsia="Times New Roman" w:cs="Times New Roman" w:ascii="Times New Roman" w:hAnsi="Times New Roman"/>
        </w:rPr>
        <w:t xml:space="preserve">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w:t>
      </w:r>
      <w:r>
        <w:rPr>
          <w:rFonts w:eastAsia="Times New Roman" w:cs="Times New Roman" w:ascii="Times New Roman" w:hAnsi="Times New Roman"/>
          <w:highlight w:val="white"/>
        </w:rPr>
        <w:t xml:space="preserve">lorsqu’ils sont issus des déchets certifiés suivants : </w:t>
      </w:r>
      <w:r>
        <w:rPr>
          <w:rFonts w:eastAsia="Times New Roman" w:cs="Times New Roman" w:ascii="Times New Roman" w:hAnsi="Times New Roman"/>
          <w:highlight w:val="yellow"/>
          <w:lang w:val="fr-CI"/>
        </w:rPr>
        <w:t>«DECHETS_INDUSTRIELS».</w:t>
      </w:r>
    </w:p>
    <w:p>
      <w:pPr>
        <w:pStyle w:val="Normal"/>
        <w:widowControl/>
        <w:pBdr/>
        <w:spacing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Article 3</w:t>
      </w:r>
    </w:p>
    <w:p>
      <w:pPr>
        <w:pStyle w:val="Normal"/>
        <w:widowControl/>
        <w:pBdr/>
        <w:jc w:val="both"/>
        <w:rPr>
          <w:rFonts w:ascii="Times New Roman" w:hAnsi="Times New Roman" w:eastAsia="Times New Roman" w:cs="Times New Roman"/>
          <w:color w:val="000000"/>
        </w:rPr>
      </w:pPr>
      <w:r>
        <w:rPr>
          <w:rFonts w:eastAsia="Times New Roman" w:cs="Times New Roman" w:ascii="Times New Roman" w:hAnsi="Times New Roman"/>
          <w:color w:val="000000"/>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pBdr/>
        <w:spacing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Article 4</w:t>
      </w:r>
    </w:p>
    <w:p>
      <w:pPr>
        <w:pStyle w:val="Normal"/>
        <w:widowControl/>
        <w:pBdr/>
        <w:spacing w:before="0" w:after="1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t xml:space="preserve">La présente décision est valable pour les années civiles </w:t>
      </w:r>
      <w:sdt>
        <w:sdtPr>
          <w:id w:val="223764092"/>
        </w:sdtPr>
        <w:sdtContent>
          <w:commentRangeStart w:id="2"/>
          <w:r>
            <w:rPr/>
          </w:r>
        </w:sdtContent>
      </w:sdt>
      <w:r>
        <w:rPr>
          <w:rFonts w:eastAsia="Times New Roman" w:cs="Times New Roman" w:ascii="Times New Roman" w:hAnsi="Times New Roman"/>
          <w:color w:val="0000FF"/>
        </w:rPr>
        <w:t xml:space="preserve">«Année </w:t>
      </w:r>
      <w:r>
        <w:rPr>
          <w:rFonts w:eastAsia="Times New Roman" w:cs="Times New Roman" w:ascii="Times New Roman" w:hAnsi="Times New Roman"/>
          <w:color w:val="0000FF"/>
        </w:rPr>
        <w:t xml:space="preserve">n» </w:t>
      </w:r>
      <w:r>
        <w:rPr>
          <w:rFonts w:eastAsia="Times New Roman" w:cs="Times New Roman" w:ascii="Times New Roman" w:hAnsi="Times New Roman"/>
          <w:color w:val="0000FF"/>
        </w:rPr>
      </w:r>
      <w:commentRangeEnd w:id="2"/>
      <w:r>
        <w:commentReference w:id="2"/>
      </w:r>
      <w:r>
        <w:rPr>
          <w:rFonts w:eastAsia="Times New Roman" w:cs="Times New Roman" w:ascii="Times New Roman" w:hAnsi="Times New Roman"/>
          <w:color w:val="000000"/>
          <w:highlight w:val="white"/>
        </w:rPr>
        <w:t xml:space="preserve">et </w:t>
      </w:r>
      <w:sdt>
        <w:sdtPr>
          <w:id w:val="20918421"/>
        </w:sdtPr>
        <w:sdtContent>
          <w:r>
            <w:rPr/>
          </w:r>
        </w:sdtContent>
      </w:sdt>
      <w:r>
        <w:rPr>
          <w:rFonts w:eastAsia="Times New Roman" w:cs="Times New Roman" w:ascii="Times New Roman" w:hAnsi="Times New Roman"/>
          <w:color w:val="0000FF"/>
        </w:rPr>
        <w:t>«</w:t>
      </w:r>
      <w:r>
        <w:rPr>
          <w:rFonts w:eastAsia="Times New Roman" w:cs="Times New Roman" w:ascii="Times New Roman" w:hAnsi="Times New Roman"/>
          <w:color w:val="000000"/>
          <w:highlight w:val="yellow"/>
        </w:rPr>
        <w:t>Année n+1</w:t>
      </w:r>
      <w:r>
        <w:rPr>
          <w:rFonts w:eastAsia="Times New Roman" w:cs="Times New Roman" w:ascii="Times New Roman" w:hAnsi="Times New Roman"/>
          <w:color w:val="0000FF"/>
        </w:rPr>
        <w:t>».</w:t>
      </w:r>
    </w:p>
    <w:p>
      <w:pPr>
        <w:pStyle w:val="Normal"/>
        <w:widowControl/>
        <w:pBdr/>
        <w:spacing w:before="0" w:after="1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spacing w:before="482" w:after="544"/>
        <w:ind w:firstLine="72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t>Fait le</w:t>
      </w:r>
    </w:p>
    <w:p>
      <w:pPr>
        <w:pStyle w:val="Normal"/>
        <w:widowControl/>
        <w:pBdr/>
        <w:ind w:firstLine="72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Pour la directrice générale de l’énergie et du climat, et par délégation,</w:t>
      </w:r>
    </w:p>
    <w:p>
      <w:pPr>
        <w:pStyle w:val="Normal"/>
        <w:widowControl/>
        <w:pBdr/>
        <w:ind w:firstLine="72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t>Le sous-directeur de la sécurité d’approvisionnement et nouveaux produits énergétiques</w:t>
      </w:r>
    </w:p>
    <w:p>
      <w:pPr>
        <w:pStyle w:val="Normal"/>
        <w:widowControl/>
        <w:pBdr/>
        <w:ind w:firstLine="72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ind w:firstLine="72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ind w:firstLine="72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ind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pBdr/>
        <w:spacing w:before="0" w:after="238"/>
        <w:ind w:firstLine="720"/>
        <w:jc w:val="center"/>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tab/>
        <w:tab/>
        <w:tab/>
      </w:r>
      <w:r>
        <w:rPr>
          <w:rFonts w:eastAsia="Times New Roman" w:cs="Times New Roman" w:ascii="Times New Roman" w:hAnsi="Times New Roman"/>
          <w:color w:val="000000"/>
        </w:rPr>
        <w:t>Alexandre Chevallier</w:t>
      </w:r>
      <w:r>
        <w:rPr>
          <w:rFonts w:eastAsia="Times New Roman" w:cs="Times New Roman" w:ascii="Times New Roman" w:hAnsi="Times New Roman"/>
          <w:color w:val="000000"/>
          <w:highlight w:val="white"/>
        </w:rPr>
        <w:tab/>
        <w:tab/>
        <w:tab/>
        <w:tab/>
        <w:tab/>
      </w:r>
    </w:p>
    <w:p>
      <w:pPr>
        <w:pStyle w:val="Normal"/>
        <w:widowControl/>
        <w:pBdr/>
        <w:spacing w:before="0" w:after="238"/>
        <w:ind w:firstLine="7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spacing w:before="0" w:after="238"/>
        <w:ind w:firstLine="7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spacing w:before="0" w:after="238"/>
        <w:ind w:firstLine="720"/>
        <w:jc w:val="both"/>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
        <w:widowControl/>
        <w:pBdr/>
        <w:rPr>
          <w:rFonts w:ascii="Times New Roman" w:hAnsi="Times New Roman" w:eastAsia="Times New Roman" w:cs="Times New Roman"/>
          <w:color w:val="000000"/>
        </w:rPr>
      </w:pPr>
      <w:r>
        <w:rPr>
          <w:rFonts w:eastAsia="Times New Roman" w:cs="Times New Roman" w:ascii="Times New Roman" w:hAnsi="Times New Roman"/>
          <w:color w:val="000000"/>
        </w:rPr>
        <w:t>Pour le directeur général de la performance économique et environnementale des</w:t>
      </w:r>
    </w:p>
    <w:p>
      <w:pPr>
        <w:pStyle w:val="Normal"/>
        <w:widowControl/>
        <w:pBdr/>
        <w:rPr>
          <w:rFonts w:ascii="Times New Roman" w:hAnsi="Times New Roman" w:eastAsia="Times New Roman" w:cs="Times New Roman"/>
          <w:color w:val="000000"/>
        </w:rPr>
      </w:pPr>
      <w:r>
        <w:rPr>
          <w:rFonts w:eastAsia="Times New Roman" w:cs="Times New Roman" w:ascii="Times New Roman" w:hAnsi="Times New Roman"/>
          <w:color w:val="000000"/>
        </w:rPr>
        <w:t>entreprises et par délégation,</w:t>
      </w:r>
    </w:p>
    <w:p>
      <w:pPr>
        <w:pStyle w:val="Normal"/>
        <w:widowControl/>
        <w:pBdr/>
        <w:rPr>
          <w:rFonts w:ascii="Times New Roman" w:hAnsi="Times New Roman" w:eastAsia="Times New Roman" w:cs="Times New Roman"/>
          <w:color w:val="000000"/>
        </w:rPr>
      </w:pPr>
      <w:r>
        <w:rPr>
          <w:rFonts w:eastAsia="Times New Roman" w:cs="Times New Roman" w:ascii="Times New Roman" w:hAnsi="Times New Roman"/>
          <w:color w:val="000000"/>
        </w:rPr>
        <w:t>La Sous-Directrice des filières forêts-bois, cheval et bioéconomie</w:t>
      </w:r>
    </w:p>
    <w:p>
      <w:pPr>
        <w:pStyle w:val="Normal"/>
        <w:widowControl/>
        <w:pBd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pBdr/>
        <w:ind w:firstLine="720"/>
        <w:rPr>
          <w:rFonts w:ascii="Times New Roman" w:hAnsi="Times New Roman" w:eastAsia="Times New Roman" w:cs="Times New Roman"/>
          <w:color w:val="000000"/>
          <w:sz w:val="16"/>
          <w:szCs w:val="16"/>
          <w:highlight w:val="white"/>
        </w:rPr>
      </w:pPr>
      <w:r>
        <w:rPr>
          <w:rFonts w:eastAsia="Times New Roman" w:cs="Times New Roman" w:ascii="Times New Roman" w:hAnsi="Times New Roman"/>
          <w:color w:val="000000"/>
          <w:sz w:val="16"/>
          <w:szCs w:val="16"/>
          <w:highlight w:val="white"/>
        </w:rPr>
      </w:r>
    </w:p>
    <w:p>
      <w:pPr>
        <w:pStyle w:val="Normal"/>
        <w:widowControl/>
        <w:pBdr/>
        <w:ind w:firstLine="720"/>
        <w:rPr>
          <w:rFonts w:ascii="Times New Roman" w:hAnsi="Times New Roman" w:eastAsia="Times New Roman" w:cs="Times New Roman"/>
          <w:color w:val="000000"/>
          <w:sz w:val="16"/>
          <w:szCs w:val="16"/>
          <w:highlight w:val="white"/>
        </w:rPr>
      </w:pPr>
      <w:r>
        <w:rPr>
          <w:rFonts w:eastAsia="Times New Roman" w:cs="Times New Roman" w:ascii="Times New Roman" w:hAnsi="Times New Roman"/>
          <w:color w:val="000000"/>
          <w:sz w:val="16"/>
          <w:szCs w:val="16"/>
          <w:highlight w:val="white"/>
        </w:rPr>
      </w:r>
    </w:p>
    <w:p>
      <w:pPr>
        <w:pStyle w:val="Normal"/>
        <w:widowControl/>
        <w:pBdr/>
        <w:rPr>
          <w:rFonts w:ascii="Times New Roman" w:hAnsi="Times New Roman" w:eastAsia="Times New Roman" w:cs="Times New Roman"/>
          <w:color w:val="000000"/>
          <w:sz w:val="16"/>
          <w:szCs w:val="16"/>
          <w:highlight w:val="white"/>
        </w:rPr>
      </w:pPr>
      <w:r>
        <w:rPr>
          <w:rFonts w:eastAsia="Times New Roman" w:cs="Times New Roman" w:ascii="Times New Roman" w:hAnsi="Times New Roman"/>
          <w:color w:val="000000"/>
          <w:sz w:val="16"/>
          <w:szCs w:val="16"/>
          <w:highlight w:val="white"/>
        </w:rPr>
      </w:r>
    </w:p>
    <w:p>
      <w:pPr>
        <w:pStyle w:val="Normal"/>
        <w:widowControl/>
        <w:pBdr/>
        <w:ind w:firstLine="720"/>
        <w:rPr>
          <w:rFonts w:ascii="Times New Roman" w:hAnsi="Times New Roman" w:eastAsia="Times New Roman" w:cs="Times New Roman"/>
          <w:color w:val="000000"/>
          <w:sz w:val="16"/>
          <w:szCs w:val="16"/>
          <w:highlight w:val="white"/>
        </w:rPr>
      </w:pPr>
      <w:r>
        <w:rPr>
          <w:rFonts w:eastAsia="Times New Roman" w:cs="Times New Roman" w:ascii="Times New Roman" w:hAnsi="Times New Roman"/>
          <w:color w:val="000000"/>
          <w:sz w:val="16"/>
          <w:szCs w:val="16"/>
          <w:highlight w:val="white"/>
        </w:rPr>
      </w:r>
    </w:p>
    <w:p>
      <w:pPr>
        <w:pStyle w:val="Normal"/>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sz w:val="16"/>
          <w:szCs w:val="16"/>
          <w:highlight w:val="white"/>
        </w:rPr>
      </w:pPr>
      <w:r>
        <w:rPr/>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536" w:leader="none"/>
        <w:tab w:val="right" w:pos="9072" w:leader="none"/>
      </w:tabs>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FF"/>
        <w:position w:val="0"/>
        <w:sz w:val="16"/>
        <w:sz w:val="16"/>
        <w:szCs w:val="16"/>
        <w:u w:val="none"/>
        <w:shd w:fill="auto" w:val="clear"/>
        <w:vertAlign w:val="baseline"/>
      </w:rPr>
      <w:t>«ID»</w:t>
    </w: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_</w:t>
    </w:r>
    <w:r>
      <w:rPr/>
      <w:fldChar w:fldCharType="begin"/>
    </w:r>
    <w:r>
      <w:rPr/>
      <w:instrText xml:space="preserve"> FILLIN ""</w:instrText>
    </w:r>
    <w:r>
      <w:rPr/>
      <w:fldChar w:fldCharType="separate"/>
    </w:r>
    <w:r>
      <w:rPr/>
    </w:r>
    <w:r>
      <w:rPr/>
      <w:fldChar w:fldCharType="end"/>
    </w:r>
    <w:r>
      <w:rPr>
        <w:rFonts w:eastAsia="Times New Roman" w:cs="Times New Roman" w:ascii="Times New Roman" w:hAnsi="Times New Roman"/>
        <w:color w:val="0000FF"/>
        <w:sz w:val="16"/>
        <w:szCs w:val="16"/>
      </w:rPr>
      <w:t xml:space="preserve">«Année n» </w:t>
    </w: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Normal1" w:default="1">
    <w:name w:val="LO-normal"/>
    <w:qFormat/>
    <w:pPr>
      <w:widowControl w:val="fals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bidi="ar-SA" w:val="fr-FR" w:eastAsia="zh-CN"/>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bidi="ar-SA" w:val="fr-FR" w:eastAsia="zh-CN"/>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Normal1"/>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Normal1"/>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Normal1"/>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498</Words>
  <Characters>2680</Characters>
  <CharactersWithSpaces>3144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2024-09-06T11:34:24Z</dcterms:modified>
  <cp:revision>1</cp:revision>
  <dc:subject/>
  <dc:title/>
</cp:coreProperties>
</file>