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spacing w:lineRule="auto" w:line="276"/>
        <w:rPr>
          <w:rFonts w:ascii="Arial" w:hAnsi="Arial" w:eastAsia="Arial" w:cs="Arial"/>
          <w:color w:val="000000"/>
          <w:sz w:val="22"/>
          <w:szCs w:val="22"/>
          <w:highlight w:val="none"/>
          <w:shd w:fill="auto" w:val="clear"/>
        </w:rPr>
      </w:pPr>
      <w:r>
        <w:rPr>
          <w:rFonts w:eastAsia="Arial" w:cs="Arial" w:ascii="Arial" w:hAnsi="Arial"/>
          <w:color w:val="000000"/>
          <w:sz w:val="22"/>
          <w:szCs w:val="22"/>
          <w:shd w:fill="auto" w:val="clear"/>
        </w:rPr>
      </w:r>
    </w:p>
    <w:tbl>
      <w:tblPr>
        <w:tblStyle w:val="a"/>
        <w:tblpPr w:bottomFromText="0" w:horzAnchor="margin" w:leftFromText="141" w:rightFromText="141" w:tblpX="-51" w:tblpY="1471" w:topFromText="0" w:vertAnchor="page"/>
        <w:tblW w:w="3982" w:type="dxa"/>
        <w:jc w:val="left"/>
        <w:tblInd w:w="0" w:type="dxa"/>
        <w:tblLayout w:type="fixed"/>
        <w:tblCellMar>
          <w:top w:w="57" w:type="dxa"/>
          <w:left w:w="57" w:type="dxa"/>
          <w:bottom w:w="57" w:type="dxa"/>
          <w:right w:w="57" w:type="dxa"/>
        </w:tblCellMar>
        <w:tblLook w:val="0000" w:noHBand="0" w:noVBand="0" w:firstColumn="0" w:lastRow="0" w:lastColumn="0" w:firstRow="0"/>
      </w:tblPr>
      <w:tblGrid>
        <w:gridCol w:w="1527"/>
        <w:gridCol w:w="968"/>
        <w:gridCol w:w="1487"/>
      </w:tblGrid>
      <w:tr>
        <w:trPr>
          <w:cantSplit w:val="true"/>
        </w:trPr>
        <w:tc>
          <w:tcPr>
            <w:tcW w:w="3982" w:type="dxa"/>
            <w:gridSpan w:val="3"/>
            <w:tcBorders/>
            <w:shd w:color="auto" w:fill="auto" w:val="clear"/>
          </w:tcPr>
          <w:p>
            <w:pPr>
              <w:pStyle w:val="Normal"/>
              <w:widowControl w:val="false"/>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RÉPUBLIQUE FRANÇAISE</w:t>
            </w:r>
          </w:p>
        </w:tc>
      </w:tr>
      <w:tr>
        <w:trPr>
          <w:trHeight w:val="113" w:hRule="atLeast"/>
          <w:cantSplit w:val="true"/>
        </w:trPr>
        <w:tc>
          <w:tcPr>
            <w:tcW w:w="1527" w:type="dxa"/>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968" w:type="dxa"/>
            <w:tcBorders>
              <w:bottom w:val="single" w:sz="4" w:space="0" w:color="000000"/>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487" w:type="dxa"/>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cantSplit w:val="true"/>
        </w:trPr>
        <w:tc>
          <w:tcPr>
            <w:tcW w:w="3982" w:type="dxa"/>
            <w:gridSpan w:val="3"/>
            <w:tcBorders/>
            <w:shd w:color="auto" w:fill="auto" w:val="clear"/>
          </w:tcPr>
          <w:p>
            <w:pPr>
              <w:pStyle w:val="Normal"/>
              <w:widowControl w:val="false"/>
              <w:spacing w:before="120" w:after="0"/>
              <w:jc w:val="center"/>
              <w:rPr>
                <w:rFonts w:ascii="Times New Roman" w:hAnsi="Times New Roman" w:eastAsia="Times New Roman" w:cs="Times New Roman"/>
                <w:b/>
                <w:b/>
                <w:color w:val="000000"/>
                <w:sz w:val="22"/>
                <w:szCs w:val="22"/>
              </w:rPr>
            </w:pPr>
            <w:r>
              <w:rPr>
                <w:rFonts w:eastAsia="Times New Roman" w:cs="Times New Roman" w:ascii="Times New Roman" w:hAnsi="Times New Roman"/>
                <w:b/>
                <w:i w:val="false"/>
                <w:caps w:val="false"/>
                <w:smallCaps w:val="false"/>
                <w:color w:val="000000"/>
                <w:spacing w:val="0"/>
                <w:sz w:val="22"/>
                <w:szCs w:val="22"/>
              </w:rPr>
              <w:t xml:space="preserve">Ministère </w:t>
            </w:r>
            <w:r>
              <w:rPr>
                <w:rFonts w:eastAsia="Times New Roman" w:cs="Times New Roman" w:ascii="Times New Roman" w:hAnsi="Times New Roman"/>
                <w:b/>
                <w:i w:val="false"/>
                <w:caps w:val="false"/>
                <w:smallCaps w:val="false"/>
                <w:color w:val="000000"/>
                <w:spacing w:val="0"/>
                <w:sz w:val="22"/>
                <w:szCs w:val="22"/>
              </w:rPr>
              <w:t>chargé de l’Énergie</w:t>
            </w:r>
          </w:p>
        </w:tc>
      </w:tr>
    </w:tbl>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color w:val="000000"/>
          <w:highlight w:val="none"/>
          <w:shd w:fill="auto" w:val="clear"/>
        </w:rPr>
      </w:pPr>
      <w:r>
        <w:rPr>
          <w:rFonts w:eastAsia="Times New Roman" w:cs="Times New Roman" w:ascii="Times New Roman" w:hAnsi="Times New Roman"/>
          <w:b/>
          <w:color w:val="000000"/>
          <w:shd w:fill="auto" w:val="clear"/>
        </w:rPr>
        <w:t>Décision du</w:t>
      </w:r>
    </w:p>
    <w:p>
      <w:pPr>
        <w:pStyle w:val="Normal"/>
        <w:spacing w:before="0" w:after="360"/>
        <w:jc w:val="both"/>
        <w:rPr>
          <w:color w:val="000000"/>
          <w:highlight w:val="none"/>
          <w:shd w:fill="auto" w:val="clear"/>
        </w:rPr>
      </w:pPr>
      <w:r>
        <w:rPr>
          <w:rFonts w:eastAsia="Times New Roman" w:cs="Times New Roman" w:ascii="Times New Roman" w:hAnsi="Times New Roman"/>
          <w:b/>
          <w:color w:val="000000"/>
          <w:shd w:fill="auto" w:val="clear"/>
        </w:rPr>
        <w:t>reconnaissant l’unité de production de biocarburants de «Ville» («Pays») de la société «Nom_Opérateur» au titre de l’article 13 du décret n° 2019-570 du 7 juin 2019.</w:t>
      </w:r>
    </w:p>
    <w:p>
      <w:pPr>
        <w:pStyle w:val="Normal"/>
        <w:spacing w:before="0" w:after="360"/>
        <w:ind w:firstLine="709"/>
        <w:jc w:val="both"/>
        <w:rPr>
          <w:color w:val="000000"/>
          <w:highlight w:val="none"/>
          <w:shd w:fill="auto" w:val="clear"/>
        </w:rPr>
      </w:pPr>
      <w:r>
        <w:rPr>
          <w:rFonts w:eastAsia="Times New Roman" w:cs="Times New Roman" w:ascii="Times New Roman" w:hAnsi="Times New Roman"/>
          <w:b/>
          <w:color w:val="000000"/>
          <w:shd w:fill="auto" w:val="clear"/>
        </w:rPr>
        <w:t>La directrice générale de l’énergie et du climat ;</w:t>
      </w:r>
    </w:p>
    <w:p>
      <w:pPr>
        <w:pStyle w:val="Normal"/>
        <w:widowControl/>
        <w:rPr>
          <w:color w:val="000000"/>
          <w:highlight w:val="none"/>
          <w:shd w:fill="auto" w:val="clear"/>
        </w:rPr>
      </w:pPr>
      <w:r>
        <w:rPr>
          <w:rFonts w:eastAsia="Times New Roman" w:cs="Times New Roman" w:ascii="Times New Roman" w:hAnsi="Times New Roman"/>
          <w:b/>
          <w:color w:val="000000"/>
          <w:shd w:fill="auto" w:val="clear"/>
        </w:rPr>
        <w:tab/>
        <w:t>Le directeur général de la performance économique et environnementale</w:t>
      </w:r>
    </w:p>
    <w:p>
      <w:pPr>
        <w:pStyle w:val="Normal"/>
        <w:widowControl/>
        <w:spacing w:before="0" w:after="238"/>
        <w:jc w:val="both"/>
        <w:rPr>
          <w:color w:val="000000"/>
          <w:highlight w:val="none"/>
          <w:shd w:fill="auto" w:val="clear"/>
        </w:rPr>
      </w:pPr>
      <w:r>
        <w:rPr>
          <w:rFonts w:eastAsia="Times New Roman" w:cs="Times New Roman" w:ascii="Times New Roman" w:hAnsi="Times New Roman"/>
          <w:b/>
          <w:color w:val="000000"/>
          <w:shd w:fill="auto" w:val="clear"/>
        </w:rPr>
        <w:t xml:space="preserve"> </w:t>
      </w:r>
      <w:r>
        <w:rPr>
          <w:rFonts w:eastAsia="Times New Roman" w:cs="Times New Roman" w:ascii="Times New Roman" w:hAnsi="Times New Roman"/>
          <w:b/>
          <w:color w:val="000000"/>
          <w:shd w:fill="auto" w:val="clear"/>
        </w:rPr>
        <w:tab/>
        <w:t>des entreprises ;</w:t>
      </w:r>
    </w:p>
    <w:p>
      <w:pPr>
        <w:pStyle w:val="Normal"/>
        <w:widowControl/>
        <w:spacing w:before="0" w:after="238"/>
        <w:ind w:firstLine="720"/>
        <w:jc w:val="both"/>
        <w:rPr>
          <w:color w:val="000000"/>
          <w:highlight w:val="none"/>
          <w:shd w:fill="auto" w:val="clear"/>
        </w:rPr>
      </w:pPr>
      <w:r>
        <w:rPr>
          <w:rFonts w:eastAsia="Times New Roman" w:cs="Times New Roman" w:ascii="Times New Roman" w:hAnsi="Times New Roman"/>
          <w:b/>
          <w:color w:val="000000"/>
          <w:shd w:fill="auto" w:val="clear"/>
        </w:rPr>
        <w:t>Vu le code de l’énergie, notamment ses articles L. 641-6, D. 641-13 et R. 283-1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code des douanes, notamment son article 266 quindecies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décret n° 2019-570 du 7 juin 2019 portant sur la taxe incitative relative à l'incorporation des biocarburants modifié par le décret n° 2023-1420 du 29 Décembre 2023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dossier initial de demande de reconnaissance présenté par la société «Nom_Opérateur» ;</w:t>
      </w:r>
    </w:p>
    <w:p>
      <w:pPr>
        <w:pStyle w:val="Normal"/>
        <w:widowControl/>
        <w:spacing w:before="369" w:after="363"/>
        <w:jc w:val="center"/>
        <w:rPr>
          <w:color w:val="000000"/>
          <w:highlight w:val="none"/>
          <w:shd w:fill="auto" w:val="clear"/>
        </w:rPr>
      </w:pPr>
      <w:r>
        <w:rPr>
          <w:rFonts w:eastAsia="Times New Roman" w:cs="Times New Roman" w:ascii="Times New Roman" w:hAnsi="Times New Roman"/>
          <w:b/>
          <w:color w:val="000000"/>
          <w:shd w:fill="auto" w:val="clear"/>
        </w:rPr>
        <w:t>Décident :</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1</w:t>
      </w:r>
      <w:r>
        <w:rPr>
          <w:rFonts w:eastAsia="Times New Roman" w:cs="Times New Roman" w:ascii="Times New Roman" w:hAnsi="Times New Roman"/>
          <w:b/>
          <w:color w:val="000000"/>
          <w:shd w:fill="auto" w:val="clear"/>
          <w:vertAlign w:val="superscript"/>
        </w:rPr>
        <w:t>er</w:t>
      </w:r>
    </w:p>
    <w:p>
      <w:pPr>
        <w:pStyle w:val="Normal"/>
        <w:rPr>
          <w:color w:val="000000"/>
          <w:highlight w:val="none"/>
          <w:shd w:fill="auto" w:val="clear"/>
        </w:rPr>
      </w:pPr>
      <w:r>
        <w:rPr>
          <w:rFonts w:eastAsia="Times New Roman" w:cs="Times New Roman" w:ascii="Times New Roman" w:hAnsi="Times New Roman"/>
          <w:color w:val="000000"/>
          <w:shd w:fill="auto" w:val="clear"/>
        </w:rPr>
        <w:t>L’unité de production de biocarburants située «Adresse», «Code_Postal», «Ville» («Pays»), est reconnue sous le numéro d’enregistrement «Numéro_valide».</w:t>
      </w:r>
    </w:p>
    <w:p>
      <w:pPr>
        <w:pStyle w:val="Normal"/>
        <w:rPr>
          <w:color w:val="000000"/>
          <w:highlight w:val="none"/>
          <w:shd w:fill="auto" w:val="clear"/>
        </w:rPr>
      </w:pPr>
      <w:r>
        <w:rPr>
          <w:rFonts w:eastAsia="Times New Roman" w:cs="Times New Roman" w:ascii="Times New Roman" w:hAnsi="Times New Roman"/>
          <w:color w:val="000000"/>
          <w:shd w:fill="auto" w:val="clear"/>
        </w:rPr>
        <w:t>Les quantités de biocarburants reconnus sont de :</w:t>
      </w:r>
    </w:p>
    <w:p>
      <w:pPr>
        <w:pStyle w:val="Normal"/>
        <w:widowControl/>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bl>
      <w:tblPr>
        <w:tblStyle w:val="a0"/>
        <w:tblW w:w="94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694"/>
        <w:gridCol w:w="1890"/>
        <w:gridCol w:w="2251"/>
        <w:gridCol w:w="2609"/>
      </w:tblGrid>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highlight w:val="none"/>
                <w:shd w:fill="auto" w:val="clear"/>
              </w:rPr>
            </w:pPr>
            <w:r>
              <w:rPr>
                <w:rFonts w:eastAsia="Times New Roman" w:cs="Times New Roman" w:ascii="Times New Roman" w:hAnsi="Times New Roman"/>
                <w:color w:val="000000"/>
                <w:shd w:fill="auto" w:val="clear"/>
              </w:rPr>
              <w:t>«Année n»</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highlight w:val="none"/>
                <w:shd w:fill="auto" w:val="clear"/>
              </w:rPr>
            </w:pPr>
            <w:r>
              <w:rPr>
                <w:rFonts w:eastAsia="Times New Roman" w:cs="Times New Roman" w:ascii="Times New Roman" w:hAnsi="Times New Roman"/>
                <w:color w:val="000000"/>
                <w:shd w:fill="auto" w:val="clear"/>
              </w:rPr>
              <w:t>«Année n+1»</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Biocarburant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Matière première</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Quotas approuvés en tonnes</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Quotas approuvés en tonnes</w:t>
            </w:r>
          </w:p>
        </w:tc>
      </w:tr>
    </w:tbl>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2</w:t>
      </w:r>
    </w:p>
    <w:p>
      <w:pPr>
        <w:pStyle w:val="Normal"/>
        <w:widowControl/>
        <w:spacing w:before="0" w:after="120"/>
        <w:jc w:val="both"/>
        <w:rPr>
          <w:color w:val="000000"/>
          <w:highlight w:val="none"/>
          <w:shd w:fill="auto" w:val="clear"/>
        </w:rPr>
      </w:pPr>
      <w:r>
        <w:rPr>
          <w:rFonts w:eastAsia="Times New Roman" w:cs="Times New Roman" w:ascii="Times New Roman" w:hAnsi="Times New Roman"/>
          <w:color w:val="000000"/>
          <w:shd w:fill="auto" w:val="clear"/>
        </w:rPr>
        <w:t>La part énergétique renouvelable, exprimée en énergie (MJ) «YYYY1»</w:t>
      </w:r>
      <w:r>
        <w:rPr/>
        <w:commentReference w:id="0"/>
      </w:r>
      <w:r>
        <w:rPr>
          <w:rFonts w:eastAsia="Times New Roman" w:cs="Times New Roman" w:ascii="Times New Roman" w:hAnsi="Times New Roman"/>
          <w:color w:val="000000"/>
          <w:shd w:fill="auto" w:val="clear"/>
        </w:rPr>
        <w:t>,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3</w:t>
      </w:r>
    </w:p>
    <w:p>
      <w:pPr>
        <w:pStyle w:val="Normal"/>
        <w:widowControl/>
        <w:spacing w:before="0" w:after="120"/>
        <w:jc w:val="both"/>
        <w:rPr>
          <w:color w:val="000000"/>
          <w:highlight w:val="none"/>
          <w:shd w:fill="auto" w:val="clear"/>
        </w:rPr>
      </w:pPr>
      <w:bookmarkStart w:id="0" w:name="_heading=h.gjdgxs"/>
      <w:bookmarkEnd w:id="0"/>
      <w:r>
        <w:rPr>
          <w:rFonts w:eastAsia="Times New Roman" w:cs="Times New Roman" w:ascii="Times New Roman" w:hAnsi="Times New Roman"/>
          <w:color w:val="000000"/>
          <w:shd w:fill="auto" w:val="clear"/>
        </w:rPr>
        <w:t xml:space="preserve">La part énergétique </w:t>
      </w:r>
      <w:sdt>
        <w:sdtPr>
          <w:id w:val="1455799744"/>
        </w:sdtPr>
        <w:sdtContent>
          <w:r>
            <w:rPr/>
          </w:r>
        </w:sdtContent>
      </w:sdt>
      <w:r>
        <w:rPr>
          <w:rFonts w:eastAsia="Times New Roman" w:cs="Times New Roman" w:ascii="Times New Roman" w:hAnsi="Times New Roman"/>
          <w:color w:val="000000"/>
          <w:shd w:fill="auto" w:val="clear"/>
        </w:rPr>
        <w:t>«</w:t>
      </w:r>
      <w:r>
        <w:rPr>
          <w:rFonts w:eastAsia="Times New Roman" w:cs="Times New Roman" w:ascii="Times New Roman" w:hAnsi="Times New Roman"/>
          <w:color w:val="000000"/>
          <w:shd w:fill="auto" w:val="clear"/>
        </w:rPr>
        <w:t>YYYY2»</w:t>
      </w:r>
      <w:r>
        <w:rPr/>
        <w:commentReference w:id="1"/>
      </w:r>
      <w:r>
        <w:rPr>
          <w:rFonts w:eastAsia="Times New Roman" w:cs="Times New Roman" w:ascii="Times New Roman" w:hAnsi="Times New Roman"/>
          <w:color w:val="000000"/>
          <w:shd w:fill="auto" w:val="clear"/>
        </w:rPr>
        <w:t xml:space="preserve"> de déchets industriels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 lorsqu’ils sont issus des déchets certifiés suivants : </w:t>
      </w:r>
      <w:r>
        <w:rPr>
          <w:rFonts w:eastAsia="Times New Roman" w:cs="Times New Roman" w:ascii="Times New Roman" w:hAnsi="Times New Roman"/>
          <w:color w:val="000000"/>
          <w:shd w:fill="auto" w:val="clear"/>
          <w:lang w:val="fr-CI"/>
        </w:rPr>
        <w:t>«DECHETS_INDUSTRIELS».</w:t>
      </w:r>
    </w:p>
    <w:p>
      <w:pPr>
        <w:pStyle w:val="SNArticle"/>
        <w:rPr>
          <w:bCs/>
        </w:rPr>
      </w:pPr>
      <w:r>
        <w:rPr>
          <w:bCs/>
        </w:rPr>
        <w:t>Article 4</w:t>
      </w:r>
    </w:p>
    <w:p>
      <w:pPr>
        <w:pStyle w:val="Textbody"/>
        <w:widowControl/>
        <w:spacing w:before="0" w:after="120"/>
        <w:jc w:val="both"/>
        <w:rPr>
          <w:shd w:fill="FFFFFF" w:val="clear"/>
        </w:rPr>
      </w:pPr>
      <w:r>
        <w:rPr>
          <w:rFonts w:eastAsia="Times New Roman" w:cs="Times New Roman"/>
          <w:color w:val="000000"/>
          <w:shd w:fill="FFFFFF" w:val="clear"/>
          <w:lang w:val="fr-CI"/>
        </w:rPr>
        <w:t>Pour l’application de cette décision, les déchets industriels correspondent au point d de l’annexe IX-A de la directive européenne 2009/28/CE relative à la promotion de l’utilisation de l’énergie produite à partir de sources renouvelables.</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5</w:t>
      </w:r>
    </w:p>
    <w:p>
      <w:pPr>
        <w:pStyle w:val="Normal"/>
        <w:widowControl/>
        <w:jc w:val="both"/>
        <w:rPr>
          <w:color w:val="000000"/>
          <w:highlight w:val="none"/>
          <w:shd w:fill="auto" w:val="clear"/>
        </w:rPr>
      </w:pPr>
      <w:r>
        <w:rPr>
          <w:rFonts w:eastAsia="Times New Roman" w:cs="Times New Roman" w:ascii="Times New Roman" w:hAnsi="Times New Roman"/>
          <w:color w:val="000000"/>
          <w:shd w:fill="auto" w:val="clear"/>
        </w:rPr>
        <w:t>La présente décision peut être contestée devant le tribunal administratif compétent dans un délai de deux mois à compter de sa notification, conformément à l’article R421-1 du code de justice administrative. Un recours gracieux peut également être introduit devant l’administration dans un délai de deux mois à compter de la notification de la décision, par lettre recommandée avec avis de réception adressée à la Direction Générale de l'Énergie et du Climat, Tour Séquoia, 92 055, la Défense Cedex. Le silence gardé par l’administration pendant plus de deux mois emporte décision implicite de rejet, qui peut également être contestée dans un délai de deux mois devant le tribunal administratif compétent.</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6</w:t>
      </w:r>
    </w:p>
    <w:p>
      <w:pPr>
        <w:pStyle w:val="Normal"/>
        <w:widowControl/>
        <w:spacing w:before="0" w:after="120"/>
        <w:jc w:val="both"/>
        <w:rPr>
          <w:color w:val="000000"/>
          <w:highlight w:val="none"/>
          <w:shd w:fill="auto" w:val="clear"/>
        </w:rPr>
      </w:pPr>
      <w:r>
        <w:rPr>
          <w:rFonts w:eastAsia="Times New Roman" w:cs="Times New Roman" w:ascii="Times New Roman" w:hAnsi="Times New Roman"/>
          <w:color w:val="000000"/>
          <w:shd w:fill="auto" w:val="clear"/>
        </w:rPr>
        <w:t xml:space="preserve">La présente décision est valable pour les années civiles </w:t>
      </w:r>
      <w:sdt>
        <w:sdtPr>
          <w:id w:val="1937347032"/>
        </w:sdtPr>
        <w:sdtContent>
          <w:commentRangeStart w:id="2"/>
          <w:r>
            <w:rPr/>
          </w:r>
        </w:sdtContent>
      </w:sdt>
      <w:r>
        <w:rPr>
          <w:rFonts w:eastAsia="Times New Roman" w:cs="Times New Roman" w:ascii="Times New Roman" w:hAnsi="Times New Roman"/>
          <w:color w:val="000000"/>
          <w:shd w:fill="auto" w:val="clear"/>
        </w:rPr>
        <w:t xml:space="preserve">«Année </w:t>
      </w:r>
      <w:r>
        <w:rPr>
          <w:rFonts w:eastAsia="Times New Roman" w:cs="Times New Roman" w:ascii="Times New Roman" w:hAnsi="Times New Roman"/>
          <w:color w:val="000000"/>
          <w:shd w:fill="auto" w:val="clear"/>
        </w:rPr>
        <w:t xml:space="preserve">n» </w:t>
      </w:r>
      <w:r>
        <w:rPr>
          <w:rFonts w:eastAsia="Times New Roman" w:cs="Times New Roman" w:ascii="Times New Roman" w:hAnsi="Times New Roman"/>
          <w:color w:val="000000"/>
          <w:shd w:fill="auto" w:val="clear"/>
        </w:rPr>
      </w:r>
      <w:commentRangeEnd w:id="2"/>
      <w:r>
        <w:commentReference w:id="2"/>
      </w:r>
      <w:r>
        <w:rPr>
          <w:rFonts w:eastAsia="Times New Roman" w:cs="Times New Roman" w:ascii="Times New Roman" w:hAnsi="Times New Roman"/>
          <w:color w:val="000000"/>
          <w:shd w:fill="auto" w:val="clear"/>
        </w:rPr>
        <w:t xml:space="preserve">et </w:t>
      </w:r>
      <w:sdt>
        <w:sdtPr>
          <w:id w:val="419963292"/>
        </w:sdtPr>
        <w:sdtContent>
          <w:r>
            <w:rPr/>
          </w:r>
        </w:sdtContent>
      </w:sdt>
      <w:r>
        <w:rPr>
          <w:rFonts w:eastAsia="Times New Roman" w:cs="Times New Roman" w:ascii="Times New Roman" w:hAnsi="Times New Roman"/>
          <w:color w:val="000000"/>
          <w:shd w:fill="auto" w:val="clear"/>
        </w:rPr>
        <w:t>«Année n+1».</w:t>
      </w:r>
    </w:p>
    <w:p>
      <w:pPr>
        <w:pStyle w:val="Normal"/>
        <w:widowControl/>
        <w:spacing w:before="0" w:after="1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482" w:after="544"/>
        <w:ind w:firstLine="720"/>
        <w:rPr>
          <w:color w:val="000000"/>
          <w:highlight w:val="none"/>
          <w:shd w:fill="auto" w:val="clear"/>
        </w:rPr>
      </w:pPr>
      <w:r>
        <w:rPr>
          <w:rFonts w:eastAsia="Times New Roman" w:cs="Times New Roman" w:ascii="Times New Roman" w:hAnsi="Times New Roman"/>
          <w:color w:val="000000"/>
          <w:shd w:fill="auto" w:val="clear"/>
        </w:rPr>
        <w:t>Fait le</w:t>
      </w:r>
    </w:p>
    <w:p>
      <w:pPr>
        <w:pStyle w:val="Normal"/>
        <w:widowControl/>
        <w:ind w:firstLine="720"/>
        <w:rPr>
          <w:color w:val="000000"/>
          <w:highlight w:val="none"/>
          <w:shd w:fill="auto" w:val="clear"/>
        </w:rPr>
      </w:pPr>
      <w:r>
        <w:rPr>
          <w:rFonts w:eastAsia="Times New Roman" w:cs="Times New Roman" w:ascii="Times New Roman" w:hAnsi="Times New Roman"/>
          <w:color w:val="000000"/>
          <w:shd w:fill="auto" w:val="clear"/>
        </w:rPr>
        <w:t>Pour la directrice générale de l’énergie et du climat, et par délégation,</w:t>
      </w:r>
    </w:p>
    <w:p>
      <w:pPr>
        <w:pStyle w:val="Normal"/>
        <w:widowControl/>
        <w:ind w:firstLine="720"/>
        <w:rPr>
          <w:color w:val="000000"/>
          <w:highlight w:val="none"/>
          <w:shd w:fill="auto" w:val="clear"/>
        </w:rPr>
      </w:pPr>
      <w:r>
        <w:rPr>
          <w:rFonts w:eastAsia="Times New Roman" w:cs="Times New Roman" w:ascii="Times New Roman" w:hAnsi="Times New Roman"/>
          <w:color w:val="000000"/>
          <w:shd w:fill="auto" w:val="clear"/>
        </w:rPr>
        <w:t>Le sous-directeur de la sécurité d’approvisionnement et nouveaux produits énergétiques</w:t>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0" w:after="238"/>
        <w:ind w:firstLine="720"/>
        <w:jc w:val="center"/>
        <w:rPr>
          <w:color w:val="000000"/>
          <w:highlight w:val="none"/>
          <w:shd w:fill="auto" w:val="clear"/>
        </w:rPr>
      </w:pPr>
      <w:r>
        <w:rPr>
          <w:rFonts w:eastAsia="Times New Roman" w:cs="Times New Roman" w:ascii="Times New Roman" w:hAnsi="Times New Roman"/>
          <w:color w:val="000000"/>
          <w:shd w:fill="auto" w:val="clear"/>
        </w:rPr>
        <w:tab/>
        <w:tab/>
        <w:tab/>
        <w:t>Alexandre Chevallier</w:t>
        <w:tab/>
        <w:tab/>
        <w:tab/>
        <w:tab/>
        <w:tab/>
      </w:r>
    </w:p>
    <w:p>
      <w:pPr>
        <w:pStyle w:val="Normal"/>
        <w:widowControl/>
        <w:spacing w:before="0" w:after="238"/>
        <w:ind w:firstLine="7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Pour le directeur général de la performance économique et environnementale des</w:t>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entreprises et par délégation,</w:t>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La sous-directrice des filières forêts-bois, cheval et bioéconomie</w:t>
      </w:r>
    </w:p>
    <w:sectPr>
      <w:footerReference w:type="default" r:id="rId2"/>
      <w:type w:val="nextPage"/>
      <w:pgSz w:w="11906" w:h="16838"/>
      <w:pgMar w:left="1109" w:right="1159" w:gutter="0" w:header="0" w:top="516" w:footer="720" w:bottom="777"/>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amien Romito" w:date="2024-08-28T06:58:00Z" w:initials="">
    <w:p>
      <w:r>
        <w:rPr>
          <w:rFonts w:ascii="Arial" w:hAnsi="Arial" w:eastAsia="Arial" w:cs="Arial"/>
          <w:color w:val="000000"/>
          <w:sz w:val="22"/>
          <w:szCs w:val="22"/>
          <w:lang w:val="en-US" w:eastAsia="en-US" w:bidi="en-US"/>
        </w:rPr>
        <w:t>pareil ?</w:t>
      </w:r>
    </w:p>
  </w:comment>
  <w:comment w:id="1" w:author="Damien Romito" w:date="2024-08-28T06:58:00Z" w:initials="">
    <w:p>
      <w:r>
        <w:rPr>
          <w:rFonts w:ascii="Arial" w:hAnsi="Arial" w:eastAsia="Arial" w:cs="Arial"/>
          <w:color w:val="000000"/>
          <w:sz w:val="22"/>
          <w:szCs w:val="22"/>
          <w:lang w:val="en-US" w:eastAsia="en-US" w:bidi="en-US"/>
        </w:rPr>
        <w:t>pareil ?</w:t>
      </w:r>
    </w:p>
  </w:comment>
  <w:comment w:id="2" w:author="Damien Romito" w:date="2024-08-28T06:58:00Z" w:initials="">
    <w:p>
      <w:r>
        <w:rPr>
          <w:rFonts w:ascii="Arial" w:hAnsi="Arial" w:eastAsia="Arial" w:cs="Arial"/>
          <w:color w:val="000000"/>
          <w:sz w:val="22"/>
          <w:szCs w:val="22"/>
          <w:lang w:val="en-US" w:eastAsia="en-US" w:bidi="en-US"/>
        </w:rPr>
        <w:t>il s'agit juste d'une année ex : 2023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OpenSymbol">
    <w:altName w:val="Arial Unicode MS"/>
    <w:charset w:val="01"/>
    <w:family w:val="roman"/>
    <w:pitch w:val="variable"/>
  </w:font>
  <w:font w:name="Wingdings">
    <w:charset w:val="01"/>
    <w:family w:val="roman"/>
    <w:pitch w:val="variable"/>
  </w:font>
  <w:font w:name="Symbol">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tabs>
        <w:tab w:val="clear" w:pos="720"/>
        <w:tab w:val="center" w:pos="4536" w:leader="none"/>
        <w:tab w:val="right" w:pos="9072" w:leader="none"/>
      </w:tabs>
      <w:spacing w:lineRule="auto" w:line="240" w:before="0" w:after="0"/>
      <w:ind w:left="0" w:right="0" w:hanging="0"/>
      <w:jc w:val="left"/>
      <w:rPr>
        <w:color w:val="000000"/>
        <w:highlight w:val="none"/>
        <w:shd w:fill="auto" w:val="clear"/>
      </w:rPr>
    </w:pPr>
    <w:r>
      <w:rPr>
        <w:rFonts w:eastAsia="Times New Roman" w:cs="Times New Roman" w:ascii="Times New Roman" w:hAnsi="Times New Roman"/>
        <w:color w:val="000000"/>
        <w:sz w:val="16"/>
        <w:szCs w:val="16"/>
        <w:shd w:fill="auto" w:val="clear"/>
      </w:rPr>
      <w:t>«Numéro_valide»</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Liberation Sans" w:cs="Liberation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1">
    <w:name w:val="Heading 1"/>
    <w:basedOn w:val="Standard"/>
    <w:next w:val="Standard"/>
    <w:qFormat/>
    <w:pPr>
      <w:keepNext w:val="true"/>
      <w:spacing w:before="240" w:after="0"/>
      <w:jc w:val="center"/>
      <w:outlineLvl w:val="0"/>
    </w:pPr>
    <w:rPr>
      <w:rFonts w:cs="Arial"/>
      <w:bCs/>
      <w:caps/>
    </w:rPr>
  </w:style>
  <w:style w:type="paragraph" w:styleId="Titre2">
    <w:name w:val="Heading 2"/>
    <w:basedOn w:val="Standard"/>
    <w:next w:val="Standard"/>
    <w:qFormat/>
    <w:pPr>
      <w:keepNext w:val="true"/>
      <w:spacing w:before="240" w:after="0"/>
      <w:jc w:val="center"/>
      <w:outlineLvl w:val="1"/>
    </w:pPr>
    <w:rPr>
      <w:bCs/>
      <w:iCs/>
      <w:smallCaps/>
    </w:rPr>
  </w:style>
  <w:style w:type="paragraph" w:styleId="Titre3">
    <w:name w:val="Heading 3"/>
    <w:basedOn w:val="Standard"/>
    <w:next w:val="Standard"/>
    <w:qFormat/>
    <w:pPr>
      <w:keepNext w:val="true"/>
      <w:spacing w:before="120" w:after="0"/>
      <w:jc w:val="center"/>
      <w:outlineLvl w:val="2"/>
    </w:pPr>
    <w:rPr>
      <w:rFonts w:cs="Arial"/>
      <w:bCs/>
      <w:szCs w:val="26"/>
    </w:rPr>
  </w:style>
  <w:style w:type="paragraph" w:styleId="Titre4">
    <w:name w:val="Heading 4"/>
    <w:basedOn w:val="Titre"/>
    <w:next w:val="Textbody"/>
    <w:qFormat/>
    <w:pPr>
      <w:outlineLvl w:val="3"/>
    </w:pPr>
    <w:rPr>
      <w:b/>
      <w:bCs/>
      <w:i/>
      <w:iCs/>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extenonproportionnel" w:customStyle="1">
    <w:name w:val="Texte non proportionnel"/>
    <w:qFormat/>
    <w:rPr>
      <w:rFonts w:ascii="Courier New" w:hAnsi="Courier New" w:eastAsia="NSimSun" w:cs="Courier New"/>
    </w:rPr>
  </w:style>
  <w:style w:type="character" w:styleId="Ancredenotedefin" w:customStyle="1">
    <w:name w:val="Ancre de note de fin"/>
    <w:rPr>
      <w:vertAlign w:val="superscript"/>
    </w:rPr>
  </w:style>
  <w:style w:type="character" w:styleId="EndnoteSymbol" w:customStyle="1">
    <w:name w:val="Endnote Symbol"/>
    <w:qFormat/>
    <w:rPr/>
  </w:style>
  <w:style w:type="character" w:styleId="Puces" w:customStyle="1">
    <w:name w:val="Puces"/>
    <w:qFormat/>
    <w:rPr>
      <w:rFonts w:ascii="OpenSymbol, 'Arial Unicode MS'" w:hAnsi="OpenSymbol, 'Arial Unicode MS'" w:eastAsia="OpenSymbol, 'Arial Unicode MS'" w:cs="OpenSymbol, 'Arial Unicode MS'"/>
    </w:rPr>
  </w:style>
  <w:style w:type="character" w:styleId="SNArticleCar" w:customStyle="1">
    <w:name w:val="SNArticle Car"/>
    <w:basedOn w:val="DefaultParagraphFont"/>
    <w:qFormat/>
    <w:rPr>
      <w:b/>
      <w:sz w:val="24"/>
      <w:szCs w:val="24"/>
      <w:lang w:val="fr-FR" w:bidi="ar-SA"/>
    </w:rPr>
  </w:style>
  <w:style w:type="character" w:styleId="SNDatearrtCar" w:customStyle="1">
    <w:name w:val="SNDate arrêté Car"/>
    <w:basedOn w:val="DefaultParagraphFont"/>
    <w:qFormat/>
    <w:rPr>
      <w:sz w:val="24"/>
      <w:szCs w:val="24"/>
      <w:lang w:val="fr-FR" w:bidi="ar-SA"/>
    </w:rPr>
  </w:style>
  <w:style w:type="character" w:styleId="SNTimbreCar" w:customStyle="1">
    <w:name w:val="SNTimbre Car"/>
    <w:basedOn w:val="DefaultParagraphFont"/>
    <w:qFormat/>
    <w:rPr>
      <w:rFonts w:eastAsia="Lucida Sans Unicode"/>
      <w:sz w:val="24"/>
      <w:szCs w:val="24"/>
      <w:lang w:val="fr-FR" w:bidi="ar-SA"/>
    </w:rPr>
  </w:style>
  <w:style w:type="character" w:styleId="WW8Num14z2" w:customStyle="1">
    <w:name w:val="WW8Num14z2"/>
    <w:qFormat/>
    <w:rPr>
      <w:rFonts w:ascii="Wingdings" w:hAnsi="Wingdings" w:eastAsia="Wingdings" w:cs="Wingdings"/>
    </w:rPr>
  </w:style>
  <w:style w:type="character" w:styleId="WW8Num14z1" w:customStyle="1">
    <w:name w:val="WW8Num14z1"/>
    <w:qFormat/>
    <w:rPr>
      <w:rFonts w:ascii="Courier New" w:hAnsi="Courier New" w:eastAsia="Courier New" w:cs="Courier New"/>
    </w:rPr>
  </w:style>
  <w:style w:type="character" w:styleId="WW8Num14z0" w:customStyle="1">
    <w:name w:val="WW8Num14z0"/>
    <w:qFormat/>
    <w:rPr>
      <w:rFonts w:ascii="Symbol" w:hAnsi="Symbol" w:eastAsia="Symbol" w:cs="Symbol"/>
    </w:rPr>
  </w:style>
  <w:style w:type="character" w:styleId="WW8Num12z2" w:customStyle="1">
    <w:name w:val="WW8Num12z2"/>
    <w:qFormat/>
    <w:rPr>
      <w:rFonts w:ascii="Wingdings" w:hAnsi="Wingdings" w:eastAsia="Wingdings" w:cs="Wingdings"/>
    </w:rPr>
  </w:style>
  <w:style w:type="character" w:styleId="WW8Num12z1" w:customStyle="1">
    <w:name w:val="WW8Num12z1"/>
    <w:qFormat/>
    <w:rPr>
      <w:rFonts w:ascii="Courier New" w:hAnsi="Courier New" w:eastAsia="Courier New" w:cs="Courier New"/>
    </w:rPr>
  </w:style>
  <w:style w:type="character" w:styleId="WW8Num12z0" w:customStyle="1">
    <w:name w:val="WW8Num12z0"/>
    <w:qFormat/>
    <w:rPr>
      <w:rFonts w:ascii="Symbol" w:hAnsi="Symbol" w:eastAsia="Symbol" w:cs="Symbol"/>
    </w:rPr>
  </w:style>
  <w:style w:type="character" w:styleId="WW8Num10z0" w:customStyle="1">
    <w:name w:val="WW8Num10z0"/>
    <w:qFormat/>
    <w:rPr>
      <w:rFonts w:ascii="Symbol" w:hAnsi="Symbol" w:eastAsia="Symbol" w:cs="Symbol"/>
    </w:rPr>
  </w:style>
  <w:style w:type="character" w:styleId="WW8Num8z0" w:customStyle="1">
    <w:name w:val="WW8Num8z0"/>
    <w:qFormat/>
    <w:rPr>
      <w:rFonts w:ascii="Symbol" w:hAnsi="Symbol" w:eastAsia="Symbol" w:cs="Symbol"/>
    </w:rPr>
  </w:style>
  <w:style w:type="character" w:styleId="WW8Num7z0" w:customStyle="1">
    <w:name w:val="WW8Num7z0"/>
    <w:qFormat/>
    <w:rPr>
      <w:rFonts w:ascii="Symbol" w:hAnsi="Symbol" w:eastAsia="Symbol" w:cs="Symbol"/>
    </w:rPr>
  </w:style>
  <w:style w:type="character" w:styleId="WW8Num6z0" w:customStyle="1">
    <w:name w:val="WW8Num6z0"/>
    <w:qFormat/>
    <w:rPr>
      <w:rFonts w:ascii="Symbol" w:hAnsi="Symbol" w:eastAsia="Symbol" w:cs="Symbol"/>
    </w:rPr>
  </w:style>
  <w:style w:type="character" w:styleId="WW8Num5z0" w:customStyle="1">
    <w:name w:val="WW8Num5z0"/>
    <w:qFormat/>
    <w:rPr>
      <w:rFonts w:ascii="Symbol" w:hAnsi="Symbol" w:eastAsia="Symbol" w:cs="Symbol"/>
    </w:rPr>
  </w:style>
  <w:style w:type="character" w:styleId="WWAbsatzStandardschriftart1111111111111111111111111111111" w:customStyle="1">
    <w:name w:val="WW-Absatz-Standardschriftart1111111111111111111111111111111"/>
    <w:qFormat/>
    <w:rPr/>
  </w:style>
  <w:style w:type="character" w:styleId="WWAbsatzStandardschriftart111111111111111111111111111111" w:customStyle="1">
    <w:name w:val="WW-Absatz-Standardschriftart111111111111111111111111111111"/>
    <w:qFormat/>
    <w:rPr/>
  </w:style>
  <w:style w:type="character" w:styleId="WWAbsatzStandardschriftart11111111111111111111111111111" w:customStyle="1">
    <w:name w:val="WW-Absatz-Standardschriftart11111111111111111111111111111"/>
    <w:qFormat/>
    <w:rPr/>
  </w:style>
  <w:style w:type="character" w:styleId="WWAbsatzStandardschriftart1111111111111111111111111111" w:customStyle="1">
    <w:name w:val="WW-Absatz-Standardschriftart1111111111111111111111111111"/>
    <w:qFormat/>
    <w:rPr/>
  </w:style>
  <w:style w:type="character" w:styleId="WWAbsatzStandardschriftart111111111111111111111111111" w:customStyle="1">
    <w:name w:val="WW-Absatz-Standardschriftart111111111111111111111111111"/>
    <w:qFormat/>
    <w:rPr/>
  </w:style>
  <w:style w:type="character" w:styleId="WWAbsatzStandardschriftart11111111111111111111111111" w:customStyle="1">
    <w:name w:val="WW-Absatz-Standardschriftart11111111111111111111111111"/>
    <w:qFormat/>
    <w:rPr/>
  </w:style>
  <w:style w:type="character" w:styleId="WWAbsatzStandardschriftart1111111111111111111111111" w:customStyle="1">
    <w:name w:val="WW-Absatz-Standardschriftart1111111111111111111111111"/>
    <w:qFormat/>
    <w:rPr/>
  </w:style>
  <w:style w:type="character" w:styleId="WWAbsatzStandardschriftart111111111111111111111111" w:customStyle="1">
    <w:name w:val="WW-Absatz-Standardschriftart111111111111111111111111"/>
    <w:qFormat/>
    <w:rPr/>
  </w:style>
  <w:style w:type="character" w:styleId="WWAbsatzStandardschriftart11111111111111111111111" w:customStyle="1">
    <w:name w:val="WW-Absatz-Standardschriftart11111111111111111111111"/>
    <w:qFormat/>
    <w:rPr/>
  </w:style>
  <w:style w:type="character" w:styleId="WWAbsatzStandardschriftart1111111111111111111111" w:customStyle="1">
    <w:name w:val="WW-Absatz-Standardschriftart1111111111111111111111"/>
    <w:qFormat/>
    <w:rPr/>
  </w:style>
  <w:style w:type="character" w:styleId="WWAbsatzStandardschriftart111111111111111111111" w:customStyle="1">
    <w:name w:val="WW-Absatz-Standardschriftart111111111111111111111"/>
    <w:qFormat/>
    <w:rPr/>
  </w:style>
  <w:style w:type="character" w:styleId="WWAbsatzStandardschriftart11111111111111111111" w:customStyle="1">
    <w:name w:val="WW-Absatz-Standardschriftart11111111111111111111"/>
    <w:qFormat/>
    <w:rPr/>
  </w:style>
  <w:style w:type="character" w:styleId="WWAbsatzStandardschriftart1111111111111111111" w:customStyle="1">
    <w:name w:val="WW-Absatz-Standardschriftart1111111111111111111"/>
    <w:qFormat/>
    <w:rPr/>
  </w:style>
  <w:style w:type="character" w:styleId="WWAbsatzStandardschriftart111111111111111111" w:customStyle="1">
    <w:name w:val="WW-Absatz-Standardschriftart111111111111111111"/>
    <w:qFormat/>
    <w:rPr/>
  </w:style>
  <w:style w:type="character" w:styleId="WWAbsatzStandardschriftart11111111111111111" w:customStyle="1">
    <w:name w:val="WW-Absatz-Standardschriftart11111111111111111"/>
    <w:qFormat/>
    <w:rPr/>
  </w:style>
  <w:style w:type="character" w:styleId="WWAbsatzStandardschriftart1111111111111111" w:customStyle="1">
    <w:name w:val="WW-Absatz-Standardschriftart1111111111111111"/>
    <w:qFormat/>
    <w:rPr/>
  </w:style>
  <w:style w:type="character" w:styleId="WWAbsatzStandardschriftart111111111111111" w:customStyle="1">
    <w:name w:val="WW-Absatz-Standardschriftart111111111111111"/>
    <w:qFormat/>
    <w:rPr/>
  </w:style>
  <w:style w:type="character" w:styleId="WWAbsatzStandardschriftart11111111111111" w:customStyle="1">
    <w:name w:val="WW-Absatz-Standardschriftart11111111111111"/>
    <w:qFormat/>
    <w:rPr/>
  </w:style>
  <w:style w:type="character" w:styleId="WWAbsatzStandardschriftart1111111111111" w:customStyle="1">
    <w:name w:val="WW-Absatz-Standardschriftart1111111111111"/>
    <w:qFormat/>
    <w:rPr/>
  </w:style>
  <w:style w:type="character" w:styleId="WWAbsatzStandardschriftart111111111111" w:customStyle="1">
    <w:name w:val="WW-Absatz-Standardschriftart111111111111"/>
    <w:qFormat/>
    <w:rPr/>
  </w:style>
  <w:style w:type="character" w:styleId="WWAbsatzStandardschriftart11111111111" w:customStyle="1">
    <w:name w:val="WW-Absatz-Standardschriftart11111111111"/>
    <w:qFormat/>
    <w:rPr/>
  </w:style>
  <w:style w:type="character" w:styleId="WWAbsatzStandardschriftart1111111111" w:customStyle="1">
    <w:name w:val="WW-Absatz-Standardschriftart1111111111"/>
    <w:qFormat/>
    <w:rPr/>
  </w:style>
  <w:style w:type="character" w:styleId="WWAbsatzStandardschriftart111111111" w:customStyle="1">
    <w:name w:val="WW-Absatz-Standardschriftart111111111"/>
    <w:qFormat/>
    <w:rPr/>
  </w:style>
  <w:style w:type="character" w:styleId="WWAbsatzStandardschriftart11111111" w:customStyle="1">
    <w:name w:val="WW-Absatz-Standardschriftart11111111"/>
    <w:qFormat/>
    <w:rPr/>
  </w:style>
  <w:style w:type="character" w:styleId="WWAbsatzStandardschriftart1111111" w:customStyle="1">
    <w:name w:val="WW-Absatz-Standardschriftart1111111"/>
    <w:qFormat/>
    <w:rPr/>
  </w:style>
  <w:style w:type="character" w:styleId="WWAbsatzStandardschriftart111111" w:customStyle="1">
    <w:name w:val="WW-Absatz-Standardschriftart111111"/>
    <w:qFormat/>
    <w:rPr/>
  </w:style>
  <w:style w:type="character" w:styleId="WWAbsatzStandardschriftart11111" w:customStyle="1">
    <w:name w:val="WW-Absatz-Standardschriftart11111"/>
    <w:qFormat/>
    <w:rPr/>
  </w:style>
  <w:style w:type="character" w:styleId="WWAbsatzStandardschriftart1111" w:customStyle="1">
    <w:name w:val="WW-Absatz-Standardschriftart1111"/>
    <w:qFormat/>
    <w:rPr/>
  </w:style>
  <w:style w:type="character" w:styleId="WWAbsatzStandardschriftart111" w:customStyle="1">
    <w:name w:val="WW-Absatz-Standardschriftart111"/>
    <w:qFormat/>
    <w:rPr/>
  </w:style>
  <w:style w:type="character" w:styleId="WWAbsatzStandardschriftart11" w:customStyle="1">
    <w:name w:val="WW-Absatz-Standardschriftart11"/>
    <w:qFormat/>
    <w:rPr/>
  </w:style>
  <w:style w:type="character" w:styleId="WWAbsatzStandardschriftart1" w:customStyle="1">
    <w:name w:val="WW-Absatz-Standardschriftart1"/>
    <w:qFormat/>
    <w:rPr/>
  </w:style>
  <w:style w:type="character" w:styleId="WWAbsatzStandardschriftart" w:customStyle="1">
    <w:name w:val="WW-Absatz-Standardschriftart"/>
    <w:qFormat/>
    <w:rPr/>
  </w:style>
  <w:style w:type="character" w:styleId="AbsatzStandardschriftart" w:customStyle="1">
    <w:name w:val="Absatz-Standardschriftart"/>
    <w:qFormat/>
    <w:rPr/>
  </w:style>
  <w:style w:type="character" w:styleId="WW8Num2z0" w:customStyle="1">
    <w:name w:val="WW8Num2z0"/>
    <w:qFormat/>
    <w:rPr>
      <w:rFonts w:ascii="Symbol" w:hAnsi="Symbol" w:eastAsia="Symbol" w:cs="OpenSymbol, 'Arial Unicode MS'"/>
    </w:rPr>
  </w:style>
  <w:style w:type="character" w:styleId="Ancredenotedebasdepage" w:customStyle="1">
    <w:name w:val="Ancre de note de bas de page"/>
    <w:rPr>
      <w:vertAlign w:val="superscript"/>
    </w:rPr>
  </w:style>
  <w:style w:type="character" w:styleId="FootnoteSymbol" w:customStyle="1">
    <w:name w:val="Footnote Symbol"/>
    <w:qFormat/>
    <w:rPr/>
  </w:style>
  <w:style w:type="character" w:styleId="EntteCar" w:customStyle="1">
    <w:name w:val="En-tête Car"/>
    <w:basedOn w:val="DefaultParagraphFont"/>
    <w:uiPriority w:val="99"/>
    <w:qFormat/>
    <w:rsid w:val="00052684"/>
    <w:rPr>
      <w:szCs w:val="21"/>
    </w:rPr>
  </w:style>
  <w:style w:type="character" w:styleId="PieddepageCar" w:customStyle="1">
    <w:name w:val="Pied de page Car"/>
    <w:basedOn w:val="DefaultParagraphFont"/>
    <w:uiPriority w:val="99"/>
    <w:qFormat/>
    <w:rsid w:val="00052684"/>
    <w:rPr>
      <w:szCs w:val="21"/>
    </w:rPr>
  </w:style>
  <w:style w:type="character" w:styleId="Accentuationforte">
    <w:name w:val="Accentuation forte"/>
    <w:qFormat/>
    <w:rPr>
      <w:b/>
      <w:bCs/>
    </w:rPr>
  </w:style>
  <w:style w:type="paragraph" w:styleId="Titre" w:customStyle="1">
    <w:name w:val="Titre"/>
    <w:basedOn w:val="Standard"/>
    <w:next w:val="Textbody"/>
    <w:qFormat/>
    <w:pPr>
      <w:keepNext w:val="true"/>
      <w:spacing w:before="240" w:after="120"/>
    </w:pPr>
    <w:rPr>
      <w:rFonts w:ascii="Liberation Sans" w:hAnsi="Liberation Sans" w:eastAsia="SimSun" w:cs="Mangal"/>
      <w:sz w:val="28"/>
      <w:szCs w:val="28"/>
    </w:rPr>
  </w:style>
  <w:style w:type="paragraph" w:styleId="Corpsdetexte">
    <w:name w:val="Body Text"/>
    <w:basedOn w:val="Normal"/>
    <w:pPr>
      <w:spacing w:lineRule="auto" w:line="276" w:before="0" w:after="140"/>
    </w:pPr>
    <w:rPr/>
  </w:style>
  <w:style w:type="paragraph" w:styleId="Liste">
    <w:name w:val="List"/>
    <w:basedOn w:val="Textbody"/>
    <w:pPr/>
    <w:rPr>
      <w:rFonts w:ascii="Liberation Sans" w:hAnsi="Liberation Sans" w:eastAsia="Liberation San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ascii="Liberation Sans" w:hAnsi="Liberation Sans" w:eastAsia="Liberation Sans" w:cs="Mangal"/>
    </w:rPr>
  </w:style>
  <w:style w:type="paragraph" w:styleId="LOnormal" w:default="1">
    <w:name w:val="LO-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zh-CN" w:bidi="ar-SA"/>
    </w:rPr>
  </w:style>
  <w:style w:type="paragraph" w:styleId="Textbody" w:customStyle="1">
    <w:name w:val="Text body"/>
    <w:basedOn w:val="Standard"/>
    <w:qFormat/>
    <w:pPr>
      <w:spacing w:before="0" w:after="120"/>
      <w:jc w:val="both"/>
    </w:pPr>
    <w:rPr/>
  </w:style>
  <w:style w:type="paragraph" w:styleId="Caption">
    <w:name w:val="caption"/>
    <w:basedOn w:val="Standard"/>
    <w:qFormat/>
    <w:pPr>
      <w:suppressLineNumbers/>
      <w:spacing w:before="120" w:after="120"/>
    </w:pPr>
    <w:rPr>
      <w:rFonts w:ascii="Liberation Sans" w:hAnsi="Liberation Sans" w:eastAsia="Liberation Sans" w:cs="Mangal"/>
      <w:i/>
      <w:iCs/>
    </w:rPr>
  </w:style>
  <w:style w:type="paragraph" w:styleId="MBlocTitre" w:customStyle="1">
    <w:name w:val="m-BlocTitre"/>
    <w:basedOn w:val="Standard"/>
    <w:qFormat/>
    <w:pPr>
      <w:jc w:val="center"/>
    </w:pPr>
    <w:rPr>
      <w:rFonts w:ascii="Liberation Serif" w:hAnsi="Liberation Serif" w:eastAsia="Liberation Serif" w:cs="Liberation Serif"/>
      <w:color w:val="808080"/>
      <w:w w:val="93"/>
      <w:sz w:val="22"/>
    </w:rPr>
  </w:style>
  <w:style w:type="paragraph" w:styleId="Texteprformat" w:customStyle="1">
    <w:name w:val="Texte préformaté"/>
    <w:basedOn w:val="Standard"/>
    <w:qFormat/>
    <w:pPr/>
    <w:rPr>
      <w:rFonts w:ascii="Courier New" w:hAnsi="Courier New" w:eastAsia="Courier New" w:cs="Courier New"/>
      <w:sz w:val="20"/>
      <w:szCs w:val="20"/>
    </w:rPr>
  </w:style>
  <w:style w:type="paragraph" w:styleId="Contenudetableau" w:customStyle="1">
    <w:name w:val="Contenu de tableau"/>
    <w:basedOn w:val="Standard"/>
    <w:qFormat/>
    <w:pPr>
      <w:suppressLineNumbers/>
    </w:pPr>
    <w:rPr/>
  </w:style>
  <w:style w:type="paragraph" w:styleId="Titredetableau" w:customStyle="1">
    <w:name w:val="Titre de tableau"/>
    <w:basedOn w:val="Contenudetableau"/>
    <w:qFormat/>
    <w:pPr>
      <w:jc w:val="center"/>
    </w:pPr>
    <w:rPr>
      <w:b/>
      <w:bCs/>
    </w:rPr>
  </w:style>
  <w:style w:type="paragraph" w:styleId="Titre3objet" w:customStyle="1">
    <w:name w:val="titre 3 objet"/>
    <w:basedOn w:val="Titre3"/>
    <w:next w:val="Standard"/>
    <w:qFormat/>
    <w:pPr>
      <w:spacing w:before="0" w:after="0"/>
    </w:pPr>
    <w:rPr>
      <w:b/>
      <w:szCs w:val="24"/>
    </w:rPr>
  </w:style>
  <w:style w:type="paragraph" w:styleId="Titre2objet" w:customStyle="1">
    <w:name w:val="Titre 2 objet"/>
    <w:basedOn w:val="Titre2"/>
    <w:next w:val="Standard"/>
    <w:qFormat/>
    <w:pPr>
      <w:spacing w:before="0" w:after="120"/>
    </w:pPr>
    <w:rPr>
      <w:b/>
    </w:rPr>
  </w:style>
  <w:style w:type="paragraph" w:styleId="TITRE1OBJET" w:customStyle="1">
    <w:name w:val="TITRE 1 OBJET"/>
    <w:basedOn w:val="Titre1"/>
    <w:next w:val="Standard"/>
    <w:qFormat/>
    <w:pPr>
      <w:spacing w:before="0" w:after="120"/>
    </w:pPr>
    <w:rPr>
      <w:b/>
    </w:rPr>
  </w:style>
  <w:style w:type="paragraph" w:styleId="BalloonText">
    <w:name w:val="Balloon Text"/>
    <w:basedOn w:val="Standard"/>
    <w:qFormat/>
    <w:pPr/>
    <w:rPr>
      <w:rFonts w:ascii="Tahoma" w:hAnsi="Tahoma" w:eastAsia="Tahoma" w:cs="Tahoma"/>
      <w:sz w:val="16"/>
      <w:szCs w:val="16"/>
    </w:rPr>
  </w:style>
  <w:style w:type="paragraph" w:styleId="SNSignature" w:customStyle="1">
    <w:name w:val="SNSignature"/>
    <w:basedOn w:val="Standard"/>
    <w:qFormat/>
    <w:pPr>
      <w:ind w:firstLine="720"/>
    </w:pPr>
    <w:rPr/>
  </w:style>
  <w:style w:type="paragraph" w:styleId="SNLibell" w:customStyle="1">
    <w:name w:val="SNLibellé"/>
    <w:basedOn w:val="Standard"/>
    <w:qFormat/>
    <w:pPr/>
    <w:rPr/>
  </w:style>
  <w:style w:type="paragraph" w:styleId="SNAdoption" w:customStyle="1">
    <w:name w:val="SNAdoption"/>
    <w:basedOn w:val="Standard"/>
    <w:qFormat/>
    <w:pPr/>
    <w:rPr/>
  </w:style>
  <w:style w:type="paragraph" w:styleId="SNTitreRapport" w:customStyle="1">
    <w:name w:val="SNTitreRapport"/>
    <w:basedOn w:val="SNActe"/>
    <w:qFormat/>
    <w:pPr/>
    <w:rPr/>
  </w:style>
  <w:style w:type="paragraph" w:styleId="SNIntitul" w:customStyle="1">
    <w:name w:val="SNIntitulé"/>
    <w:basedOn w:val="Standard"/>
    <w:qFormat/>
    <w:pPr>
      <w:jc w:val="center"/>
    </w:pPr>
    <w:rPr/>
  </w:style>
  <w:style w:type="paragraph" w:styleId="SNDirection" w:customStyle="1">
    <w:name w:val="SNDirection"/>
    <w:basedOn w:val="Standard"/>
    <w:qFormat/>
    <w:pPr>
      <w:spacing w:before="720" w:after="0"/>
      <w:jc w:val="center"/>
    </w:pPr>
    <w:rPr>
      <w:b/>
    </w:rPr>
  </w:style>
  <w:style w:type="paragraph" w:styleId="SNConsultationCM" w:customStyle="1">
    <w:name w:val="SNConsultationCM"/>
    <w:basedOn w:val="SNConsultation"/>
    <w:qFormat/>
    <w:pPr/>
    <w:rPr/>
  </w:style>
  <w:style w:type="paragraph" w:styleId="SNConsultationCE" w:customStyle="1">
    <w:name w:val="SNConsultationCE"/>
    <w:basedOn w:val="SNConsultation"/>
    <w:qFormat/>
    <w:pPr/>
    <w:rPr/>
  </w:style>
  <w:style w:type="paragraph" w:styleId="SNConsidrant" w:customStyle="1">
    <w:name w:val="SNConsidérant"/>
    <w:basedOn w:val="Standard"/>
    <w:qFormat/>
    <w:pPr>
      <w:ind w:firstLine="720"/>
    </w:pPr>
    <w:rPr/>
  </w:style>
  <w:style w:type="paragraph" w:styleId="SNArticle" w:customStyle="1">
    <w:name w:val="SNArticle"/>
    <w:basedOn w:val="Standard"/>
    <w:next w:val="Textbody"/>
    <w:qFormat/>
    <w:pPr>
      <w:spacing w:before="240" w:after="240"/>
      <w:jc w:val="center"/>
    </w:pPr>
    <w:rPr>
      <w:b/>
    </w:rPr>
  </w:style>
  <w:style w:type="paragraph" w:styleId="SNActe" w:customStyle="1">
    <w:name w:val="SNActe"/>
    <w:basedOn w:val="Standard"/>
    <w:qFormat/>
    <w:pPr>
      <w:spacing w:before="480" w:after="360"/>
      <w:jc w:val="center"/>
    </w:pPr>
    <w:rPr>
      <w:b/>
    </w:rPr>
  </w:style>
  <w:style w:type="paragraph" w:styleId="SNContreseing" w:customStyle="1">
    <w:name w:val="SNContreseing"/>
    <w:basedOn w:val="Standard"/>
    <w:next w:val="Standard"/>
    <w:qFormat/>
    <w:pPr>
      <w:spacing w:before="480" w:after="0"/>
      <w:ind w:firstLine="720"/>
    </w:pPr>
    <w:rPr/>
  </w:style>
  <w:style w:type="paragraph" w:styleId="SNDatearrt" w:customStyle="1">
    <w:name w:val="SNDate arrêté"/>
    <w:basedOn w:val="Standard"/>
    <w:next w:val="SNContreseing"/>
    <w:qFormat/>
    <w:pPr>
      <w:spacing w:before="480" w:after="1680"/>
      <w:ind w:firstLine="720"/>
    </w:pPr>
    <w:rPr/>
  </w:style>
  <w:style w:type="paragraph" w:styleId="SNVisa" w:customStyle="1">
    <w:name w:val="SNVisa"/>
    <w:basedOn w:val="Standard"/>
    <w:qFormat/>
    <w:pPr>
      <w:spacing w:before="120" w:after="120"/>
      <w:ind w:firstLine="720"/>
    </w:pPr>
    <w:rPr/>
  </w:style>
  <w:style w:type="paragraph" w:styleId="SNRapport" w:customStyle="1">
    <w:name w:val="SNRapport"/>
    <w:basedOn w:val="Standard"/>
    <w:qFormat/>
    <w:pPr>
      <w:spacing w:before="240" w:after="120"/>
      <w:ind w:firstLine="720"/>
    </w:pPr>
    <w:rPr/>
  </w:style>
  <w:style w:type="paragraph" w:styleId="SNTimbre" w:customStyle="1">
    <w:name w:val="SNTimbre"/>
    <w:basedOn w:val="Standard"/>
    <w:qFormat/>
    <w:pPr>
      <w:widowControl w:val="false"/>
      <w:snapToGrid w:val="false"/>
      <w:spacing w:before="120" w:after="0"/>
      <w:jc w:val="center"/>
    </w:pPr>
    <w:rPr>
      <w:rFonts w:eastAsia="Lucida Sans Unicode"/>
    </w:rPr>
  </w:style>
  <w:style w:type="paragraph" w:styleId="SNAutorit" w:customStyle="1">
    <w:name w:val="SNAutorité"/>
    <w:basedOn w:val="Standard"/>
    <w:qFormat/>
    <w:pPr>
      <w:spacing w:before="720" w:after="240"/>
      <w:ind w:firstLine="720"/>
    </w:pPr>
    <w:rPr>
      <w:b/>
    </w:rPr>
  </w:style>
  <w:style w:type="paragraph" w:styleId="SNNORCentr" w:customStyle="1">
    <w:name w:val="SNNOR+Centré"/>
    <w:next w:val="SNAutorit"/>
    <w:qFormat/>
    <w:pPr>
      <w:widowControl/>
      <w:suppressAutoHyphens w:val="true"/>
      <w:bidi w:val="0"/>
      <w:spacing w:before="0" w:after="0"/>
      <w:jc w:val="center"/>
    </w:pPr>
    <w:rPr>
      <w:rFonts w:ascii="Times New Roman" w:hAnsi="Times New Roman" w:eastAsia="Times New Roman" w:cs="Times New Roman"/>
      <w:bCs/>
      <w:color w:val="auto"/>
      <w:kern w:val="0"/>
      <w:sz w:val="24"/>
      <w:szCs w:val="20"/>
      <w:lang w:val="fr-FR" w:eastAsia="zh-CN" w:bidi="ar-SA"/>
    </w:rPr>
  </w:style>
  <w:style w:type="paragraph" w:styleId="SNtitre" w:customStyle="1">
    <w:name w:val="SNtitre"/>
    <w:basedOn w:val="Standard"/>
    <w:next w:val="SNNORCentr"/>
    <w:qFormat/>
    <w:pPr>
      <w:widowControl w:val="false"/>
      <w:suppressLineNumbers/>
      <w:spacing w:before="0" w:after="360"/>
      <w:jc w:val="center"/>
    </w:pPr>
    <w:rPr>
      <w:rFonts w:eastAsia="Lucida Sans Unicode"/>
      <w:b/>
    </w:rPr>
  </w:style>
  <w:style w:type="paragraph" w:styleId="SNNature" w:customStyle="1">
    <w:name w:val="SNNature"/>
    <w:basedOn w:val="Standard"/>
    <w:next w:val="SNtitre"/>
    <w:qFormat/>
    <w:pPr>
      <w:widowControl w:val="false"/>
      <w:suppressLineNumbers/>
      <w:spacing w:before="720" w:after="120"/>
      <w:jc w:val="center"/>
    </w:pPr>
    <w:rPr>
      <w:rFonts w:eastAsia="Lucida Sans Unicode"/>
      <w:b/>
      <w:bCs/>
    </w:rPr>
  </w:style>
  <w:style w:type="paragraph" w:styleId="SNConsultation" w:customStyle="1">
    <w:name w:val="SNConsultation"/>
    <w:basedOn w:val="Standard"/>
    <w:qFormat/>
    <w:pPr>
      <w:widowControl w:val="false"/>
      <w:spacing w:before="120" w:after="120"/>
      <w:ind w:firstLine="709"/>
      <w:jc w:val="both"/>
    </w:pPr>
    <w:rPr>
      <w:rFonts w:eastAsia="Lucida Sans Unicode"/>
    </w:rPr>
  </w:style>
  <w:style w:type="paragraph" w:styleId="Direction" w:customStyle="1">
    <w:name w:val="Direction"/>
    <w:basedOn w:val="Standard"/>
    <w:qFormat/>
    <w:pPr>
      <w:spacing w:before="720" w:after="0"/>
      <w:jc w:val="center"/>
    </w:pPr>
    <w:rPr>
      <w:b/>
    </w:rPr>
  </w:style>
  <w:style w:type="paragraph" w:styleId="Num3" w:customStyle="1">
    <w:name w:val="num3"/>
    <w:basedOn w:val="Standard"/>
    <w:qFormat/>
    <w:pPr>
      <w:widowControl w:val="false"/>
      <w:tabs>
        <w:tab w:val="clear" w:pos="720"/>
        <w:tab w:val="left" w:pos="5738" w:leader="none"/>
      </w:tabs>
      <w:spacing w:before="240" w:after="0"/>
      <w:ind w:left="2869" w:hanging="180"/>
    </w:pPr>
    <w:rPr>
      <w:rFonts w:eastAsia="Lucida Sans Unicode"/>
    </w:rPr>
  </w:style>
  <w:style w:type="paragraph" w:styleId="Num2" w:customStyle="1">
    <w:name w:val="num2"/>
    <w:basedOn w:val="Standard"/>
    <w:qFormat/>
    <w:pPr>
      <w:widowControl w:val="false"/>
      <w:tabs>
        <w:tab w:val="clear" w:pos="720"/>
        <w:tab w:val="left" w:pos="4298" w:leader="none"/>
      </w:tabs>
      <w:spacing w:before="240" w:after="0"/>
      <w:ind w:left="2149" w:hanging="360"/>
    </w:pPr>
    <w:rPr>
      <w:rFonts w:eastAsia="Lucida Sans Unicode"/>
    </w:rPr>
  </w:style>
  <w:style w:type="paragraph" w:styleId="Num1" w:customStyle="1">
    <w:name w:val="num1"/>
    <w:basedOn w:val="Standard"/>
    <w:qFormat/>
    <w:pPr>
      <w:widowControl w:val="false"/>
      <w:tabs>
        <w:tab w:val="clear" w:pos="720"/>
        <w:tab w:val="left" w:pos="2858" w:leader="none"/>
      </w:tabs>
      <w:spacing w:before="240" w:after="0"/>
      <w:ind w:left="1429" w:hanging="360"/>
    </w:pPr>
    <w:rPr>
      <w:rFonts w:eastAsia="Lucida Sans Unicode"/>
    </w:rPr>
  </w:style>
  <w:style w:type="paragraph" w:styleId="Puce3" w:customStyle="1">
    <w:name w:val="puce3"/>
    <w:basedOn w:val="Standard"/>
    <w:qFormat/>
    <w:pPr>
      <w:widowControl w:val="false"/>
      <w:tabs>
        <w:tab w:val="clear" w:pos="720"/>
        <w:tab w:val="left" w:pos="5738" w:leader="none"/>
      </w:tabs>
      <w:spacing w:before="240" w:after="0"/>
      <w:ind w:left="2869" w:hanging="360"/>
    </w:pPr>
    <w:rPr>
      <w:rFonts w:eastAsia="Lucida Sans Unicode"/>
    </w:rPr>
  </w:style>
  <w:style w:type="paragraph" w:styleId="Puce2" w:customStyle="1">
    <w:name w:val="puce2"/>
    <w:basedOn w:val="Standard"/>
    <w:qFormat/>
    <w:pPr>
      <w:widowControl w:val="false"/>
      <w:tabs>
        <w:tab w:val="clear" w:pos="720"/>
        <w:tab w:val="left" w:pos="4298" w:leader="none"/>
      </w:tabs>
      <w:spacing w:before="240" w:after="0"/>
      <w:ind w:left="2149" w:hanging="360"/>
    </w:pPr>
    <w:rPr>
      <w:rFonts w:eastAsia="Lucida Sans Unicode"/>
    </w:rPr>
  </w:style>
  <w:style w:type="paragraph" w:styleId="Puce1" w:customStyle="1">
    <w:name w:val="puce1"/>
    <w:basedOn w:val="Standard"/>
    <w:qFormat/>
    <w:pPr>
      <w:widowControl w:val="false"/>
      <w:tabs>
        <w:tab w:val="clear" w:pos="720"/>
        <w:tab w:val="left" w:pos="2858" w:leader="none"/>
      </w:tabs>
      <w:spacing w:before="240" w:after="0"/>
      <w:ind w:left="1429" w:hanging="360"/>
    </w:pPr>
    <w:rPr>
      <w:rFonts w:eastAsia="Lucida Sans Unicode"/>
    </w:rPr>
  </w:style>
  <w:style w:type="paragraph" w:styleId="Ministre" w:customStyle="1">
    <w:name w:val="Ministère"/>
    <w:basedOn w:val="Textbody"/>
    <w:qFormat/>
    <w:pPr>
      <w:widowControl w:val="false"/>
      <w:snapToGrid w:val="false"/>
      <w:spacing w:before="120" w:after="0"/>
      <w:jc w:val="center"/>
    </w:pPr>
    <w:rPr>
      <w:rFonts w:eastAsia="Lucida Sans Unicode"/>
    </w:rPr>
  </w:style>
  <w:style w:type="paragraph" w:styleId="SNREPUBLIQUE" w:customStyle="1">
    <w:name w:val="SNREPUBLIQUE"/>
    <w:basedOn w:val="Standard"/>
    <w:qFormat/>
    <w:pPr>
      <w:jc w:val="center"/>
    </w:pPr>
    <w:rPr>
      <w:b/>
      <w:bCs/>
      <w:szCs w:val="20"/>
    </w:rPr>
  </w:style>
  <w:style w:type="paragraph" w:styleId="Footnote" w:customStyle="1">
    <w:name w:val="Footnote"/>
    <w:basedOn w:val="Standard"/>
    <w:qFormat/>
    <w:pPr>
      <w:suppressLineNumbers/>
      <w:ind w:left="339" w:hanging="339"/>
    </w:pPr>
    <w:rPr>
      <w:sz w:val="20"/>
      <w:szCs w:val="20"/>
    </w:rPr>
  </w:style>
  <w:style w:type="paragraph" w:styleId="ListParagraph">
    <w:name w:val="List Paragraph"/>
    <w:basedOn w:val="LOnormal"/>
    <w:uiPriority w:val="34"/>
    <w:qFormat/>
    <w:rsid w:val="00052684"/>
    <w:pPr>
      <w:widowControl/>
      <w:suppressAutoHyphens w:val="false"/>
      <w:spacing w:lineRule="auto" w:line="259" w:before="0" w:after="160"/>
      <w:ind w:left="720" w:hanging="0"/>
      <w:contextualSpacing/>
      <w:textAlignment w:val="auto"/>
    </w:pPr>
    <w:rPr>
      <w:rFonts w:ascii="Calibri" w:hAnsi="Calibri" w:eastAsia="Calibri" w:cs="" w:asciiTheme="minorHAnsi" w:cstheme="minorBidi" w:eastAsiaTheme="minorHAnsi" w:hAnsiTheme="minorHAnsi"/>
      <w:kern w:val="0"/>
      <w:sz w:val="22"/>
      <w:szCs w:val="22"/>
      <w:lang w:eastAsia="en-US" w:bidi="ar-SA"/>
    </w:rPr>
  </w:style>
  <w:style w:type="paragraph" w:styleId="Entteetpieddepage">
    <w:name w:val="En-tête et pied de page"/>
    <w:basedOn w:val="Normal"/>
    <w:qFormat/>
    <w:pPr/>
    <w:rPr/>
  </w:style>
  <w:style w:type="paragraph" w:styleId="Entte">
    <w:name w:val="Header"/>
    <w:basedOn w:val="LOnormal"/>
    <w:link w:val="EntteCar"/>
    <w:uiPriority w:val="99"/>
    <w:unhideWhenUsed/>
    <w:rsid w:val="00052684"/>
    <w:pPr>
      <w:tabs>
        <w:tab w:val="clear" w:pos="720"/>
        <w:tab w:val="center" w:pos="4536" w:leader="none"/>
        <w:tab w:val="right" w:pos="9072" w:leader="none"/>
      </w:tabs>
    </w:pPr>
    <w:rPr>
      <w:szCs w:val="21"/>
    </w:rPr>
  </w:style>
  <w:style w:type="paragraph" w:styleId="Pieddepage">
    <w:name w:val="Footer"/>
    <w:basedOn w:val="LOnormal"/>
    <w:link w:val="PieddepageCar"/>
    <w:uiPriority w:val="99"/>
    <w:unhideWhenUsed/>
    <w:rsid w:val="00052684"/>
    <w:pPr>
      <w:tabs>
        <w:tab w:val="clear" w:pos="720"/>
        <w:tab w:val="center" w:pos="4536" w:leader="none"/>
        <w:tab w:val="right" w:pos="9072" w:leader="none"/>
      </w:tabs>
    </w:pPr>
    <w:rPr>
      <w:szCs w:val="21"/>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udecadre">
    <w:name w:val="Contenu de cadre"/>
    <w:basedOn w:val="Normal"/>
    <w:qFormat/>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872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KSrI0aGN3xPouJX5Wdwl7RVRBrg==">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63</TotalTime>
  <Application>LibreOffice/7.3.7.2$Linux_X86_64 LibreOffice_project/30$Build-2</Application>
  <AppVersion>15.0000</AppVersion>
  <Pages>2</Pages>
  <Words>524</Words>
  <Characters>2852</Characters>
  <CharactersWithSpaces>3342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2024-08-21T14:18:00Z</dcterms:created>
  <dc:creator>CAILLOU Guillaume</dc:creator>
  <dc:description/>
  <dc:language>fr-FR</dc:language>
  <cp:lastModifiedBy/>
  <dcterms:modified xsi:type="dcterms:W3CDTF">2025-01-06T17:12:08Z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