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Changement d’actionnariat pour 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sollicitez un changement d’actionnariat en faveur de la société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{nouvelActionnaire}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{referenceParagrapheActionnaire} du cahier des charges de l’appel d’offres cité en objet indique :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{contenuParagrapheActionnaire}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j’ai l’honneur de vous informer que j’autorise à titre exceptionnel le changement d’actionnariat demandé. La société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[Nom du nouvel actionnaire]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immatriculée au RCS sous le numéro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[numéro RCS]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est donc le nouvel actionnaire / et compte-tenu des éléments précédents, je suis au regret de ne pas donner de suite favorable à votre demande.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-152398</wp:posOffset>
          </wp:positionH>
          <wp:positionV relativeFrom="paragraph">
            <wp:posOffset>-342898</wp:posOffset>
          </wp:positionV>
          <wp:extent cx="1846580" cy="150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2D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2E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2F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0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Ps2WcLGna8uYtnszv/8YEJlUg==">AMUW2mWUa7oyG2ZeSGRLLjvM7QEta7FEctJCAbTNYWy6m7Fz27upXmkM5qJycf2qoXCGYFw1LM0CeOAirhSx7ReT8T7f+igV/eE5wulXF+7ESW2Nt9cbuAcCbAM+JehtcXHb6MiHtR9O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