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282f3e"/>
          <w:sz w:val="68"/>
          <w:szCs w:val="68"/>
        </w:rPr>
      </w:pPr>
      <w:r w:rsidDel="00000000" w:rsidR="00000000" w:rsidRPr="00000000">
        <w:rPr>
          <w:rFonts w:ascii="Arial" w:cs="Arial" w:eastAsia="Arial" w:hAnsi="Arial"/>
          <w:b w:val="1"/>
          <w:color w:val="282f3e"/>
          <w:sz w:val="68"/>
          <w:szCs w:val="68"/>
          <w:rtl w:val="0"/>
        </w:rPr>
        <w:t xml:space="preserve">Briefing de mission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51515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51515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15151"/>
          <w:sz w:val="18"/>
          <w:szCs w:val="18"/>
        </w:rPr>
        <mc:AlternateContent>
          <mc:Choice Requires="wpg">
            <w:drawing>
              <wp:inline distB="0" distT="0" distL="0" distR="0">
                <wp:extent cx="6774872" cy="735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6939" y="3780000"/>
                          <a:ext cx="6738122" cy="0"/>
                        </a:xfrm>
                        <a:prstGeom prst="straightConnector1">
                          <a:avLst/>
                        </a:prstGeom>
                        <a:noFill/>
                        <a:ln cap="flat" cmpd="sng" w="36750">
                          <a:solidFill>
                            <a:srgbClr val="33333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74872" cy="73500"/>
                <wp:effectExtent b="0" l="0" r="0" t="0"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4872" cy="7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  <w:color w:val="515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  <w:color w:val="51515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Diffusion limitée aux seules unités/personnes concernées par ce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5.0" w:type="dxa"/>
        <w:jc w:val="left"/>
        <w:tblLayout w:type="fixed"/>
        <w:tblLook w:val="0000"/>
      </w:tblPr>
      <w:tblGrid>
        <w:gridCol w:w="3291"/>
        <w:gridCol w:w="7484"/>
        <w:tblGridChange w:id="0">
          <w:tblGrid>
            <w:gridCol w:w="3291"/>
            <w:gridCol w:w="7484"/>
          </w:tblGrid>
        </w:tblGridChange>
      </w:tblGrid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6"/>
                <w:szCs w:val="26"/>
                <w:rtl w:val="0"/>
              </w:rPr>
              <w:t xml:space="preserve">Unités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1"/>
                <w:szCs w:val="21"/>
                <w:rtl w:val="0"/>
              </w:rPr>
              <w:t xml:space="preserve">${controlUnits}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6"/>
                <w:szCs w:val="26"/>
                <w:rtl w:val="0"/>
              </w:rPr>
              <w:t xml:space="preserve">Zones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${totalRegulatoryAreasText}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${totalAmpsText}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${totalVigilanceAreasText}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6"/>
                <w:szCs w:val="26"/>
                <w:rtl w:val="0"/>
              </w:rPr>
              <w:t xml:space="preserve">Signalements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${totalReportingsText}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6"/>
                <w:szCs w:val="26"/>
                <w:rtl w:val="0"/>
              </w:rPr>
              <w:t xml:space="preserve">Commentaires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Open Sans" w:cs="Open Sans" w:eastAsia="Open Sans" w:hAnsi="Open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1"/>
                <w:szCs w:val="21"/>
                <w:rtl w:val="0"/>
              </w:rPr>
              <w:t xml:space="preserve">${comments}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5.0" w:type="dxa"/>
        <w:jc w:val="left"/>
        <w:tblLayout w:type="fixed"/>
        <w:tblLook w:val="0000"/>
      </w:tblPr>
      <w:tblGrid>
        <w:gridCol w:w="3291"/>
        <w:gridCol w:w="7484"/>
        <w:tblGridChange w:id="0">
          <w:tblGrid>
            <w:gridCol w:w="3291"/>
            <w:gridCol w:w="7484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Légicem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465a4"/>
                <w:sz w:val="18"/>
                <w:szCs w:val="18"/>
                <w:u w:val="single"/>
                <w:rtl w:val="0"/>
              </w:rPr>
              <w:t xml:space="preserve">https://extranet.legicem.metier.developpement-durable.gouv.fr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  <w:color w:val="3465a4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${legicemId}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Mot de passe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 ${legicemPassword}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Monitor Ext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465a4"/>
                <w:sz w:val="18"/>
                <w:szCs w:val="18"/>
                <w:u w:val="single"/>
                <w:rtl w:val="0"/>
              </w:rPr>
              <w:t xml:space="preserve">https://monitorenv.din.developpement-durable.gouv.fr/ext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color w:val="3465a4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${monitorExtId}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Mot de passe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${monitorExtPassword}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369908</wp:posOffset>
                </wp:positionH>
                <wp:positionV relativeFrom="page">
                  <wp:posOffset>8826065</wp:posOffset>
                </wp:positionV>
                <wp:extent cx="6756497" cy="36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6939" y="3780000"/>
                          <a:ext cx="6738122" cy="0"/>
                        </a:xfrm>
                        <a:prstGeom prst="straightConnector1">
                          <a:avLst/>
                        </a:prstGeom>
                        <a:noFill/>
                        <a:ln cap="flat" cmpd="sng" w="183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369908</wp:posOffset>
                </wp:positionH>
                <wp:positionV relativeFrom="page">
                  <wp:posOffset>8826065</wp:posOffset>
                </wp:positionV>
                <wp:extent cx="6756497" cy="3675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6497" cy="3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502920</wp:posOffset>
            </wp:positionH>
            <wp:positionV relativeFrom="page">
              <wp:posOffset>9135570</wp:posOffset>
            </wp:positionV>
            <wp:extent cx="923726" cy="923726"/>
            <wp:effectExtent b="0" l="0" r="0" t="0"/>
            <wp:wrapNone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726" cy="923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10775.0" w:type="dxa"/>
        <w:jc w:val="left"/>
        <w:tblLayout w:type="fixed"/>
        <w:tblLook w:val="0000"/>
      </w:tblPr>
      <w:tblGrid>
        <w:gridCol w:w="1671"/>
        <w:gridCol w:w="5454"/>
        <w:gridCol w:w="3650"/>
        <w:tblGridChange w:id="0">
          <w:tblGrid>
            <w:gridCol w:w="1671"/>
            <w:gridCol w:w="5454"/>
            <w:gridCol w:w="3650"/>
          </w:tblGrid>
        </w:tblGridChange>
      </w:tblGrid>
      <w:tr>
        <w:trPr>
          <w:cantSplit w:val="1"/>
          <w:trHeight w:val="60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        Référence : ${briefName}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02 90 74 32 55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465a4"/>
                <w:sz w:val="18"/>
                <w:szCs w:val="18"/>
                <w:u w:val="single"/>
                <w:rtl w:val="0"/>
              </w:rPr>
              <w:t xml:space="preserve">cacem@mer.gouv.fr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4.0" w:type="dxa"/>
              <w:left w:w="54.0" w:type="dxa"/>
              <w:bottom w:w="54.0" w:type="dxa"/>
              <w:right w:w="54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                                    Édité le ${editedAt}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282f3e"/>
          <w:sz w:val="40"/>
          <w:szCs w:val="40"/>
          <w:rtl w:val="0"/>
        </w:rPr>
        <w:t xml:space="preserve">Récapitulatif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${globalMap}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Zones</w:t>
      </w:r>
      <w:r w:rsidDel="00000000" w:rsidR="00000000" w:rsidRPr="00000000">
        <w:rPr>
          <w:rFonts w:ascii="Arial" w:cs="Arial" w:eastAsia="Arial" w:hAnsi="Arial"/>
          <w:color w:val="515151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22"/>
          <w:szCs w:val="22"/>
          <w:rtl w:val="0"/>
        </w:rPr>
        <w:t xml:space="preserve">${totalZones} sélectionnées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${regulatoryAreasTable}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${ampsAndVigilanceAreasTables}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282f3e"/>
          <w:sz w:val="40"/>
          <w:szCs w:val="40"/>
          <w:rtl w:val="0"/>
        </w:rPr>
        <w:t xml:space="preserve">Activité récente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82f3e"/>
          <w:sz w:val="18"/>
          <w:szCs w:val="18"/>
          <w:rtl w:val="0"/>
        </w:rPr>
        <w:t xml:space="preserve">${recentActivityPeriod}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1f2328"/>
          <w:sz w:val="18"/>
          <w:szCs w:val="18"/>
          <w:highlight w:val="white"/>
          <w:rtl w:val="0"/>
        </w:rPr>
        <w:t xml:space="preserve">Les cercles représentent les actions de contrôle. Une action de contrôle est un ensemble de contrôles réalisés sur plusieurs cibles de même type, à une seule et même localisation, sur une thématique/sous thématique donnée (ex : un contrôle mouillage de 30 navires au même endroit).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i w:val="1"/>
          <w:color w:val="282f3e"/>
          <w:sz w:val="39"/>
          <w:szCs w:val="3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4.0" w:type="dxa"/>
        <w:jc w:val="left"/>
        <w:tblInd w:w="-5.0" w:type="dxa"/>
        <w:tblLayout w:type="fixed"/>
        <w:tblLook w:val="0000"/>
      </w:tblPr>
      <w:tblGrid>
        <w:gridCol w:w="130"/>
        <w:gridCol w:w="504"/>
        <w:gridCol w:w="130"/>
        <w:gridCol w:w="618"/>
        <w:gridCol w:w="130"/>
        <w:gridCol w:w="669"/>
        <w:gridCol w:w="130"/>
        <w:gridCol w:w="669"/>
        <w:gridCol w:w="130"/>
        <w:gridCol w:w="618"/>
        <w:gridCol w:w="130"/>
        <w:gridCol w:w="670"/>
        <w:gridCol w:w="130"/>
        <w:gridCol w:w="787"/>
        <w:gridCol w:w="781"/>
        <w:gridCol w:w="621"/>
        <w:gridCol w:w="3927"/>
        <w:tblGridChange w:id="0">
          <w:tblGrid>
            <w:gridCol w:w="130"/>
            <w:gridCol w:w="504"/>
            <w:gridCol w:w="130"/>
            <w:gridCol w:w="618"/>
            <w:gridCol w:w="130"/>
            <w:gridCol w:w="669"/>
            <w:gridCol w:w="130"/>
            <w:gridCol w:w="669"/>
            <w:gridCol w:w="130"/>
            <w:gridCol w:w="618"/>
            <w:gridCol w:w="130"/>
            <w:gridCol w:w="670"/>
            <w:gridCol w:w="130"/>
            <w:gridCol w:w="787"/>
            <w:gridCol w:w="781"/>
            <w:gridCol w:w="621"/>
            <w:gridCol w:w="392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14"/>
            <w:tcBorders>
              <w:top w:color="cccfd6" w:space="0" w:sz="4" w:val="single"/>
              <w:left w:color="cccfd6" w:space="0" w:sz="4" w:val="single"/>
              <w:bottom w:color="cccfd6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Proportion d’infraction</w:t>
            </w:r>
          </w:p>
        </w:tc>
        <w:tc>
          <w:tcPr>
            <w:gridSpan w:val="3"/>
            <w:tcBorders>
              <w:top w:color="cccfd6" w:space="0" w:sz="4" w:val="single"/>
              <w:left w:color="cccfd6" w:space="0" w:sz="4" w:val="single"/>
              <w:bottom w:color="cccfd6" w:space="0" w:sz="4" w:val="single"/>
              <w:right w:color="cccfd6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Nombre de contrôle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cccfd6" w:space="0" w:sz="4" w:val="single"/>
              <w:bottom w:color="cccfd6" w:space="0" w:sz="4" w:val="single"/>
            </w:tcBorders>
            <w:shd w:fill="92bc00" w:val="clea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Arial" w:cs="Arial" w:eastAsia="Arial" w:hAnsi="Arial"/>
                <w:color w:val="707785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707785"/>
                <w:sz w:val="14"/>
                <w:szCs w:val="14"/>
                <w:rtl w:val="0"/>
              </w:rPr>
              <w:t xml:space="preserve">0-5%</w:t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shd w:fill="f0c000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Arial" w:cs="Arial" w:eastAsia="Arial" w:hAnsi="Arial"/>
                <w:color w:val="707785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707785"/>
                <w:sz w:val="14"/>
                <w:szCs w:val="14"/>
                <w:rtl w:val="0"/>
              </w:rPr>
              <w:t xml:space="preserve">6-10%</w:t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shd w:fill="d98f00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Arial" w:cs="Arial" w:eastAsia="Arial" w:hAnsi="Arial"/>
                <w:color w:val="707785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707785"/>
                <w:sz w:val="14"/>
                <w:szCs w:val="14"/>
                <w:rtl w:val="0"/>
              </w:rPr>
              <w:t xml:space="preserve">11-25%</w:t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shd w:fill="be6100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Arial" w:cs="Arial" w:eastAsia="Arial" w:hAnsi="Arial"/>
                <w:color w:val="707785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707785"/>
                <w:sz w:val="14"/>
                <w:szCs w:val="14"/>
                <w:rtl w:val="0"/>
              </w:rPr>
              <w:t xml:space="preserve">26-50%</w:t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shd w:fill="a03316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Arial" w:cs="Arial" w:eastAsia="Arial" w:hAnsi="Arial"/>
                <w:color w:val="707785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707785"/>
                <w:sz w:val="14"/>
                <w:szCs w:val="14"/>
                <w:rtl w:val="0"/>
              </w:rPr>
              <w:t xml:space="preserve">51-75%</w:t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shd w:fill="760035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Arial" w:cs="Arial" w:eastAsia="Arial" w:hAnsi="Arial"/>
                <w:color w:val="707785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707785"/>
                <w:sz w:val="14"/>
                <w:szCs w:val="14"/>
                <w:rtl w:val="0"/>
              </w:rPr>
              <w:t xml:space="preserve">76-90%</w:t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shd w:fill="440b3a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Arial" w:cs="Arial" w:eastAsia="Arial" w:hAnsi="Arial"/>
                <w:color w:val="707785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Arial" w:cs="Arial" w:eastAsia="Arial" w:hAnsi="Arial"/>
                <w:color w:val="707785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707785"/>
                <w:sz w:val="14"/>
                <w:szCs w:val="14"/>
                <w:rtl w:val="0"/>
              </w:rPr>
              <w:t xml:space="preserve">91-100%</w:t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707785"/>
                <w:sz w:val="14"/>
                <w:szCs w:val="14"/>
              </w:rPr>
              <w:drawing>
                <wp:inline distB="0" distT="0" distL="0" distR="0">
                  <wp:extent cx="142875" cy="142875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color w:val="707785"/>
                <w:sz w:val="14"/>
                <w:szCs w:val="14"/>
                <w:rtl w:val="0"/>
              </w:rPr>
              <w:t xml:space="preserve"> 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707785"/>
                <w:sz w:val="14"/>
                <w:szCs w:val="14"/>
              </w:rPr>
              <w:drawing>
                <wp:inline distB="0" distT="0" distL="0" distR="0">
                  <wp:extent cx="85725" cy="85725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color w:val="707785"/>
                <w:sz w:val="14"/>
                <w:szCs w:val="14"/>
                <w:rtl w:val="0"/>
              </w:rPr>
              <w:t xml:space="preserve">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  <w:right w:color="cccfd6" w:space="0" w:sz="4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</w:rPr>
              <w:drawing>
                <wp:inline distB="0" distT="0" distL="0" distR="0">
                  <wp:extent cx="42545" cy="42545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" cy="425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707785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16"/>
          <w:szCs w:val="16"/>
          <w:rtl w:val="0"/>
        </w:rPr>
        <w:t xml:space="preserve">${recentActivityDetails}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282f3e"/>
          <w:sz w:val="40"/>
          <w:szCs w:val="40"/>
          <w:rtl w:val="0"/>
        </w:rPr>
        <w:t xml:space="preserve">Unités proches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Les unités présentes sont seulement celles qui ont déclaré des actions de contrôle ou de surveillance.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 décompte des actions (contrôles, infractions et PV) est uniquement ceux présents dans le périmètre de la mission, et non le nombre total effectué lors de la mission.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Actuellement sur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16"/>
          <w:szCs w:val="16"/>
          <w:rtl w:val="0"/>
        </w:rPr>
        <w:t xml:space="preserve">${unitsCurrentlyInArea}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Récemment sur zone </w:t>
      </w:r>
      <w:r w:rsidDel="00000000" w:rsidR="00000000" w:rsidRPr="00000000">
        <w:rPr>
          <w:rFonts w:ascii="Arial" w:cs="Arial" w:eastAsia="Arial" w:hAnsi="Arial"/>
          <w:b w:val="1"/>
          <w:color w:val="282f3e"/>
          <w:sz w:val="16"/>
          <w:szCs w:val="16"/>
          <w:rtl w:val="0"/>
        </w:rPr>
        <w:t xml:space="preserve">${nearbyUnitsDateRange}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16"/>
          <w:szCs w:val="16"/>
          <w:rtl w:val="0"/>
        </w:rPr>
        <w:t xml:space="preserve">${unitsRecentlyInArea}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282f3e"/>
          <w:sz w:val="32"/>
          <w:szCs w:val="32"/>
          <w:rtl w:val="0"/>
        </w:rPr>
        <w:t xml:space="preserve">Bientôt sur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1"/>
          <w:color w:val="282f3e"/>
          <w:sz w:val="18"/>
          <w:szCs w:val="18"/>
          <w:rtl w:val="0"/>
        </w:rPr>
        <w:t xml:space="preserve">Ne figurent dans cette section que les missions déclarées au CACEM, c’est-à-dire une minorité.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16"/>
          <w:szCs w:val="16"/>
          <w:rtl w:val="0"/>
        </w:rPr>
        <w:t xml:space="preserve">${unitsToBeInArea}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0"/>
          <w:i w:val="1"/>
          <w:color w:val="282f3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Signalements (détails)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${totalReportings} sélectionnés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Les signalements sont des remontées d'informations ponctuelles faites par le terrain (unités, sémaphores...).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Ils peuvent concerner des suspicions d'infractions ou des observations et appellent à une prise en compte rapide.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4875"/>
        <w:gridCol w:w="495"/>
        <w:gridCol w:w="4920"/>
        <w:tblGridChange w:id="0">
          <w:tblGrid>
            <w:gridCol w:w="465"/>
            <w:gridCol w:w="4875"/>
            <w:gridCol w:w="495"/>
            <w:gridCol w:w="492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e5e5eb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5">
            <w:pPr>
              <w:spacing w:before="240" w:line="18" w:lineRule="auto"/>
              <w:rPr>
                <w:rFonts w:ascii="Arial" w:cs="Arial" w:eastAsia="Arial" w:hAnsi="Arial"/>
                <w:b w:val="1"/>
                <w:color w:val="70778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07785"/>
                <w:sz w:val="18"/>
                <w:szCs w:val="18"/>
                <w:rtl w:val="0"/>
              </w:rPr>
              <w:t xml:space="preserve">Signalements en cours</w:t>
            </w:r>
          </w:p>
        </w:tc>
        <w:tc>
          <w:tcPr>
            <w:gridSpan w:val="2"/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cccfd6" w:space="0" w:sz="6" w:val="single"/>
            </w:tcBorders>
            <w:shd w:fill="e5e5eb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7">
            <w:pPr>
              <w:spacing w:before="240" w:line="18" w:lineRule="auto"/>
              <w:rPr>
                <w:rFonts w:ascii="Arial" w:cs="Arial" w:eastAsia="Arial" w:hAnsi="Arial"/>
                <w:b w:val="1"/>
                <w:color w:val="70778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07785"/>
                <w:sz w:val="18"/>
                <w:szCs w:val="18"/>
                <w:rtl w:val="0"/>
              </w:rPr>
              <w:t xml:space="preserve">Signalements archivés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33106" cy="187914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06" cy="1879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A">
            <w:pPr>
              <w:spacing w:before="240" w:line="18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Observation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43351" cy="1905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51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C">
            <w:pPr>
              <w:spacing w:before="240" w:line="18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Observation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27000" cy="185615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85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E">
            <w:pPr>
              <w:spacing w:before="240" w:line="18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Suspicion d’infraction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42275" cy="186736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75" cy="186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90">
            <w:pPr>
              <w:spacing w:before="240" w:line="18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Suspicion d’infraction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33833" cy="18894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33" cy="1889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spacing w:before="240" w:line="18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Rattaché à une mission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41320" cy="188427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0" cy="1884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94">
            <w:pPr>
              <w:spacing w:before="240" w:line="18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Rattaché à une mission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16"/>
          <w:szCs w:val="16"/>
          <w:rtl w:val="0"/>
        </w:rPr>
        <w:t xml:space="preserve">${reportingsDetails}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color w:val="51515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Zones de vigilance</w:t>
      </w:r>
      <w:r w:rsidDel="00000000" w:rsidR="00000000" w:rsidRPr="00000000">
        <w:rPr>
          <w:rFonts w:ascii="Arial" w:cs="Arial" w:eastAsia="Arial" w:hAnsi="Arial"/>
          <w:color w:val="51515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${totalVigilanceAreas} sélectionnées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Une zone de vigilance permet d'orienter les contrôles en attirant l'attention et rappelant des informations utiles sur un endroit / une période donnés.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Les informations consignées dans les ZV ont – contrairement aux signalements – une validité dans le temps plus longue ou récurrente.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${vigilanceAreasDetails}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Zones réglementaires</w:t>
      </w:r>
      <w:r w:rsidDel="00000000" w:rsidR="00000000" w:rsidRPr="00000000">
        <w:rPr>
          <w:rFonts w:ascii="Arial" w:cs="Arial" w:eastAsia="Arial" w:hAnsi="Arial"/>
          <w:color w:val="51515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${totalRegulatoryAreas} sélectionnées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${regulatoryAreasDetails}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Aires marines protégées</w:t>
      </w:r>
      <w:r w:rsidDel="00000000" w:rsidR="00000000" w:rsidRPr="00000000">
        <w:rPr>
          <w:rFonts w:ascii="Arial" w:cs="Arial" w:eastAsia="Arial" w:hAnsi="Arial"/>
          <w:color w:val="51515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${totalAmps} sélectionnées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${ampsDetails}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282f3e"/>
          <w:sz w:val="40"/>
          <w:szCs w:val="40"/>
          <w:rtl w:val="0"/>
        </w:rPr>
        <w:t xml:space="preserve">Pièces jointes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>Liens utiles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>${links}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95edb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95edb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>Photos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3b455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b4559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widowControl w:val="0"/>
        <w:rPr>
          <w:rFonts w:ascii="Arial" w:cs="Arial" w:eastAsia="Arial" w:hAnsi="Arial"/>
          <w:b w:val="1"/>
          <w:color w:val="3b455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>${images}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50" w:top="850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4.jp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