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68"/>
          <w:szCs w:val="68"/>
          <w:u w:val="none"/>
          <w:shd w:fill="auto" w:val="clear"/>
          <w:vertAlign w:val="baseline"/>
          <w:rtl w:val="0"/>
        </w:rPr>
        <w:t xml:space="preserve">Briefing de mission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738122" cy="367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36750">
                          <a:solidFill>
                            <a:srgbClr val="33333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38122" cy="36750"/>
                <wp:effectExtent b="0" l="0" r="0" t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3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51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Diffusion limitée aux seules unités/personnes concernées par ce document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tbl>
      <w:tblPr>
        <w:tblStyle w:val="Table1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Unités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A636 Maïto, BN Toulon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Zones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off"/>
                <w:color w:val="282f3e"/>
                <w:sz w:val="21"/>
                <w:szCs w:val="21"/>
                <w:rtl w:val="0"/>
                <w:i w:val="on"/>
              </w:rPr>
              <w:t xml:space="preserve">Aucun zones règlementaires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off"/>
                <w:color w:val="282f3e"/>
                <w:sz w:val="21"/>
                <w:szCs w:val="21"/>
                <w:rtl w:val="0"/>
                <w:i w:val="on"/>
              </w:rPr>
              <w:t xml:space="preserve">Aucun aires marines protégées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off"/>
                <w:color w:val="282f3e"/>
                <w:sz w:val="21"/>
                <w:szCs w:val="21"/>
                <w:rtl w:val="0"/>
                <w:i w:val="on"/>
              </w:rPr>
              <w:t xml:space="preserve">Aucun zones de vigilance</w:t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Signalements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21"/>
                <w:szCs w:val="21"/>
                <w:rtl w:val="0"/>
              </w:rPr>
              <w:t xml:space="preserve">13 signalements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Commentaires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21"/>
                <w:szCs w:val="21"/>
                <w:rtl w:val="0"/>
              </w:rPr>
              <w:t xml:space="preserve">Pas de commentaire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tbl>
      <w:tblPr>
        <w:tblStyle w:val="Table2"/>
        <w:tblW w:w="10775.0" w:type="dxa"/>
        <w:jc w:val="left"/>
        <w:tblLayout w:type="fixed"/>
        <w:tblLook w:val="0000"/>
      </w:tblPr>
      <w:tblGrid>
        <w:gridCol w:w="3291"/>
        <w:gridCol w:w="7484"/>
        <w:tblGridChange w:id="0">
          <w:tblGrid>
            <w:gridCol w:w="3291"/>
            <w:gridCol w:w="7484"/>
          </w:tblGrid>
        </w:tblGridChange>
      </w:tblGrid>
      <w:tr>
        <w:trPr>
          <w:cantSplit w:val="0"/>
          <w:trHeight w:val="256.4794921875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Légicem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https://extranet.legicem.metier.developpement-durable.gouv.fr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Identifiant LEGICEM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 Mot de passe Legicem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Monitor Ext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https://monitorenv.din.developpement-durable.gouv.fr/ext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465a4"/>
                <w:sz w:val="18"/>
                <w:szCs w:val="1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Identifiant MonitorEnvExt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82f3e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b w:val="1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82f3e"/>
                <w:sz w:val="18"/>
                <w:szCs w:val="18"/>
                <w:rtl w:val="0"/>
              </w:rPr>
              <w:t xml:space="preserve">Mot de passe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: Mot de passe MonitorEnvExt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6939" y="3780000"/>
                          <a:ext cx="6738122" cy="0"/>
                        </a:xfrm>
                        <a:prstGeom prst="straightConnector1">
                          <a:avLst/>
                        </a:prstGeom>
                        <a:noFill/>
                        <a:ln cap="flat" cmpd="sng" w="183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379095</wp:posOffset>
                </wp:positionH>
                <wp:positionV relativeFrom="page">
                  <wp:posOffset>8835253</wp:posOffset>
                </wp:positionV>
                <wp:extent cx="6738122" cy="1837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122" cy="1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502920</wp:posOffset>
            </wp:positionH>
            <wp:positionV relativeFrom="page">
              <wp:posOffset>9135570</wp:posOffset>
            </wp:positionV>
            <wp:extent cx="923726" cy="923726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726" cy="92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  <w:rFonts w:ascii="Arial" w:hAnsi="Arial" w:cs="Arial" w:eastAsia="Arial"/>
        </w:rPr>
      </w:r>
    </w:p>
    <w:tbl>
      <w:tblPr>
        <w:tblStyle w:val="Table3"/>
        <w:tblW w:w="10775.0" w:type="dxa"/>
        <w:jc w:val="left"/>
        <w:tblLayout w:type="fixed"/>
        <w:tblLook w:val="0000"/>
      </w:tblPr>
      <w:tblGrid>
        <w:gridCol w:w="1671"/>
        <w:gridCol w:w="5454"/>
        <w:gridCol w:w="3650"/>
        <w:tblGridChange w:id="0">
          <w:tblGrid>
            <w:gridCol w:w="1671"/>
            <w:gridCol w:w="5454"/>
            <w:gridCol w:w="3650"/>
          </w:tblGrid>
        </w:tblGridChange>
      </w:tblGrid>
      <w:tr>
        <w:trPr>
          <w:cantSplit w:val="1"/>
          <w:trHeight w:val="60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  <w:b w:val="off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Référence : </w:t>
            </w: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Tab 16/04/2025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02 90 74 32 55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465a4"/>
                <w:sz w:val="18"/>
                <w:szCs w:val="18"/>
                <w:u w:val="single"/>
                <w:rtl w:val="0"/>
              </w:rPr>
              <w:t xml:space="preserve">cacem@mer.gouv.fr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4.72" w:type="dxa"/>
              <w:left w:w="54.72" w:type="dxa"/>
              <w:bottom w:w="54.72" w:type="dxa"/>
              <w:right w:w="54.72" w:type="dxa"/>
            </w:tcMar>
            <w:vAlign w:val="cente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82f3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  <w:b w:val="off"/>
              </w:rPr>
              <w:t xml:space="preserve">                                       Édité le 17/04/2025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Récapitulatif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/>
      </w:r>
      <w:r w:rsidDel="00000000" w:rsidR="00000000" w:rsidRPr="00000000">
        <w:rPr>
          <w:rFonts w:ascii="Arial" w:cs="Arial" w:eastAsia="Arial" w:hAnsi="Arial"/>
          <w:rtl w:val="0"/>
        </w:rPr>
        <w:t xml:space="preserve"/>
      </w:r>
      <w:r w:rsidDel="00000000" w:rsidR="00000000" w:rsidRPr="00000000">
        <w:rPr>
          <w:rFonts w:ascii="Arial" w:cs="Arial" w:eastAsia="Arial" w:hAnsi="Arial"/>
          <w:rtl w:val="0"/>
        </w:rPr>
        <w:t xml:space="preserve"/>
      </w:r>
      <w:r>
        <w:rPr>
          <w:rFonts w:ascii="Arial" w:hAnsi="Arial" w:cs="Arial" w:eastAsia="Arial"/>
        </w:rPr>
        <w:drawing>
          <wp:inline distT="0" distR="0" distB="0" distL="0">
            <wp:extent cx="6429375" cy="4286250"/>
            <wp:docPr id="0" name="Drawing 0" descr="global_map.png"/>
            <a:graphic>
              <a:graphicData uri="http://schemas.openxmlformats.org/drawingml/2006/picture">
                <pic:pic>
                  <pic:nvPicPr>
                    <pic:cNvPr id="0" name="Picture 0" descr="global_map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5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32"/>
          <w:szCs w:val="3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2"/>
          <w:szCs w:val="22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${regulatoryAreasTable}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${ampsAndVigilanceAreas</w:t>
      </w:r>
      <w:r w:rsidDel="00000000" w:rsidR="00000000" w:rsidRPr="00000000">
        <w:rPr>
          <w:rFonts w:ascii="Arial" w:cs="Arial" w:eastAsia="Arial" w:hAnsi="Arial"/>
          <w:rtl w:val="0"/>
        </w:rPr>
        <w:t xml:space="preserve">Tables</w:t>
      </w: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  <w:color w:val="282f3e"/>
          <w:sz w:val="32"/>
          <w:szCs w:val="32"/>
        </w:rPr>
      </w:pPr>
      <w:r w:rsidDel="00000000" w:rsidR="00000000" w:rsidRPr="00000000">
        <w:rPr>
          <w:rFonts w:ascii="Arial" w:hAnsi="Arial" w:cs="Arial" w:eastAsia="Arial"/>
        </w:rPr>
        <w:br w:type="page"/>
        <w:t xml:space="preserve">
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 réglementaires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regulatoryAreasDetails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4">
      <w:pPr>
        <w:pageBreakBefore w:val="1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bookmarkStart w:colFirst="0" w:colLast="0" w:name="_bqob7wjjjgwn" w:id="0"/>
      <w:bookmarkEnd w:id="0"/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Aires marines protégées</w:t>
      </w:r>
      <w:r w:rsidDel="00000000" w:rsidR="00000000" w:rsidRPr="00000000">
        <w:rPr>
          <w:rFonts w:ascii="Arial" w:cs="Arial" w:eastAsia="Arial" w:hAnsi="Arial"/>
          <w:color w:val="51515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0 sélectionnées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${ampsDetails}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32"/>
          <w:szCs w:val="32"/>
          <w:u w:val="none"/>
          <w:shd w:fill="auto" w:val="clear"/>
          <w:vertAlign w:val="baseline"/>
          <w:rtl w:val="0"/>
        </w:rPr>
        <w:t xml:space="preserve">Zones de vigilance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51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  <w:rtl w:val="0"/>
        </w:rPr>
        <w:t xml:space="preserve"> sélectionnées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Une zone de vigilance permet d'orienter les contrôles en attirant l'attention et rappelant des informations utiles sur un endroit / une période donnés.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f3e"/>
          <w:sz w:val="18"/>
          <w:szCs w:val="18"/>
          <w:u w:val="none"/>
          <w:shd w:fill="auto" w:val="clear"/>
          <w:vertAlign w:val="baseline"/>
          <w:rtl w:val="0"/>
        </w:rPr>
        <w:t xml:space="preserve">Les informations consignées dans les ZV ont – contrairement aux signalements – une validité dans le temps plus longue ou récurrente.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${vigilanceAreasDetails}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hAnsi="Arial" w:cs="Arial" w:eastAsia="Arial"/>
        </w:rPr>
        <w:br w:type="page"/>
        <w:t xml:space="preserve">
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5">
      <w:pPr>
        <w:pageBreakBefore w:val="1"/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282f3e"/>
          <w:sz w:val="32"/>
          <w:szCs w:val="32"/>
          <w:rtl w:val="0"/>
        </w:rPr>
        <w:t xml:space="preserve">Signalements (détails)  </w:t>
      </w:r>
      <w:r w:rsidDel="00000000" w:rsidR="00000000" w:rsidRPr="00000000">
        <w:rPr>
          <w:rFonts w:ascii="Arial" w:cs="Arial" w:eastAsia="Arial" w:hAnsi="Arial"/>
          <w:b w:val="1"/>
          <w:color w:val="3b4559"/>
          <w:sz w:val="16"/>
          <w:szCs w:val="16"/>
          <w:rtl w:val="0"/>
        </w:rPr>
        <w:t xml:space="preserve">13 sélectionnés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color w:val="3b4559"/>
          <w:sz w:val="16"/>
          <w:szCs w:val="16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7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Les signalements sont des remontées d'informations ponctuelles faites par le terrain (unités, sémaphores...).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Arial" w:cs="Arial" w:eastAsia="Arial" w:hAnsi="Arial"/>
          <w:i w:val="1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color w:val="282f3e"/>
          <w:sz w:val="18"/>
          <w:szCs w:val="18"/>
          <w:rtl w:val="0"/>
        </w:rPr>
        <w:t xml:space="preserve">Ils peuvent concerner des suspicions d'infractions ou des observations et appellent à une prise en compte rapide.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Arial" w:cs="Arial" w:eastAsia="Arial" w:hAnsi="Arial"/>
          <w:color w:val="282f3e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82f3e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436245</wp:posOffset>
            </wp:positionH>
            <wp:positionV relativeFrom="page">
              <wp:posOffset>2333036</wp:posOffset>
            </wp:positionV>
            <wp:extent cx="133833" cy="18894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833" cy="188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282f3e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429895</wp:posOffset>
            </wp:positionH>
            <wp:positionV relativeFrom="page">
              <wp:posOffset>2066336</wp:posOffset>
            </wp:positionV>
            <wp:extent cx="127000" cy="185615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85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282f3e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429895</wp:posOffset>
            </wp:positionH>
            <wp:positionV relativeFrom="page">
              <wp:posOffset>1790111</wp:posOffset>
            </wp:positionV>
            <wp:extent cx="133106" cy="18791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06" cy="187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282f3e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3814445</wp:posOffset>
            </wp:positionH>
            <wp:positionV relativeFrom="page">
              <wp:posOffset>2339386</wp:posOffset>
            </wp:positionV>
            <wp:extent cx="141320" cy="188427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320" cy="188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282f3e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3808095</wp:posOffset>
            </wp:positionH>
            <wp:positionV relativeFrom="page">
              <wp:posOffset>2079625</wp:posOffset>
            </wp:positionV>
            <wp:extent cx="142275" cy="186736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75" cy="186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color w:val="282f3e"/>
          <w:sz w:val="18"/>
          <w:szCs w:val="1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3808095</wp:posOffset>
            </wp:positionH>
            <wp:positionV relativeFrom="page">
              <wp:posOffset>1815511</wp:posOffset>
            </wp:positionV>
            <wp:extent cx="140936" cy="187914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36" cy="1879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  <w:rFonts w:ascii="Arial" w:hAnsi="Arial" w:cs="Arial" w:eastAsia="Arial"/>
        </w:rPr>
      </w:r>
    </w:p>
    <w:tbl>
      <w:tblPr>
        <w:tblStyle w:val="Table4"/>
        <w:tblW w:w="10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"/>
        <w:gridCol w:w="5070"/>
        <w:gridCol w:w="285"/>
        <w:gridCol w:w="5130"/>
        <w:tblGridChange w:id="0">
          <w:tblGrid>
            <w:gridCol w:w="270"/>
            <w:gridCol w:w="5070"/>
            <w:gridCol w:w="285"/>
            <w:gridCol w:w="513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en cours</w:t>
            </w:r>
          </w:p>
        </w:tc>
        <w:tc>
          <w:tcPr>
            <w:gridSpan w:val="2"/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cccfd6" w:space="0" w:sz="6" w:val="single"/>
            </w:tcBorders>
            <w:shd w:fill="e5e5eb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18.818181818181817" w:lineRule="auto"/>
              <w:rPr>
                <w:rFonts w:ascii="Arial" w:cs="Arial" w:eastAsia="Arial" w:hAnsi="Arial"/>
                <w:b w:val="1"/>
                <w:color w:val="707785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707785"/>
                <w:sz w:val="18"/>
                <w:szCs w:val="18"/>
                <w:rtl w:val="0"/>
              </w:rPr>
              <w:t xml:space="preserve">Signalements archivés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Observation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Observation</w:t>
            </w:r>
          </w:p>
        </w:tc>
      </w:tr>
      <w:tr>
        <w:trPr>
          <w:cantSplit w:val="0"/>
          <w:trHeight w:val="404.64000000000004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Suspicion d’infraction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76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Suspicion d’infraction</w:t>
            </w:r>
          </w:p>
        </w:tc>
      </w:tr>
      <w:tr>
        <w:trPr>
          <w:cantSplit w:val="0"/>
          <w:trHeight w:val="420.47999999999996" w:hRule="atLeast"/>
          <w:tblHeader w:val="0"/>
        </w:trPr>
        <w:tc>
          <w:tcPr>
            <w:tcBorders>
              <w:top w:color="000000" w:space="0" w:sz="0" w:val="nil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Rattaché à une mission</w:t>
            </w:r>
          </w:p>
        </w:tc>
        <w:tc>
          <w:tcPr>
            <w:tcBorders>
              <w:top w:color="cccfd6" w:space="0" w:sz="6" w:val="single"/>
              <w:left w:color="cccfd6" w:space="0" w:sz="6" w:val="single"/>
              <w:bottom w:color="cccfd6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fd6" w:space="0" w:sz="6" w:val="single"/>
              <w:left w:color="000000" w:space="0" w:sz="0" w:val="nil"/>
              <w:bottom w:color="cccfd6" w:space="0" w:sz="6" w:val="single"/>
              <w:right w:color="cccfd6" w:space="0" w:sz="6" w:val="single"/>
            </w:tcBorders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 w14:paraId="0000007A">
            <w:pPr>
              <w:spacing w:before="240" w:line="18.818181818181817" w:lineRule="auto"/>
              <w:rPr>
                <w:rFonts w:ascii="Arial" w:cs="Arial" w:eastAsia="Arial" w:hAnsi="Arial"/>
                <w:color w:val="282f3e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282f3e"/>
                <w:sz w:val="18"/>
                <w:szCs w:val="18"/>
                <w:rtl w:val="0"/>
              </w:rPr>
              <w:t xml:space="preserve">   Rattaché à une mission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82f3e"/>
          <w:sz w:val="16"/>
          <w:szCs w:val="16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" name="Drawing 1" descr="icon.png"/>
                  <a:graphic>
                    <a:graphicData uri="http://schemas.openxmlformats.org/drawingml/2006/picture">
                      <pic:pic>
                        <pic:nvPicPr>
                          <pic:cNvPr id="0" name="Picture 1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23-00001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Épave / Recel ou détournement d'une épave maritime, Épave / Navire abandonné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48° 24' 54" N 004° 56' 20"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SEMAPHORE LE TOULINGUET</w:t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2" name="Drawing 2" descr="icon.png"/>
                  <a:graphic>
                    <a:graphicData uri="http://schemas.openxmlformats.org/drawingml/2006/picture">
                      <pic:pic>
                        <pic:nvPicPr>
                          <pic:cNvPr id="0" name="Picture 2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23-00002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Surveillance générale / Surveillance générale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48° 37' 09" N 004° 46' 46"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Sémaphore de Saint-Cast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Immatriculation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IMAT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12121212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véhicule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 terrestre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0" name="Drawing 10" descr="icon.png"/>
                  <a:graphic>
                    <a:graphicData uri="http://schemas.openxmlformats.org/drawingml/2006/picture">
                      <pic:pic>
                        <pic:nvPicPr>
                          <pic:cNvPr id="0" name="Picture 10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23-00003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Réserve naturelle / Réglementation de la réserve naturelle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Cultures marines – DDTM 40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Immatriculation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Immat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fsdq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véhicule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 terrestre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1" name="Drawing 11" descr="icon.png"/>
                  <a:graphic>
                    <a:graphicData uri="http://schemas.openxmlformats.org/drawingml/2006/picture">
                      <pic:pic>
                        <pic:nvPicPr>
                          <pic:cNvPr id="0" name="Picture 11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23-00004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Arrêté de protection / Réglementation de l'arrêté de protection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MA SUPER SOCIETE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Immatriculation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IMMAT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CAPITAINE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véhicule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Autre véhicule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2" name="Drawing 12" descr="icon.png"/>
                  <a:graphic>
                    <a:graphicData uri="http://schemas.openxmlformats.org/drawingml/2006/picture">
                      <pic:pic>
                        <pic:nvPicPr>
                          <pic:cNvPr id="0" name="Picture 12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23-00005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Parc national / Réglementation du parc national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49° 46' 04" N 000° 22' 15" E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Sémaphore de Fécamp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Nom du navire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Immatriculation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-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véhicule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Navire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MMSI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9876543210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Taille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-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IMO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-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Nom du capitaine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-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navire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-</w:t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3" name="Drawing 13" descr="icon.png"/>
                  <a:graphic>
                    <a:graphicData uri="http://schemas.openxmlformats.org/drawingml/2006/picture">
                      <pic:pic>
                        <pic:nvPicPr>
                          <pic:cNvPr id="0" name="Picture 13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23-00006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Mouillage individuel / Mouillage avec AOT individuelle, Mouillage réglementé par AMP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43° 39' 25" N 001° 35' 49"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Sémaphore de Fécamp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 morale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Nom de la personne morale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La société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Héron</w:t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4" name="Drawing 14" descr="icon.png"/>
                  <a:graphic>
                    <a:graphicData uri="http://schemas.openxmlformats.org/drawingml/2006/picture">
                      <pic:pic>
                        <pic:nvPicPr>
                          <pic:cNvPr id="0" name="Picture 14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23-00007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Autres / Chasse sur le DPM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47° 06' 46" N 004° 11' 15"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DML – DDTM 59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 morale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Nom de la personne morale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Good Company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5" name="Drawing 15" descr="icon.png"/>
                  <a:graphic>
                    <a:graphicData uri="http://schemas.openxmlformats.org/drawingml/2006/picture">
                      <pic:pic>
                        <pic:nvPicPr>
                          <pic:cNvPr id="0" name="Picture 15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23-00008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Travaux en milieu marin / Chantier portuaire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46° 01' 45" N 001° 21' 34"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DML – DDTM 59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 morale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Nom de la personne morale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Mr le gérant</w:t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6" name="Drawing 16" descr="icon.png"/>
                  <a:graphic>
                    <a:graphicData uri="http://schemas.openxmlformats.org/drawingml/2006/picture">
                      <pic:pic>
                        <pic:nvPicPr>
                          <pic:cNvPr id="0" name="Picture 16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23-00009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Domanialité publique (circulation et dégradation) / Dégradation du DPM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48° 39' 20" N 004° 24' 27"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DML – DDTM 59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Immatriculation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ABCD123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CAPITAINE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véhicule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Véhicule aérien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7" name="Drawing 17" descr="icon.png"/>
                  <a:graphic>
                    <a:graphicData uri="http://schemas.openxmlformats.org/drawingml/2006/picture">
                      <pic:pic>
                        <pic:nvPicPr>
                          <pic:cNvPr id="0" name="Picture 17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23-00010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Bien culturel maritime / Prospection d'un bien culturel maritime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48° 40' 27" N 003° 54' 45"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Vigipol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 physique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8" name="Drawing 18" descr="icon.png"/>
                  <a:graphic>
                    <a:graphicData uri="http://schemas.openxmlformats.org/drawingml/2006/picture">
                      <pic:pic>
                        <pic:nvPicPr>
                          <pic:cNvPr id="0" name="Picture 18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23-00011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Rejet / Avitaillement, soutage, transbordement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48° 31' 16" N 004° 46' 01"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Sémaphore de Fécamp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Autre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19" name="Drawing 19" descr="icon.png"/>
                  <a:graphic>
                    <a:graphicData uri="http://schemas.openxmlformats.org/drawingml/2006/picture">
                      <pic:pic>
                        <pic:nvPicPr>
                          <pic:cNvPr id="0" name="Picture 19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25-00001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Espèce protégée et leur habitat (faune et flore) / Atteinte aux habitats d'espèces protégées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46° 50' 27" N 002° 57' 11"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Sémaphore de Saint-Cast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 morale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Nom de la personne morale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 contrôlée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identité de la personnne</w:t>
            </w:r>
          </w:p>
        </w:tc>
      </w:tr>
    </w:tbl>
    <w:p/>
    <w:tbl>
      <w:tblPr>
        <w:tblW w:w="5000" w:type="pct"/>
        <w:tblBorders>
          <w:top w:val="single"/>
          <w:top w:val="single" w:sz="4" w:color="CCCFD6"/>
          <w:left w:val="single"/>
          <w:left w:val="single" w:sz="4" w:color="CCCFD6"/>
          <w:bottom w:val="single"/>
          <w:bottom w:val="single" w:sz="4" w:color="CCCFD6"/>
          <w:right w:val="single"/>
          <w:right w:val="single" w:sz="4" w:color="CCCFD6"/>
        </w:tblBorders>
      </w:tblPr>
      <w:tr>
        <w:trPr>
          <w:trHeight w:val="300" w:hRule="exact"/>
        </w:trPr>
        <w:tc>
          <w:tcPr>
            <w:shd w:fill="E5E5EB"/>
            <w:vAlign w:val="center"/>
          </w:tcPr>
          <w:p>
            <w:r>
              <w:rPr>
                <w:sz w:val="18"/>
                <w:color w:val="707785"/>
                <w:b w:val="on"/>
                <w:rFonts w:ascii="Arial" w:hAnsi="Arial" w:cs="Arial" w:eastAsia="Arial"/>
              </w:rPr>
              <w:drawing>
                <wp:inline distT="0" distR="0" distB="0" distL="0">
                  <wp:extent cx="152400" cy="152400"/>
                  <wp:docPr id="20" name="Drawing 20" descr="icon.png"/>
                  <a:graphic>
                    <a:graphicData uri="http://schemas.openxmlformats.org/drawingml/2006/picture">
                      <pic:pic>
                        <pic:nvPicPr>
                          <pic:cNvPr id="0" name="Picture 20" descr="ico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t xml:space="preserve">   25-00002</w:t>
            </w:r>
          </w:p>
        </w:tc>
      </w:tr>
      <w:tr>
        <w:trPr>
          <w:trHeight w:val="300" w:hRule="auto"/>
        </w:trPr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Thématique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 xml:space="preserve">Arrêté à visa environnemental / Arrêtés du préfet maritime réglementant certaines activités avec un impact sur l'environnement marin 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Localisation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44° 47' 49" N 002° 07' 14" W</w:t>
            </w:r>
          </w:p>
        </w:tc>
        <w:tc>
          <w:tcPr>
            <w:tcW w:w="120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Source</w:t>
            </w:r>
          </w:p>
        </w:tc>
        <w:tc>
          <w:tcPr>
            <w:tcW w:w="2660" w:type="dxa"/>
            <w:tcBorders>
              <w:bottom w:val="single" w:sz="4" w:color="CCCFD6"/>
            </w:tcBorders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Signalement pour la démo</w:t>
            </w:r>
          </w:p>
        </w:tc>
      </w:tr>
      <w:tr>
        <w:trPr>
          <w:trHeight w:val="300" w:hRule="auto"/>
        </w:trPr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Type de cible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 physique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>Identité de la personne</w:t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>personne physique</w:t>
            </w:r>
          </w:p>
        </w:tc>
        <w:tc>
          <w:tcPr>
            <w:tcW w:w="1500" w:type="dxa"/>
            <w:vAlign w:val="center"/>
          </w:tcPr>
          <w:p>
            <w:pPr>
              <w:jc w:val="left"/>
            </w:pPr>
            <w:r>
              <w:rPr>
                <w:b w:val="off"/>
                <w:sz w:val="16"/>
                <w:rFonts w:ascii="Arial" w:hAnsi="Arial" w:cs="Arial" w:eastAsia="Arial"/>
                <w:color w:val="707785"/>
              </w:rPr>
              <w:t/>
            </w:r>
          </w:p>
        </w:tc>
        <w:tc>
          <w:tcPr>
            <w:tcW w:w="1830" w:type="dxa"/>
            <w:vAlign w:val="center"/>
          </w:tcPr>
          <w:p>
            <w:pPr>
              <w:jc w:val="left"/>
            </w:pPr>
            <w:r>
              <w:rPr>
                <w:b w:val="on"/>
                <w:sz w:val="16"/>
                <w:rFonts w:ascii="Arial" w:hAnsi="Arial" w:cs="Arial" w:eastAsia="Arial"/>
                <w:color w:val="000000"/>
              </w:rPr>
              <w:t/>
            </w:r>
          </w:p>
        </w:tc>
      </w:tr>
    </w:tbl>
    <w:p/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282f3e"/>
          <w:sz w:val="40"/>
          <w:szCs w:val="40"/>
        </w:rPr>
      </w:pPr>
      <w:r w:rsidDel="00000000" w:rsidR="00000000" w:rsidRPr="00000000">
        <w:rPr>
          <w:rFonts w:ascii="Arial" w:hAnsi="Arial" w:cs="Arial" w:eastAsia="Arial"/>
        </w:rPr>
        <w:br w:type="page"/>
        <w:t xml:space="preserve">
</w:t>
      </w: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  <w:rtl w:val="0"/>
        </w:rPr>
        <w:t xml:space="preserve">Pièces jointes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f3e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Liens utiles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282f3e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5edb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f3e"/>
          <w:sz w:val="26"/>
          <w:szCs w:val="26"/>
          <w:u w:val="none"/>
          <w:shd w:fill="auto" w:val="clear"/>
          <w:vertAlign w:val="baseline"/>
          <w:rtl w:val="0"/>
        </w:rPr>
        <w:t xml:space="preserve">Photos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widowControl w:val="0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82f3e"/>
          <w:sz w:val="26"/>
          <w:szCs w:val="26"/>
          <w:rtl w:val="0"/>
        </w:rPr>
        <w:t xml:space="preserve"/>
      </w:r>
      <w:r w:rsidDel="00000000" w:rsidR="00000000" w:rsidRPr="00000000">
        <w:rPr>
          <w:rtl w:val="0"/>
          <w:rFonts w:ascii="Arial" w:hAnsi="Arial" w:cs="Arial" w:eastAsia="Arial"/>
        </w:rPr>
        <w:t/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45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  <w:rFonts w:ascii="Arial" w:hAnsi="Arial" w:cs="Arial" w:eastAsia="Arial"/>
        </w:rPr>
      </w:r>
    </w:p>
    <w:sectPr>
      <w:footerReference w:type="default" r:id="rId20"/>
      <w:pgSz w:h="16834" w:w="11909" w:orient="portrait"/>
      <w:pgMar w:bottom="850" w:top="850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erif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w="http://schemas.openxmlformats.org/wordprocessingml/2006/main">
  <w:p>
    <w:pPr>
      <w:jc w:val="right"/>
    </w:pPr>
    <w:fldSimple w:instr="PAGE">
      <w:r>
        <w:rPr>
          <w:rFonts w:ascii="Arial"/>
        </w:rPr>
        <w:t> </w:t>
      </w:r>
    </w:fldSimple>
    <w:r>
      <w:rPr>
        <w:rFonts w:ascii="Arial" w:hAnsi="Arial" w:cs="Arial" w:eastAsia="Arial"/>
      </w:rPr>
      <w:t xml:space="preserve"> / </w:t>
    </w:r>
    <w:fldSimple w:instr="NUMPAGES">
      <w:r>
        <w:rPr>
          <w:rFonts w:ascii="Arial"/>
        </w:rPr>
        <w:t> </w:t>
      </w:r>
    </w:fldSimple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10" Target="media/image4.png" Type="http://schemas.openxmlformats.org/officeDocument/2006/relationships/image"/><Relationship Id="rId11" Target="media/image7.png" Type="http://schemas.openxmlformats.org/officeDocument/2006/relationships/image"/><Relationship Id="rId12" Target="media/image6.png" Type="http://schemas.openxmlformats.org/officeDocument/2006/relationships/image"/><Relationship Id="rId13" Target="media/image3.png" Type="http://schemas.openxmlformats.org/officeDocument/2006/relationships/image"/><Relationship Id="rId14" Target="media/image10.png" Type="http://schemas.openxmlformats.org/officeDocument/2006/relationships/image"/><Relationship Id="rId15" Target="media/image11.png" Type="http://schemas.openxmlformats.org/officeDocument/2006/relationships/image"/><Relationship Id="rId16" Target="media/image12.png" Type="http://schemas.openxmlformats.org/officeDocument/2006/relationships/image"/><Relationship Id="rId17" Target="media/image13.png" Type="http://schemas.openxmlformats.org/officeDocument/2006/relationships/image"/><Relationship Id="rId18" Target="media/image14.png" Type="http://schemas.openxmlformats.org/officeDocument/2006/relationships/image"/><Relationship Id="rId19" Target="media/image15.png" Type="http://schemas.openxmlformats.org/officeDocument/2006/relationships/image"/><Relationship Id="rId2" Target="settings.xml" Type="http://schemas.openxmlformats.org/officeDocument/2006/relationships/settings"/><Relationship Id="rId20" Target="footer1.xml" Type="http://schemas.openxmlformats.org/officeDocument/2006/relationships/footer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media/image9.png" Type="http://schemas.openxmlformats.org/officeDocument/2006/relationships/image"/><Relationship Id="rId7" Target="media/image1.jpg" Type="http://schemas.openxmlformats.org/officeDocument/2006/relationships/image"/><Relationship Id="rId8" Target="media/image2.png" Type="http://schemas.openxmlformats.org/officeDocument/2006/relationships/image"/><Relationship Id="rId9" Target="media/image5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OpenSans-regular.ttf" Type="http://schemas.openxmlformats.org/officeDocument/2006/relationships/font"/><Relationship Id="rId2" Target="fonts/OpenSans-bold.ttf" Type="http://schemas.openxmlformats.org/officeDocument/2006/relationships/font"/><Relationship Id="rId3" Target="fonts/OpenSans-italic.ttf" Type="http://schemas.openxmlformats.org/officeDocument/2006/relationships/font"/><Relationship Id="rId4" Target="fonts/OpenSans-boldItalic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