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  <w:rtl w:val="0"/>
        </w:rPr>
        <w:t xml:space="preserve">Briefing de mission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38122" cy="3675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36750">
                          <a:solidFill>
                            <a:srgbClr val="333333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38122" cy="3675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367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Diffusion limitée aux seules unités/personnes concernées par ce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Unités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${controlUnits}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Zones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${totalRegulatoryAreasText}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${totalAMPsText}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${totalVigilanceAreasText}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Signalements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${totalReportingsText}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Commentaires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Open Sans" w:cs="Open Sans" w:eastAsia="Open Sans" w:hAnsi="Open Sans"/>
                <w:b w:val="1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${comments}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rHeight w:val="256.4794921875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Légicem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https://extranet.legicem.metier.developpement-durable.gouv.fr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1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${legicemId}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 ${legicemPassword}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Monitor Ext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https://monitorenv.din.developpement-durable.gouv.fr/ext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${monitorExtPassword}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183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1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502920</wp:posOffset>
            </wp:positionH>
            <wp:positionV relativeFrom="page">
              <wp:posOffset>9135570</wp:posOffset>
            </wp:positionV>
            <wp:extent cx="923726" cy="923726"/>
            <wp:effectExtent b="0" l="0" r="0" t="0"/>
            <wp:wrapNone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3726" cy="92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10775.0" w:type="dxa"/>
        <w:jc w:val="left"/>
        <w:tblLayout w:type="fixed"/>
        <w:tblLook w:val="0000"/>
      </w:tblPr>
      <w:tblGrid>
        <w:gridCol w:w="1671"/>
        <w:gridCol w:w="5454"/>
        <w:gridCol w:w="3650"/>
        <w:tblGridChange w:id="0">
          <w:tblGrid>
            <w:gridCol w:w="1671"/>
            <w:gridCol w:w="5454"/>
            <w:gridCol w:w="3650"/>
          </w:tblGrid>
        </w:tblGridChange>
      </w:tblGrid>
      <w:tr>
        <w:trPr>
          <w:cantSplit w:val="1"/>
          <w:trHeight w:val="60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Référence : 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${briefName}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02 90 74 32 55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color w:val="3465a4"/>
                <w:sz w:val="18"/>
                <w:szCs w:val="18"/>
                <w:u w:val="single"/>
                <w:rtl w:val="0"/>
              </w:rPr>
              <w:t xml:space="preserve">cacem@mer.gouv.fr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4.72" w:type="dxa"/>
              <w:left w:w="54.72" w:type="dxa"/>
              <w:bottom w:w="54.72" w:type="dxa"/>
              <w:right w:w="54.72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                            Édité le ${editedAt}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9.9609375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right"/>
              <w:rPr>
                <w:rFonts w:ascii="Arial" w:cs="Arial" w:eastAsia="Arial" w:hAnsi="Arial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Page 1 / ${totalPages}</w:t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Récapitulatif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rtl w:val="0"/>
        </w:rPr>
        <w:t xml:space="preserve">globalMap</w:t>
      </w: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32"/>
          <w:szCs w:val="3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22"/>
          <w:szCs w:val="22"/>
          <w:rtl w:val="0"/>
        </w:rPr>
        <w:t xml:space="preserve">${totalZones}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2"/>
          <w:szCs w:val="22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${regulatoryAreasTable}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left"/>
        <w:tblLayout w:type="fixed"/>
        <w:tblLook w:val="0000"/>
      </w:tblPr>
      <w:tblGrid>
        <w:gridCol w:w="190"/>
        <w:gridCol w:w="5197"/>
        <w:gridCol w:w="198"/>
        <w:gridCol w:w="5188"/>
        <w:tblGridChange w:id="0">
          <w:tblGrid>
            <w:gridCol w:w="190"/>
            <w:gridCol w:w="5197"/>
            <w:gridCol w:w="198"/>
            <w:gridCol w:w="5188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gridSpan w:val="2"/>
            <w:tcBorders>
              <w:bottom w:color="d4e5f4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b4559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b4559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Aires Marines Protégées                       </w:t>
            </w:r>
            <w:r w:rsidDel="00000000" w:rsidR="00000000" w:rsidRPr="00000000">
              <w:rPr>
                <w:rFonts w:ascii="Arial" w:cs="Arial" w:eastAsia="Arial" w:hAnsi="Arial"/>
                <w:color w:val="3b4559"/>
                <w:sz w:val="16"/>
                <w:szCs w:val="16"/>
                <w:rtl w:val="0"/>
              </w:rPr>
              <w:t xml:space="preserve">${totalAMPs}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b4559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sélectionnée(s)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d4e5f4" w:space="0" w:sz="4" w:val="single"/>
              <w:right w:color="d4e5f4" w:space="0" w:sz="4" w:val="single"/>
            </w:tcBorders>
            <w:shd w:fill="c58f7e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Zones de vigilance                  </w:t>
            </w:r>
            <w:r w:rsidDel="00000000" w:rsidR="00000000" w:rsidRPr="00000000">
              <w:rPr>
                <w:rFonts w:ascii="Arial" w:cs="Arial" w:eastAsia="Arial" w:hAnsi="Arial"/>
                <w:color w:val="ffffff"/>
                <w:sz w:val="16"/>
                <w:szCs w:val="16"/>
                <w:rtl w:val="0"/>
              </w:rPr>
              <w:t xml:space="preserve">${totalVigilanceAreas}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sélectionnée(s)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707785" w:space="0" w:sz="4" w:val="single"/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e5f4" w:space="0" w:sz="4" w:val="single"/>
              <w:bottom w:color="d4e5f4" w:space="0" w:sz="4" w:val="single"/>
            </w:tcBorders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Abers - côtes des Légendes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/ Natura 2000</w:t>
            </w:r>
          </w:p>
        </w:tc>
        <w:tc>
          <w:tcPr>
            <w:tcBorders>
              <w:top w:color="707785" w:space="0" w:sz="4" w:val="single"/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e7b4a6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e5f4" w:space="0" w:sz="4" w:val="single"/>
              <w:bottom w:color="d4e5f4" w:space="0" w:sz="4" w:val="single"/>
              <w:right w:color="d4e5f4" w:space="0" w:sz="4" w:val="single"/>
            </w:tcBorders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Présence d'orques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Abers - côtes des Légendes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/ Instruments internationaux</w:t>
            </w:r>
          </w:p>
        </w:tc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e7b4a6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Mouillage interdit zostere Molène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chaussée de Sein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/ Natura 2000</w:t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Iroise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/ Réserve naturelle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presqu'île de Crozon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/ Natura 2000</w:t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Baie d'Audierne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/ Instruments internationaux</w:t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bookmarkStart w:colFirst="0" w:colLast="0" w:name="_bqob7wjjjgwn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réglementaires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${totalRegulatoryAreas}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regulatoryAreasDetails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ageBreakBefore w:val="1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bookmarkStart w:colFirst="0" w:colLast="0" w:name="_bqob7wjjjgwn" w:id="0"/>
      <w:bookmarkEnd w:id="0"/>
      <w:r w:rsidDel="00000000" w:rsidR="00000000" w:rsidRPr="00000000">
        <w:rPr>
          <w:rFonts w:ascii="Arial" w:cs="Arial" w:eastAsia="Arial" w:hAnsi="Arial"/>
          <w:color w:val="282f3e"/>
          <w:sz w:val="32"/>
          <w:szCs w:val="32"/>
          <w:rtl w:val="0"/>
        </w:rPr>
        <w:t xml:space="preserve">Aires marines protégées</w:t>
      </w:r>
      <w:r w:rsidDel="00000000" w:rsidR="00000000" w:rsidRPr="00000000">
        <w:rPr>
          <w:rFonts w:ascii="Arial" w:cs="Arial" w:eastAsia="Arial" w:hAnsi="Arial"/>
          <w:color w:val="515151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${totalAMPs}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de vigilance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${totalVigilanceAreas}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Une zone de vigilance permet d'orienter les contrôles en attirant l'attention et rappelant des informations utiles sur un endroit / une période donnés.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Les informations consignées dans les ZV ont – contrairement aux signalements – une validité dans le temps plus longue ou récurrente.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Pièces jointes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Liens utiles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Photos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850" w:top="850" w:left="567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Liberation Serif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