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68"/>
          <w:szCs w:val="6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68"/>
          <w:szCs w:val="68"/>
          <w:u w:val="none"/>
          <w:shd w:fill="auto" w:val="clear"/>
          <w:vertAlign w:val="baseline"/>
          <w:rtl w:val="0"/>
        </w:rPr>
        <w:t xml:space="preserve">Briefing de mission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738122" cy="3675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76939" y="3780000"/>
                          <a:ext cx="6738122" cy="0"/>
                        </a:xfrm>
                        <a:prstGeom prst="straightConnector1">
                          <a:avLst/>
                        </a:prstGeom>
                        <a:noFill/>
                        <a:ln cap="flat" cmpd="sng" w="36750">
                          <a:solidFill>
                            <a:srgbClr val="333333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738122" cy="36750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38122" cy="367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Diffusion limitée aux seules unités/personnes concernées par ce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5.0" w:type="dxa"/>
        <w:jc w:val="left"/>
        <w:tblLayout w:type="fixed"/>
        <w:tblLook w:val="0000"/>
      </w:tblPr>
      <w:tblGrid>
        <w:gridCol w:w="3291"/>
        <w:gridCol w:w="7484"/>
        <w:tblGridChange w:id="0">
          <w:tblGrid>
            <w:gridCol w:w="3291"/>
            <w:gridCol w:w="7484"/>
          </w:tblGrid>
        </w:tblGridChange>
      </w:tblGrid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Unités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${controlUnits}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Zones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${totalRegulatoryAreasText}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${totalAmpsText}</w:t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${totalVigilanceAreasText}</w:t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Signalements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${totalReportingsText}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Commentaires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rPr>
                <w:rFonts w:ascii="Open Sans" w:cs="Open Sans" w:eastAsia="Open Sans" w:hAnsi="Open Sans"/>
                <w:b w:val="1"/>
                <w:i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${comments}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5.0" w:type="dxa"/>
        <w:jc w:val="left"/>
        <w:tblLayout w:type="fixed"/>
        <w:tblLook w:val="0000"/>
      </w:tblPr>
      <w:tblGrid>
        <w:gridCol w:w="3291"/>
        <w:gridCol w:w="7484"/>
        <w:tblGridChange w:id="0">
          <w:tblGrid>
            <w:gridCol w:w="3291"/>
            <w:gridCol w:w="7484"/>
          </w:tblGrid>
        </w:tblGridChange>
      </w:tblGrid>
      <w:tr>
        <w:trPr>
          <w:cantSplit w:val="0"/>
          <w:trHeight w:val="256.4794921875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Légicem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https://extranet.legicem.metier.developpement-durable.gouv.fr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1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${legicemId}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Mot de passe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 ${legicemPassword}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Monitor Ext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https://monitorenv.din.developpement-durable.gouv.fr/ext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${monitorExtId}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Mot de passe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${monitorExtPassword}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>
          <w:rFonts w:ascii="Arial" w:cs="Arial" w:eastAsia="Arial" w:hAnsi="Arial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379095</wp:posOffset>
                </wp:positionH>
                <wp:positionV relativeFrom="page">
                  <wp:posOffset>8835253</wp:posOffset>
                </wp:positionV>
                <wp:extent cx="6738122" cy="183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76939" y="3780000"/>
                          <a:ext cx="6738122" cy="0"/>
                        </a:xfrm>
                        <a:prstGeom prst="straightConnector1">
                          <a:avLst/>
                        </a:prstGeom>
                        <a:noFill/>
                        <a:ln cap="flat" cmpd="sng" w="183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379095</wp:posOffset>
                </wp:positionH>
                <wp:positionV relativeFrom="page">
                  <wp:posOffset>8835253</wp:posOffset>
                </wp:positionV>
                <wp:extent cx="6738122" cy="183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38122" cy="18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502920</wp:posOffset>
            </wp:positionH>
            <wp:positionV relativeFrom="page">
              <wp:posOffset>9135570</wp:posOffset>
            </wp:positionV>
            <wp:extent cx="923726" cy="923726"/>
            <wp:effectExtent b="0" l="0" r="0" t="0"/>
            <wp:wrapNone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3726" cy="92372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10775.0" w:type="dxa"/>
        <w:jc w:val="left"/>
        <w:tblLayout w:type="fixed"/>
        <w:tblLook w:val="0000"/>
      </w:tblPr>
      <w:tblGrid>
        <w:gridCol w:w="1671"/>
        <w:gridCol w:w="5454"/>
        <w:gridCol w:w="3650"/>
        <w:tblGridChange w:id="0">
          <w:tblGrid>
            <w:gridCol w:w="1671"/>
            <w:gridCol w:w="5454"/>
            <w:gridCol w:w="3650"/>
          </w:tblGrid>
        </w:tblGridChange>
      </w:tblGrid>
      <w:tr>
        <w:trPr>
          <w:cantSplit w:val="1"/>
          <w:trHeight w:val="60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       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Référence : 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${briefName}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rFonts w:ascii="Arial" w:cs="Arial" w:eastAsia="Arial" w:hAnsi="Arial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02 90 74 32 55</w:t>
            </w:r>
          </w:p>
          <w:p w:rsidR="00000000" w:rsidDel="00000000" w:rsidP="00000000" w:rsidRDefault="00000000" w:rsidRPr="00000000" w14:paraId="00000033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3465a4"/>
                <w:sz w:val="18"/>
                <w:szCs w:val="18"/>
                <w:u w:val="single"/>
                <w:rtl w:val="0"/>
              </w:rPr>
              <w:t xml:space="preserve">cacem@mer.gouv.fr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4.72" w:type="dxa"/>
              <w:left w:w="54.72" w:type="dxa"/>
              <w:bottom w:w="54.72" w:type="dxa"/>
              <w:right w:w="54.72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                                    Édité le ${editedAt}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color w:val="282f3e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  <w:rtl w:val="0"/>
        </w:rPr>
        <w:t xml:space="preserve">Récapitulatif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</w:t>
      </w:r>
      <w:r w:rsidDel="00000000" w:rsidR="00000000" w:rsidRPr="00000000">
        <w:rPr>
          <w:rFonts w:ascii="Arial" w:cs="Arial" w:eastAsia="Arial" w:hAnsi="Arial"/>
          <w:rtl w:val="0"/>
        </w:rPr>
        <w:t xml:space="preserve">globalMap</w:t>
      </w:r>
      <w:r w:rsidDel="00000000" w:rsidR="00000000" w:rsidRPr="00000000">
        <w:rPr>
          <w:rFonts w:ascii="Arial" w:cs="Arial" w:eastAsia="Arial" w:hAnsi="Arial"/>
          <w:rtl w:val="0"/>
        </w:rPr>
        <w:t xml:space="preserve">}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32"/>
          <w:szCs w:val="32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22"/>
          <w:szCs w:val="22"/>
          <w:rtl w:val="0"/>
        </w:rPr>
        <w:t xml:space="preserve">${totalZones}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2"/>
          <w:szCs w:val="22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${regulatoryAreasTable}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${ampsTable} 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${vigilanceAreasTable}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 réglementaires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${totalRegulatoryAreas}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${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regulatoryAreasDetails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1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bookmarkStart w:colFirst="0" w:colLast="0" w:name="_bqob7wjjjgwn" w:id="0"/>
      <w:bookmarkEnd w:id="0"/>
      <w:r w:rsidDel="00000000" w:rsidR="00000000" w:rsidRPr="00000000">
        <w:rPr>
          <w:rFonts w:ascii="Arial" w:cs="Arial" w:eastAsia="Arial" w:hAnsi="Arial"/>
          <w:color w:val="282f3e"/>
          <w:sz w:val="32"/>
          <w:szCs w:val="32"/>
          <w:rtl w:val="0"/>
        </w:rPr>
        <w:t xml:space="preserve">Aires marines protégées</w:t>
      </w:r>
      <w:r w:rsidDel="00000000" w:rsidR="00000000" w:rsidRPr="00000000">
        <w:rPr>
          <w:rFonts w:ascii="Arial" w:cs="Arial" w:eastAsia="Arial" w:hAnsi="Arial"/>
          <w:color w:val="515151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${totalAmps}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${ampsDetails}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 de vigilance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${totalVigilanceAreas}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Une zone de vigilance permet d'orienter les contrôles en attirant l'attention et rappelant des informations utiles sur un endroit / une période donnés.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Les informations consignées dans les ZV ont – contrairement aux signalements – une validité dans le temps plus longue ou récurrente.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${vigilanceAreasDetails}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  <w:rtl w:val="0"/>
        </w:rPr>
        <w:t xml:space="preserve">Pièces jointes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  <w:rtl w:val="0"/>
        </w:rPr>
        <w:t xml:space="preserve">Liens utiles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282f3e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282f3e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282f3e"/>
          <w:sz w:val="26"/>
          <w:szCs w:val="26"/>
          <w:rtl w:val="0"/>
        </w:rPr>
        <w:t xml:space="preserve">${links}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  <w:rtl w:val="0"/>
        </w:rPr>
        <w:t xml:space="preserve">Photos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  <w:rtl w:val="0"/>
        </w:rPr>
        <w:t xml:space="preserve">    </w:t>
      </w:r>
    </w:p>
    <w:p w:rsidR="00000000" w:rsidDel="00000000" w:rsidP="00000000" w:rsidRDefault="00000000" w:rsidRPr="00000000" w14:paraId="0000006E">
      <w:pPr>
        <w:widowControl w:val="0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color w:val="282f3e"/>
          <w:sz w:val="26"/>
          <w:szCs w:val="26"/>
          <w:rtl w:val="0"/>
        </w:rPr>
        <w:t xml:space="preserve">${images}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  <w:rtl w:val="0"/>
        </w:rPr>
        <w:t xml:space="preserve">   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850" w:top="850" w:left="567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Liberation Serif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fr-F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