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media/image1.png" ContentType="image/png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W w:w="998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92"/>
        <w:gridCol w:w="4989"/>
      </w:tblGrid>
      <w:tr>
        <w:trPr>
          <w:trHeight w:val="249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Paris, le 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[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  <w:lang w:val="fr-FR" w:eastAsia="zh-CN" w:bidi="hi-IN"/>
              </w:rPr>
              <w:t>XX/XX/20XX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highlight w:val="cyan"/>
                <w:u w:val="none"/>
                <w:vertAlign w:val="baseline"/>
              </w:rPr>
              <w:t>]</w:t>
            </w:r>
          </w:p>
        </w:tc>
      </w:tr>
      <w:tr>
        <w:trPr>
          <w:trHeight w:val="640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Affaire suivie par : </w:t>
            </w:r>
            <w:r>
              <w:rPr>
                <w:sz w:val="16"/>
                <w:szCs w:val="16"/>
              </w:rPr>
              <w:t>{suiviPar}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sz w:val="16"/>
                <w:szCs w:val="16"/>
              </w:rPr>
              <w:t>{suiviParEmail}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Code Potentiel</w:t>
            </w: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 xml:space="preserve">: </w:t>
            </w:r>
            <w:r>
              <w:rPr>
                <w:sz w:val="16"/>
                <w:szCs w:val="16"/>
              </w:rPr>
              <w:t>{refPotentiel}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Réf: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933" w:hRule="atLeast"/>
        </w:trPr>
        <w:tc>
          <w:tcPr>
            <w:tcW w:w="4992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4989" w:type="dxa"/>
            <w:tcBorders/>
            <w:shd w:color="auto"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{nomRepresentantLegal}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{adresseCandidat}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59" w:before="0" w:after="0"/>
              <w:ind w:hanging="0" w:left="0" w:right="52"/>
              <w:jc w:val="righ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{email}</w:t>
            </w:r>
          </w:p>
          <w:p>
            <w:pPr>
              <w:pStyle w:val="LO-normal"/>
              <w:keepNext w:val="false"/>
              <w:keepLines w:val="false"/>
              <w:widowControl w:val="false"/>
              <w:shd w:val="clear" w:color="auto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231F20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b/>
          <w:sz w:val="20"/>
          <w:szCs w:val="20"/>
        </w:rPr>
      </w:pPr>
      <w:r>
        <w:rPr>
          <w:rFonts w:eastAsia="Liberation Sans" w:cs="Liberation Sans" w:ascii="Liberation Sans" w:hAnsi="Liberation Sans"/>
          <w:b/>
          <w:sz w:val="20"/>
          <w:szCs w:val="20"/>
        </w:rPr>
        <w:t>Objet : Recours gracieux pour un projet candidat à la {titrePeriode} période de l’appel d’offres {titreAppelOffre}</w:t>
      </w:r>
    </w:p>
    <w:p>
      <w:pPr>
        <w:pStyle w:val="LO-normal"/>
        <w:spacing w:lineRule="auto" w:line="240" w:before="0" w:after="0"/>
        <w:rPr>
          <w:b/>
        </w:rPr>
      </w:pPr>
      <w:r>
        <w:rPr>
          <w:b/>
        </w:rPr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Madame, Monsieur,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En application des dispositions de l’article L. 311-10 du code de l’énergie, relatif à la procédure de mise en concurrence pour les installations de production d’électricité, le ministre chargé de l’énergie a lancé l’appel d’offres cité en objet.</w:t>
      </w:r>
    </w:p>
    <w:p>
      <w:pPr>
        <w:pStyle w:val="LO-normal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En réponse à la {titrePeriode} période de cet appel d’offres, vous avez déposé le projet suivant{#familles}, dans la famille {titreFamille}{/familles} :</w:t>
      </w:r>
    </w:p>
    <w:tbl>
      <w:tblPr>
        <w:tblW w:w="62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106"/>
        <w:gridCol w:w="2057"/>
        <w:gridCol w:w="2057"/>
      </w:tblGrid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Nom du projet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Puissance ({unitePuissance})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Commune d’implantation</w:t>
            </w:r>
          </w:p>
        </w:tc>
      </w:tr>
      <w:tr>
        <w:trPr/>
        <w:tc>
          <w:tcPr>
            <w:tcW w:w="2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{nomProjet}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{puissance}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{communeProjet}</w:t>
            </w:r>
          </w:p>
          <w:p>
            <w:pPr>
              <w:pStyle w:val="LO-normal"/>
              <w:widowControl w:val="false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</w:r>
          </w:p>
          <w:p>
            <w:pPr>
              <w:pStyle w:val="LO-normal"/>
              <w:widowControl w:val="false"/>
              <w:spacing w:before="0" w:after="160"/>
              <w:jc w:val="center"/>
              <w:rPr>
                <w:rFonts w:ascii="Liberation Sans" w:hAnsi="Liberation Sans" w:eastAsia="Liberation Sans" w:cs="Liberation Sans"/>
                <w:sz w:val="20"/>
                <w:szCs w:val="20"/>
              </w:rPr>
            </w:pPr>
            <w:r>
              <w:rPr>
                <w:rFonts w:eastAsia="Liberation Sans" w:cs="Liberation Sans" w:ascii="Liberation Sans" w:hAnsi="Liberation Sans"/>
                <w:sz w:val="20"/>
                <w:szCs w:val="20"/>
              </w:rPr>
              <w:t>({codePostalProjet})</w:t>
            </w:r>
          </w:p>
        </w:tc>
      </w:tr>
    </w:tbl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 xml:space="preserve">Le paragraphe 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[référence du paragraphe origine de la non-instruction de l’offre ou de son élimination]</w:t>
      </w:r>
      <w:r>
        <w:rPr>
          <w:rFonts w:eastAsia="Liberation Sans" w:cs="Liberation Sans" w:ascii="Liberation Sans" w:hAnsi="Liberation Sans"/>
          <w:sz w:val="20"/>
          <w:szCs w:val="20"/>
        </w:rPr>
        <w:t xml:space="preserve"> du cahier des charges de l’appel d’offres en objet indique :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« </w:t>
      </w:r>
      <w:r>
        <w:rPr>
          <w:rFonts w:eastAsia="Liberation Sans" w:cs="Liberation Sans" w:ascii="Liberation Sans" w:hAnsi="Liberation Sans"/>
          <w:i/>
          <w:sz w:val="20"/>
          <w:szCs w:val="20"/>
          <w:highlight w:val="cyan"/>
        </w:rPr>
        <w:t>[Contenu du paragraphe origine de la non-instruction de l’offre ou de son élimination]</w:t>
      </w:r>
      <w:r>
        <w:rPr>
          <w:rFonts w:eastAsia="Liberation Sans" w:cs="Liberation Sans" w:ascii="Liberation Sans" w:hAnsi="Liberation Sans"/>
          <w:sz w:val="20"/>
          <w:szCs w:val="20"/>
        </w:rPr>
        <w:t> »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{#nonInstruit}Cette offre n’a pas été instruite par la Commission de régulation de l’énergie (CRE), pour la raison suivante : 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{motifsElimination}</w:t>
      </w:r>
      <w:r>
        <w:rPr>
          <w:rFonts w:eastAsia="Liberation Sans" w:cs="Liberation Sans" w:ascii="Liberation Sans" w:hAnsi="Liberation Sans"/>
          <w:sz w:val="20"/>
          <w:szCs w:val="20"/>
        </w:rPr>
        <w:t> ».{/nonInstruit}{^nonInstruit}Suite à l’instruction de cette offre par la Commission de régulation de l’énergie (CRE), elle a été éliminée pour la raison suivante : 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{motifsElimination}</w:t>
      </w:r>
      <w:r>
        <w:rPr>
          <w:rFonts w:eastAsia="Liberation Sans" w:cs="Liberation Sans" w:ascii="Liberation Sans" w:hAnsi="Liberation Sans"/>
          <w:sz w:val="20"/>
          <w:szCs w:val="20"/>
        </w:rPr>
        <w:t> ».{/nonInstruit}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Par votre demande de recours gracieux reçue dans nos services le {dateDemande}, vous contestez cette décision pour la ou les raison(s) suivante(s) : « </w:t>
      </w:r>
      <w:r>
        <w:rPr>
          <w:rFonts w:eastAsia="Liberation Sans" w:cs="Liberation Sans" w:ascii="Liberation Sans" w:hAnsi="Liberation Sans"/>
          <w:i/>
          <w:sz w:val="20"/>
          <w:szCs w:val="20"/>
        </w:rPr>
        <w:t>{justificationDemande}</w:t>
      </w:r>
      <w:r>
        <w:rPr>
          <w:rFonts w:eastAsia="Liberation Sans" w:cs="Liberation Sans" w:ascii="Liberation Sans" w:hAnsi="Liberation Sans"/>
          <w:sz w:val="20"/>
          <w:szCs w:val="20"/>
        </w:rPr>
        <w:t> ».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 xml:space="preserve"> </w:t>
      </w: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[Éléments issus de l’instruction]</w:t>
      </w:r>
      <w:r>
        <w:rPr>
          <w:rFonts w:eastAsia="Liberation Sans" w:cs="Liberation Sans" w:ascii="Liberation Sans" w:hAnsi="Liberation Sans"/>
          <w:sz w:val="20"/>
          <w:szCs w:val="20"/>
        </w:rPr>
        <w:t>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  <w:highlight w:val="cyan"/>
        </w:rPr>
      </w:pPr>
      <w:r>
        <w:rPr>
          <w:rFonts w:eastAsia="Liberation Sans" w:cs="Liberation Sans" w:ascii="Liberation Sans" w:hAnsi="Liberation Sans"/>
          <w:sz w:val="20"/>
          <w:szCs w:val="20"/>
          <w:highlight w:val="cyan"/>
        </w:rPr>
        <w:t>Après examen de votre demande, j’ai le plaisir de vous informer que le projet susmentionné est désigné lauréat de la {titrePeriode} période de l’appel d’offres visé en objet / et compte-tenu des éléments précédents, je suis au regret de ne pas donner de suite favorable à votre demande.</w:t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Conformément à l’engagement contenu dans votre offre, je vous informe que {tarifOuPrimeRetenue} en application des dispositions du paragraphe {paragraphePrixReference} du cahier des charges est de {prixReference}</w:t>
      </w:r>
      <w:r>
        <w:rPr>
          <w:rFonts w:eastAsia="ArialMT, Arial" w:cs="ArialMT, Arial" w:ascii="ArialMT, Arial" w:hAnsi="ArialMT, Arial"/>
          <w:sz w:val="20"/>
          <w:szCs w:val="20"/>
        </w:rPr>
        <w:t xml:space="preserve"> </w:t>
      </w:r>
      <w:r>
        <w:rPr>
          <w:rFonts w:eastAsia="Arial" w:cs="Arial" w:ascii="Arial" w:hAnsi="Arial"/>
          <w:sz w:val="20"/>
          <w:szCs w:val="20"/>
        </w:rPr>
        <w:t>€/MWh. {#affichageParagrapheECS</w:t>
      </w:r>
      <w:r>
        <w:rPr>
          <w:rFonts w:eastAsia="Arial" w:cs="Arial" w:ascii="Arial" w:hAnsi="Arial"/>
          <w:sz w:val="20"/>
          <w:szCs w:val="20"/>
        </w:rPr>
        <w:t>cible</w:t>
      </w:r>
      <w:r>
        <w:rPr>
          <w:rFonts w:eastAsia="Arial" w:cs="Arial" w:ascii="Arial" w:hAnsi="Arial"/>
          <w:sz w:val="20"/>
          <w:szCs w:val="20"/>
        </w:rPr>
        <w:t>} La valeur de l’évaluation carbone des modules est de {evaluationCarbone} kg eq CO2/kWc. {/affichageParagrapheECS</w:t>
      </w:r>
      <w:r>
        <w:rPr>
          <w:rFonts w:eastAsia="Arial" w:cs="Arial" w:ascii="Arial" w:hAnsi="Arial"/>
          <w:sz w:val="20"/>
          <w:szCs w:val="20"/>
        </w:rPr>
        <w:t>cible</w:t>
      </w:r>
      <w:r>
        <w:rPr>
          <w:rFonts w:eastAsia="Arial" w:cs="Arial" w:ascii="Arial" w:hAnsi="Arial"/>
          <w:sz w:val="20"/>
          <w:szCs w:val="20"/>
        </w:rPr>
        <w:t>}{#affichageParagrapheECS</w:t>
      </w:r>
      <w:r>
        <w:rPr>
          <w:rFonts w:eastAsia="Arial" w:cs="Arial" w:ascii="Arial" w:hAnsi="Arial"/>
          <w:sz w:val="20"/>
          <w:szCs w:val="20"/>
        </w:rPr>
        <w:t>plafond</w:t>
      </w:r>
      <w:r>
        <w:rPr>
          <w:rFonts w:eastAsia="Arial" w:cs="Arial" w:ascii="Arial" w:hAnsi="Arial"/>
          <w:sz w:val="20"/>
          <w:szCs w:val="20"/>
        </w:rPr>
        <w:t>} La valeur de l’évaluation carbone des modules est inférieure ou égale à 740 kg eq CO2/kWc. Pour rappel, la méthodologie d'évaluation carbone repose désormais uniquement sur les valeurs d'émissions de gaz à effet de serre par pays données aux tableaux 3 de l'annexe 2 du cahier des charges. {/affichageParagrapheECS</w:t>
      </w:r>
      <w:r>
        <w:rPr>
          <w:rFonts w:eastAsia="Arial" w:cs="Arial" w:ascii="Arial" w:hAnsi="Arial"/>
          <w:sz w:val="20"/>
          <w:szCs w:val="20"/>
        </w:rPr>
        <w:t>plafond</w:t>
      </w:r>
      <w:r>
        <w:rPr>
          <w:rFonts w:eastAsia="Arial" w:cs="Arial" w:ascii="Arial" w:hAnsi="Arial"/>
          <w:sz w:val="20"/>
          <w:szCs w:val="20"/>
        </w:rPr>
        <w:t>}</w:t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{#isEngagementParticipatif}Vous vous êtes engagés</w:t>
      </w:r>
      <w:r>
        <w:rPr>
          <w:rFonts w:eastAsia="Arial" w:cs="Arial" w:ascii="Arial" w:hAnsi="Arial"/>
          <w:sz w:val="20"/>
          <w:szCs w:val="20"/>
          <w:vertAlign w:val="superscript"/>
        </w:rPr>
        <w:t>1</w:t>
      </w:r>
      <w:r>
        <w:rPr>
          <w:rFonts w:eastAsia="Arial" w:cs="Arial" w:ascii="Arial" w:hAnsi="Arial"/>
          <w:sz w:val="20"/>
          <w:szCs w:val="20"/>
        </w:rPr>
        <w:t xml:space="preserve"> {#isFinancementCollectif} au financement collectif jusqu’à trois ans minimum après la Date d’Achèvement de l’Installation. {/isFinancementCollectif} {#isGouvernancePartagée} à la gouvernance partagée jusqu’à dix ans minimum après la Date d’Achèvement de l’Installation{/isGouvernancePartagée}{/isEngagementParticipatif}</w:t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widowControl w:val="false"/>
        <w:spacing w:lineRule="auto" w:line="240" w:before="0" w:after="120"/>
        <w:ind w:hanging="0" w:left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{#engagementFournitureDePuissanceAlaPointe}Lors de la réponse à l’appel d’offres, vous avez indiqué souhaiter un fonctionnement avec fourniture de puissance garantie à la pointe du soir et devez ainsi respecter les conditions de l’annexe 9 du cahier des charges relatives à la fourniture de puissance à la pointe.{/engagementFournitureDePuissanceAlaPointe}</w:t>
      </w:r>
    </w:p>
    <w:p>
      <w:pPr>
        <w:pStyle w:val="LO-normal"/>
        <w:widowControl w:val="false"/>
        <w:spacing w:lineRule="auto" w:line="240" w:before="0" w:after="120"/>
        <w:ind w:hanging="0" w:left="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Par ailleurs, je vous rappelle les obligations suivantes du fait de cette désignation :</w:t>
      </w:r>
    </w:p>
    <w:p>
      <w:pPr>
        <w:pStyle w:val="LO-normal"/>
        <w:widowControl w:val="false"/>
        <w:numPr>
          <w:ilvl w:val="0"/>
          <w:numId w:val="1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respecter l'ensemble des obligations et prescriptions de toute nature figurant au cahier des charges; si ce n’est déjà fait, déposer une demande complète de raccordement dans les trois (3) mois à compter de la présente notification</w:t>
      </w:r>
      <w:r>
        <w:rPr>
          <w:rFonts w:eastAsia="Arial" w:cs="Arial" w:ascii="Arial" w:hAnsi="Arial"/>
          <w:sz w:val="20"/>
          <w:szCs w:val="20"/>
          <w:vertAlign w:val="superscript"/>
        </w:rPr>
        <w:t>2</w:t>
      </w:r>
      <w:r>
        <w:rPr>
          <w:rFonts w:eastAsia="Arial" w:cs="Arial" w:ascii="Arial" w:hAnsi="Arial"/>
          <w:sz w:val="20"/>
          <w:szCs w:val="20"/>
        </w:rPr>
        <w:t>{#eolien} ou dans les trois (3) mois suivant la délivrance de l’autorisation environnementale pour les cas de candidature sans autorisation environnementale{/eolien};{#soumisGF}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  <w:u w:val="none"/>
        </w:rPr>
        <w:t>prévoir une durée de garantie financière d’exécution couvrant</w:t>
      </w:r>
      <w:bookmarkStart w:id="0" w:name="_GoBack"/>
      <w:bookmarkEnd w:id="0"/>
      <w:r>
        <w:rPr>
          <w:rFonts w:eastAsia="Arial" w:cs="Arial" w:ascii="Arial" w:hAnsi="Arial"/>
          <w:sz w:val="20"/>
          <w:szCs w:val="20"/>
          <w:u w:val="none"/>
        </w:rPr>
        <w:t xml:space="preserve"> jusqu’à 6 mois après la date d’Achèvement de l’Installation (date de fourniture de l’attestation de conformité selon les disposition du paragraphe  {paragrapheAttestationConformite}) ou un renouvellement régulier afin d’assurer une telle couverture temporelle</w:t>
      </w:r>
      <w:r>
        <w:rPr>
          <w:rFonts w:eastAsia="Arial" w:cs="Arial" w:ascii="Arial" w:hAnsi="Arial"/>
          <w:sz w:val="20"/>
          <w:szCs w:val="20"/>
          <w:u w:val="none"/>
          <w:vertAlign w:val="superscript"/>
        </w:rPr>
        <w:t>3</w:t>
      </w:r>
      <w:r>
        <w:rPr>
          <w:rFonts w:eastAsia="Arial" w:cs="Arial" w:ascii="Arial" w:hAnsi="Arial"/>
          <w:sz w:val="20"/>
          <w:szCs w:val="20"/>
          <w:u w:val="single"/>
        </w:rPr>
        <w:t>;</w:t>
      </w:r>
      <w:r>
        <w:rPr>
          <w:rFonts w:eastAsia="Arial" w:cs="Arial" w:ascii="Arial" w:hAnsi="Arial"/>
          <w:sz w:val="20"/>
          <w:szCs w:val="20"/>
        </w:rPr>
        <w:t>{/soumisGF}{#AOInnovation}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mettre en oeuvre les éléments, dispositifs et systèmes innovants décrits dans le rapport de contribution à l’innovation et le cas échéant dans le mémoire technique sur la synergie avec l’usage agricole, remis lors du dépôt de l’offre</w:t>
      </w:r>
      <w:r>
        <w:rPr>
          <w:rFonts w:eastAsia="Arial" w:cs="Arial" w:ascii="Arial" w:hAnsi="Arial"/>
          <w:sz w:val="20"/>
          <w:szCs w:val="20"/>
          <w:vertAlign w:val="superscript"/>
        </w:rPr>
        <w:t>4</w:t>
      </w:r>
      <w:r>
        <w:rPr>
          <w:rFonts w:eastAsia="Arial" w:cs="Arial" w:ascii="Arial" w:hAnsi="Arial"/>
          <w:sz w:val="20"/>
          <w:szCs w:val="20"/>
        </w:rPr>
        <w:t>;{/AOInnovation}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sauf délais dérogatoires prévus au {paragrapheDelaiDerogatoire} du cahier des charges, achever l’installation dans un délai de {delaiRealisationTexte} à compter de la présente notification;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fournir à EDF l’attestation de conformité de l’installation prévue au paragraphe {paragrapheAttestationConformite} du cahier des charges;{#isFinancementCollectif}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respecter les engagements pris conformément au paragraphe {paragrapheEngagementIPFPGPFC} concernant le financement collectif participatif.{/isFinancementCollectif}{#isGouvernancePartagée}</w:t>
      </w:r>
    </w:p>
    <w:p>
      <w:pPr>
        <w:pStyle w:val="LO-normal"/>
        <w:widowControl w:val="false"/>
        <w:numPr>
          <w:ilvl w:val="0"/>
          <w:numId w:val="2"/>
        </w:numPr>
        <w:spacing w:lineRule="auto" w:line="240" w:before="0" w:after="120"/>
        <w:ind w:hanging="0" w:left="0"/>
        <w:jc w:val="both"/>
        <w:rPr/>
      </w:pPr>
      <w:r>
        <w:rPr>
          <w:rFonts w:eastAsia="Arial" w:cs="Arial" w:ascii="Arial" w:hAnsi="Arial"/>
          <w:sz w:val="20"/>
          <w:szCs w:val="20"/>
        </w:rPr>
        <w:t>respecter les engagements pris conformément au paragraphe {paragrapheEngagementIPFPGPFC} concernant le financement participatif.{/isGouvernancePartagée}</w:t>
      </w:r>
    </w:p>
    <w:p>
      <w:pPr>
        <w:pStyle w:val="LO-normal"/>
        <w:widowControl w:val="false"/>
        <w:spacing w:lineRule="auto" w:line="240" w:before="0" w:after="120"/>
        <w:ind w:hanging="0" w:left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LO-normal"/>
        <w:widowControl w:val="false"/>
        <w:spacing w:lineRule="auto" w:line="240" w:before="0" w:after="0"/>
        <w:ind w:hanging="0" w:left="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Je vous rappelle également que l’installation mise en service doit être en tout point conforme à celle décrite dans le dossier de candidature. Toutefois, la modification de certains éléments de l’offre postérieurement à la désignation des lauréats est possible, selon les conditions et modalités précisées au {renvoiModification} du cahier des charges.{#eolien}</w:t>
      </w:r>
      <w:r>
        <w:rPr>
          <w:rFonts w:eastAsia="Arial" w:cs="Arial" w:ascii="Arial" w:hAnsi="Arial"/>
          <w:i w:val="false"/>
          <w:caps w:val="false"/>
          <w:smallCaps w:val="false"/>
          <w:color w:val="000000"/>
          <w:sz w:val="20"/>
          <w:szCs w:val="20"/>
        </w:rPr>
        <w:t>Les changements conduisant à une remise en cause de l’autorisation mentionnée au 3.3.3 ne seront pas acceptés</w:t>
      </w:r>
      <w:r>
        <w:rPr>
          <w:rFonts w:eastAsia="Arial" w:cs="Arial" w:ascii="Arial" w:hAnsi="Arial"/>
          <w:sz w:val="20"/>
          <w:szCs w:val="20"/>
        </w:rPr>
        <w:t xml:space="preserve">{/eolien}{#affichageParagrapheECS} Les changements conduisant à une diminution de la notation d’un ou plusieurs critères d’évaluations de l’offre, notamment par un bilan carbone moins performant, ne seront pas acceptés.{/affichageParagrapheECS}{#AOInnovation} </w:t>
      </w:r>
      <w:r>
        <w:rPr>
          <w:rFonts w:eastAsia="Arial" w:cs="Arial" w:ascii="Arial" w:hAnsi="Arial"/>
          <w:sz w:val="20"/>
          <w:szCs w:val="20"/>
          <w:u w:val="single"/>
        </w:rPr>
        <w:t>Toute demande de modification substantielle de l’innovation sera notamment refusée</w:t>
      </w:r>
      <w:r>
        <w:rPr>
          <w:rFonts w:eastAsia="Arial" w:cs="Arial" w:ascii="Arial" w:hAnsi="Arial"/>
          <w:sz w:val="20"/>
          <w:szCs w:val="20"/>
          <w:vertAlign w:val="superscript"/>
        </w:rPr>
        <w:t>5</w:t>
      </w:r>
      <w:r>
        <w:rPr>
          <w:rFonts w:eastAsia="Arial" w:cs="Arial" w:ascii="Arial" w:hAnsi="Arial"/>
          <w:sz w:val="20"/>
          <w:szCs w:val="20"/>
        </w:rPr>
        <w:t>.{/AOInnovation}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  <w:t>Je vous prie d’agréer, Madame, Monsieur, l’expression de ma considération distinguée.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p>
      <w:pPr>
        <w:pStyle w:val="LO-normal"/>
        <w:spacing w:lineRule="auto" w:line="240" w:before="160" w:after="160"/>
        <w:jc w:val="left"/>
        <w:rPr>
          <w:rFonts w:ascii="Liberation Sans" w:hAnsi="Liberation Sans" w:eastAsia="Liberation Sans" w:cs="Liberation Sans"/>
          <w:i/>
          <w:i/>
          <w:sz w:val="16"/>
          <w:szCs w:val="16"/>
          <w:highlight w:val="cyan"/>
        </w:rPr>
      </w:pPr>
      <w:r>
        <w:rPr>
          <w:i/>
          <w:sz w:val="16"/>
          <w:szCs w:val="16"/>
          <w:highlight w:val="cyan"/>
        </w:rPr>
        <w:t>Copie : {#isEDFOA}EDF OA{/isEDFOA}{#isEDFSEI}EDF SEI{/isEDFSEI}{#isEDM}EDM{/isEDM} ; {#dreal}DREAL {dreal}{/dreal}{^dreal}DREAL concernée{/dreal} ; CRE</w:t>
      </w:r>
    </w:p>
    <w:p>
      <w:pPr>
        <w:pStyle w:val="LO-normal"/>
        <w:spacing w:lineRule="auto" w:line="240" w:before="160" w:after="160"/>
        <w:jc w:val="both"/>
        <w:rPr>
          <w:rFonts w:ascii="Liberation Sans" w:hAnsi="Liberation Sans" w:eastAsia="Liberation Sans" w:cs="Liberation Sans"/>
          <w:sz w:val="20"/>
          <w:szCs w:val="20"/>
        </w:rPr>
      </w:pPr>
      <w:r>
        <w:rPr>
          <w:rFonts w:eastAsia="Liberation Sans" w:cs="Liberation Sans" w:ascii="Liberation Sans" w:hAnsi="Liberation Sans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964" w:right="964" w:gutter="0" w:header="708" w:top="964" w:footer="708" w:bottom="96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ArialMT">
    <w:altName w:val=" Arial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</w:rPr>
    </w:r>
  </w:p>
  <w:p>
    <w:pPr>
      <w:pStyle w:val="LO-normal"/>
      <w:spacing w:lineRule="auto" w:line="240" w:before="0" w:after="0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t>{#isEngagementParticipatif}</w:t>
    </w:r>
    <w:r>
      <w:rPr>
        <w:rFonts w:eastAsia="Arial" w:cs="Arial" w:ascii="Arial" w:hAnsi="Arial"/>
        <w:sz w:val="14"/>
        <w:szCs w:val="14"/>
        <w:vertAlign w:val="superscript"/>
      </w:rPr>
      <w:t>1</w:t>
    </w:r>
    <w:r>
      <w:rPr>
        <w:rFonts w:eastAsia="Arial" w:cs="Arial" w:ascii="Arial" w:hAnsi="Arial"/>
        <w:sz w:val="14"/>
        <w:szCs w:val="14"/>
      </w:rPr>
      <w:t xml:space="preserve"> Paragraphe(s) {paragrapheEngagementIPFP} du cahier des charges</w:t>
    </w:r>
    <w:r>
      <w:rPr>
        <w:rFonts w:eastAsia="Arial" w:cs="Arial" w:ascii="Arial" w:hAnsi="Arial"/>
        <w:sz w:val="16"/>
        <w:szCs w:val="16"/>
      </w:rPr>
      <w:t>{/isEngagementParticipatif}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2</w:t>
    </w:r>
    <w:r>
      <w:rPr>
        <w:rFonts w:eastAsia="Arial" w:cs="Arial" w:ascii="Arial" w:hAnsi="Arial"/>
        <w:sz w:val="14"/>
        <w:szCs w:val="14"/>
      </w:rPr>
      <w:t xml:space="preserve"> Paragraphe {renvoiDemandeCompleteRaccordement} du cahier des charges{#soumisGF}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3</w:t>
    </w:r>
    <w:r>
      <w:rPr>
        <w:rFonts w:eastAsia="Arial" w:cs="Arial" w:ascii="Arial" w:hAnsi="Arial"/>
        <w:sz w:val="14"/>
        <w:szCs w:val="14"/>
      </w:rPr>
      <w:t xml:space="preserve"> Paragraphes {renvoiRetraitDesignationGarantieFinancieres} du cahier des charges{/soumisGF}{#AOInnovation}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4</w:t>
    </w:r>
    <w:r>
      <w:rPr>
        <w:rFonts w:eastAsia="Arial" w:cs="Arial" w:ascii="Arial" w:hAnsi="Arial"/>
        <w:sz w:val="14"/>
        <w:szCs w:val="14"/>
      </w:rPr>
      <w:t xml:space="preserve"> Paragraphes 3.2.4 et 3.2.5 du cahier des charges</w:t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sz w:val="14"/>
        <w:szCs w:val="14"/>
        <w:vertAlign w:val="superscript"/>
      </w:rPr>
      <w:t xml:space="preserve">5 </w:t>
    </w:r>
    <w:r>
      <w:rPr>
        <w:rFonts w:eastAsia="Arial" w:cs="Arial" w:ascii="Arial" w:hAnsi="Arial"/>
        <w:sz w:val="14"/>
        <w:szCs w:val="14"/>
      </w:rPr>
      <w:t>Paragraphe 5.4.4 du cahier des charges{/AOInnovation}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</w:rPr>
    </w:r>
  </w:p>
  <w:p>
    <w:pPr>
      <w:pStyle w:val="LO-normal"/>
      <w:spacing w:lineRule="auto" w:line="240" w:before="0" w:after="0"/>
      <w:rPr>
        <w:rFonts w:ascii="Arial" w:hAnsi="Arial" w:eastAsia="Arial" w:cs="Arial"/>
        <w:sz w:val="16"/>
        <w:szCs w:val="16"/>
      </w:rPr>
    </w:pPr>
    <w:r>
      <w:rPr>
        <w:rFonts w:eastAsia="Arial" w:cs="Arial" w:ascii="Arial" w:hAnsi="Arial"/>
        <w:sz w:val="16"/>
        <w:szCs w:val="16"/>
      </w:rPr>
      <w:t>{#isEngagementParticipatif}</w:t>
    </w:r>
    <w:r>
      <w:rPr>
        <w:rFonts w:eastAsia="Arial" w:cs="Arial" w:ascii="Arial" w:hAnsi="Arial"/>
        <w:sz w:val="14"/>
        <w:szCs w:val="14"/>
        <w:vertAlign w:val="superscript"/>
      </w:rPr>
      <w:t>1</w:t>
    </w:r>
    <w:r>
      <w:rPr>
        <w:rFonts w:eastAsia="Arial" w:cs="Arial" w:ascii="Arial" w:hAnsi="Arial"/>
        <w:sz w:val="14"/>
        <w:szCs w:val="14"/>
      </w:rPr>
      <w:t xml:space="preserve"> Paragraphe(s) {paragrapheEngagementIPFPGPFC} du cahier des charges</w:t>
    </w:r>
    <w:r>
      <w:rPr>
        <w:rFonts w:eastAsia="Arial" w:cs="Arial" w:ascii="Arial" w:hAnsi="Arial"/>
        <w:sz w:val="16"/>
        <w:szCs w:val="16"/>
      </w:rPr>
      <w:t>{/isEngagementParticipatif}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2</w:t>
    </w:r>
    <w:r>
      <w:rPr>
        <w:rFonts w:eastAsia="Arial" w:cs="Arial" w:ascii="Arial" w:hAnsi="Arial"/>
        <w:sz w:val="14"/>
        <w:szCs w:val="14"/>
      </w:rPr>
      <w:t xml:space="preserve"> Paragraphe {renvoiDemandeCompleteRaccordement} du cahier des charges{#soumisGF}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3</w:t>
    </w:r>
    <w:r>
      <w:rPr>
        <w:rFonts w:eastAsia="Arial" w:cs="Arial" w:ascii="Arial" w:hAnsi="Arial"/>
        <w:sz w:val="14"/>
        <w:szCs w:val="14"/>
      </w:rPr>
      <w:t xml:space="preserve"> Paragraphes {renvoiRetraitDesignationGarantieFinancieres} du cahier des charges{/soumisGF}{#AOInnovation}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>4</w:t>
    </w:r>
    <w:r>
      <w:rPr>
        <w:rFonts w:eastAsia="Arial" w:cs="Arial" w:ascii="Arial" w:hAnsi="Arial"/>
        <w:sz w:val="14"/>
        <w:szCs w:val="14"/>
      </w:rPr>
      <w:t xml:space="preserve"> Paragraphes 3.2.4 et 3.2.5 du cahier des charges</w:t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rPr>
        <w:rFonts w:ascii="Arial" w:hAnsi="Arial" w:eastAsia="Arial" w:cs="Arial"/>
        <w:sz w:val="14"/>
        <w:szCs w:val="14"/>
      </w:rPr>
    </w:pPr>
    <w:r>
      <w:rPr>
        <w:rFonts w:eastAsia="Arial" w:cs="Arial" w:ascii="Arial" w:hAnsi="Arial"/>
        <w:sz w:val="14"/>
        <w:szCs w:val="14"/>
        <w:vertAlign w:val="superscript"/>
      </w:rPr>
      <w:t xml:space="preserve">5 </w:t>
    </w:r>
    <w:r>
      <w:rPr>
        <w:rFonts w:eastAsia="Arial" w:cs="Arial" w:ascii="Arial" w:hAnsi="Arial"/>
        <w:sz w:val="14"/>
        <w:szCs w:val="14"/>
      </w:rPr>
      <w:t>Paragraphe 5.4.4 du cahier des charges{/AOInnovation}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spacing w:lineRule="auto" w:line="259" w:before="0" w:after="0"/>
      <w:ind w:hanging="0" w:left="0" w:right="0"/>
      <w:jc w:val="right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ab/>
      <w:t>92005 La Défense cedex – Tél : 33(0)1 40 81 98 21 – Fax : 33(0)1 40 81 93 97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keepNext w:val="false"/>
      <w:keepLines w:val="false"/>
      <w:widowControl/>
      <w:shd w:val="clear" w:color="auto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drawing>
        <wp:anchor behindDoc="1" distT="0" distB="0" distL="114935" distR="114935" simplePos="0" locked="0" layoutInCell="0" allowOverlap="1" relativeHeight="2">
          <wp:simplePos x="0" y="0"/>
          <wp:positionH relativeFrom="column">
            <wp:posOffset>0</wp:posOffset>
          </wp:positionH>
          <wp:positionV relativeFrom="paragraph">
            <wp:posOffset>162560</wp:posOffset>
          </wp:positionV>
          <wp:extent cx="2206625" cy="1827530"/>
          <wp:effectExtent l="0" t="0" r="0" b="0"/>
          <wp:wrapSquare wrapText="bothSides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6625" cy="1827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keepNext w:val="false"/>
      <w:keepLines w:val="false"/>
      <w:widowControl w:val="false"/>
      <w:shd w:val="clear" w:color="auto" w:fill="auto"/>
      <w:tabs>
        <w:tab w:val="clear" w:pos="720"/>
        <w:tab w:val="right" w:pos="9026" w:leader="none"/>
      </w:tabs>
      <w:spacing w:lineRule="auto" w:line="240" w:before="0" w:after="0"/>
      <w:ind w:hanging="0" w:left="0" w:right="55"/>
      <w:jc w:val="right"/>
      <w:rPr>
        <w:lang w:val="fr-FR"/>
      </w:rPr>
    </w:pPr>
    <w:r>
      <w:rPr>
        <w:rStyle w:val="Strong"/>
        <w:rFonts w:eastAsia="Arial" w:cs="Arial" w:ascii="Arial" w:hAnsi="Arial"/>
        <w:b/>
        <w:bCs/>
        <w:i w:val="false"/>
        <w:iCs w:val="false"/>
        <w:caps w:val="false"/>
        <w:smallCaps w:val="false"/>
        <w:sz w:val="24"/>
        <w:szCs w:val="24"/>
        <w:lang w:val="fr-FR"/>
      </w:rPr>
      <w:t xml:space="preserve">Direction générale de </w:t>
    </w: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strike w:val="false"/>
        <w:dstrike w:val="false"/>
        <w:color w:themeColor="text2" w:val="000000"/>
        <w:sz w:val="24"/>
        <w:szCs w:val="24"/>
        <w:u w:val="none"/>
        <w:lang w:val="fr-FR"/>
      </w:rPr>
      <w:t>l’énergie et du climat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4"/>
        <w:szCs w:val="24"/>
      </w:rPr>
    </w:pPr>
    <w:r>
      <w:rPr>
        <w:rFonts w:eastAsia="Arial" w:cs="Arial" w:ascii="Arial" w:hAnsi="Arial"/>
        <w:b/>
        <w:sz w:val="24"/>
        <w:szCs w:val="24"/>
      </w:rPr>
      <w:t>Direction de l’énergie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bookmarkStart w:id="1" w:name="_heading=h.gjdgxs"/>
    <w:bookmarkEnd w:id="1"/>
    <w:r>
      <w:rPr>
        <w:rFonts w:eastAsia="Arial" w:cs="Arial" w:ascii="Arial" w:hAnsi="Arial"/>
        <w:b/>
        <w:sz w:val="20"/>
        <w:szCs w:val="20"/>
      </w:rPr>
      <w:t>Sous-direction du système électrique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r>
      <w:rPr>
        <w:rFonts w:eastAsia="Arial" w:cs="Arial" w:ascii="Arial" w:hAnsi="Arial"/>
        <w:b/>
        <w:sz w:val="20"/>
        <w:szCs w:val="20"/>
      </w:rPr>
      <w:t>et des énergies renouvelables</w:t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r>
      <w:rPr>
        <w:rFonts w:eastAsia="Arial" w:cs="Arial" w:ascii="Arial" w:hAnsi="Arial"/>
        <w:b/>
        <w:sz w:val="20"/>
        <w:szCs w:val="20"/>
      </w:rPr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r>
      <w:rPr>
        <w:rFonts w:eastAsia="Arial" w:cs="Arial" w:ascii="Arial" w:hAnsi="Arial"/>
        <w:b/>
        <w:sz w:val="20"/>
        <w:szCs w:val="20"/>
      </w:rPr>
    </w:r>
  </w:p>
  <w:p>
    <w:pPr>
      <w:pStyle w:val="LO-normal"/>
      <w:widowControl w:val="false"/>
      <w:tabs>
        <w:tab w:val="clear" w:pos="720"/>
        <w:tab w:val="right" w:pos="9026" w:leader="none"/>
      </w:tabs>
      <w:spacing w:lineRule="auto" w:line="240" w:before="0" w:after="0"/>
      <w:ind w:hanging="0" w:right="55"/>
      <w:jc w:val="right"/>
      <w:rPr>
        <w:rFonts w:ascii="Arial" w:hAnsi="Arial" w:eastAsia="Arial" w:cs="Arial"/>
        <w:b/>
        <w:sz w:val="20"/>
        <w:szCs w:val="20"/>
      </w:rPr>
    </w:pPr>
    <w:r>
      <w:rPr>
        <w:rFonts w:eastAsia="Arial" w:cs="Arial" w:ascii="Arial" w:hAnsi="Arial"/>
        <w:b/>
        <w:sz w:val="20"/>
        <w:szCs w:val="20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center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LO-normal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isLgl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isLgl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isLgl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isLgl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isLgl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isLgl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isLgl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isLgl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LO-normal"/>
    <w:next w:val="LO-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LO-normal"/>
    <w:next w:val="LO-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basdepage">
    <w:name w:val="Caractères de note de bas de page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resdenotedefin">
    <w:name w:val="Caractères de note de fin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rong">
    <w:name w:val="Strong"/>
    <w:qFormat/>
    <w:rPr>
      <w:b/>
      <w:bCs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LO-normal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paragraph" w:styleId="LO-normal1">
    <w:name w:val="LO-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10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">
    <w:name w:val="Table Grid"/>
    <w:basedOn w:val="10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">
    <w:name w:val="Table Grid Light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">
    <w:name w:val="Plain Table 1"/>
    <w:basedOn w:val="10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2"/>
    <w:basedOn w:val="10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3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4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5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Grid Table 1 Light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rPr>
        <w:sz w:val="22"/>
      </w:rPr>
      <w:tblPr/>
      <w:tcPr>
        <w:shd w:val="clear" w:color="FFFFFF" w:fill="C3FEBA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 - Accent 1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5FEBD" w:themeFill="accent1" w:themeFillTint="32"/>
      </w:tcPr>
    </w:tblStylePr>
    <w:tblStylePr w:type="band1Vert">
      <w:pPr/>
      <w:rPr>
        <w:sz w:val="22"/>
      </w:rPr>
      <w:tblPr/>
      <w:tcPr>
        <w:shd w:val="clear" w:color="FFFFFF" w:fill="C5FEBD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CBF04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2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3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43F03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4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5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6"/>
    <w:basedOn w:val="10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8FC64" w:themeFill="accent1" w:themeFillTint="75"/>
      </w:tcPr>
    </w:tblStylePr>
    <w:tblStylePr w:type="band1Vert">
      <w:pPr/>
      <w:tblPr/>
      <w:tcPr>
        <w:shd w:val="clear" w:color="FFFFFF" w:fill="78FC6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18A303" w:themeFill="accent1"/>
      </w:tcPr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  <w:sz w:val="22"/>
      </w:rPr>
      <w:tblPr/>
      <w:tcPr>
        <w:shd w:val="clear" w:color="FFFFFF" w:fill="18A303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8A303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64C5FC" w:themeFill="accent2" w:themeFillTint="75"/>
      </w:tcPr>
    </w:tblStylePr>
    <w:tblStylePr w:type="band1Vert">
      <w:pPr/>
      <w:tblPr/>
      <w:tcPr>
        <w:shd w:val="clear" w:color="FFFFFF" w:fill="64C5F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369A3" w:themeFill="accent2"/>
      </w:tcPr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  <w:sz w:val="22"/>
      </w:rPr>
      <w:tblPr/>
      <w:tcPr>
        <w:shd w:val="clear" w:color="FFFFFF" w:fill="0369A3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369A3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C9C64" w:themeFill="accent3" w:themeFillTint="75"/>
      </w:tcPr>
    </w:tblStylePr>
    <w:tblStylePr w:type="band1Vert">
      <w:pPr/>
      <w:tblPr/>
      <w:tcPr>
        <w:shd w:val="clear" w:color="FFFFFF" w:fill="FC9C64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33E03" w:themeFill="accent3"/>
      </w:tcPr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  <w:sz w:val="22"/>
      </w:rPr>
      <w:tblPr/>
      <w:tcPr>
        <w:shd w:val="clear" w:color="FFFFFF" w:fill="A33E03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33E03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864FC" w:themeFill="accent4" w:themeFillTint="75"/>
      </w:tcPr>
    </w:tblStylePr>
    <w:tblStylePr w:type="band1Vert">
      <w:pPr/>
      <w:tblPr/>
      <w:tcPr>
        <w:shd w:val="clear" w:color="FFFFFF" w:fill="E864FC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E03A3" w:themeFill="accent4"/>
      </w:tcPr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  <w:sz w:val="22"/>
      </w:rPr>
      <w:tblPr/>
      <w:tcPr>
        <w:shd w:val="clear" w:color="FFFFFF" w:fill="8E03A3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E03A3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DF71" w:themeFill="accent5" w:themeFillTint="75"/>
      </w:tcPr>
    </w:tblStylePr>
    <w:tblStylePr w:type="band1Vert">
      <w:pPr/>
      <w:tblPr/>
      <w:tcPr>
        <w:shd w:val="clear" w:color="FFFFFF" w:fill="FFDF71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9C00" w:themeFill="accent5"/>
      </w:tcPr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  <w:sz w:val="22"/>
      </w:rPr>
      <w:tblPr/>
      <w:tcPr>
        <w:shd w:val="clear" w:color="FFFFFF" w:fill="C99C00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E9190" w:themeFill="accent6" w:themeFillTint="75"/>
      </w:tcPr>
    </w:tblStylePr>
    <w:tblStylePr w:type="band1Vert">
      <w:pPr/>
      <w:tblPr/>
      <w:tcPr>
        <w:shd w:val="clear" w:color="FFFFFF" w:fill="EE9190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9211E" w:themeFill="accent6"/>
      </w:tcPr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  <w:sz w:val="22"/>
      </w:rPr>
      <w:tblPr/>
      <w:tcPr>
        <w:shd w:val="clear" w:color="FFFFFF" w:fill="C9211E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54">
    <w:name w:val="Grid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55">
    <w:name w:val="Grid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56">
    <w:name w:val="Grid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57">
    <w:name w:val="Grid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58">
    <w:name w:val="Grid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59">
    <w:name w:val="Grid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60">
    <w:name w:val="Grid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1">
    <w:name w:val="Grid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C3FEBA" w:themeFill="accent1" w:themeFillTint="34"/>
      </w:tcPr>
    </w:tblStylePr>
    <w:tblStylePr w:type="band1Vert">
      <w:pPr/>
      <w:tblPr/>
      <w:tcPr>
        <w:shd w:val="clear" w:color="FFFFFF" w:fill="C3FEBA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BDE6FE" w:themeFill="accent2" w:themeFillTint="32"/>
      </w:tcPr>
    </w:tblStylePr>
    <w:tblStylePr w:type="band1Vert">
      <w:pPr/>
      <w:tblPr/>
      <w:tcPr>
        <w:shd w:val="clear" w:color="FFFFFF" w:fill="BDE6FE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FED3BA" w:themeFill="accent3" w:themeFillTint="34"/>
      </w:tcPr>
    </w:tblStylePr>
    <w:tblStylePr w:type="band1Vert">
      <w:pPr/>
      <w:tblPr/>
      <w:tcPr>
        <w:shd w:val="clear" w:color="FFFFFF" w:fill="FED3BA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5BAFE" w:themeFill="accent4" w:themeFillTint="34"/>
      </w:tcPr>
    </w:tblStylePr>
    <w:tblStylePr w:type="band1Vert">
      <w:pPr/>
      <w:tblPr/>
      <w:tcPr>
        <w:shd w:val="clear" w:color="FFFFFF" w:fill="F5BAFE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FF1C0" w:themeFill="accent5" w:themeFillTint="34"/>
      </w:tcPr>
    </w:tblStylePr>
    <w:tblStylePr w:type="band1Vert">
      <w:pPr/>
      <w:tblPr/>
      <w:tcPr>
        <w:shd w:val="clear" w:color="FFFFFF" w:fill="FFF1C0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8CECD" w:themeFill="accent6" w:themeFillTint="34"/>
      </w:tcPr>
    </w:tblStylePr>
    <w:tblStylePr w:type="band1Vert">
      <w:pPr/>
      <w:tblPr/>
      <w:tcPr>
        <w:shd w:val="clear" w:color="FFFFFF" w:fill="F8CECD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List Table 1 Light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 - Accent 1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2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3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4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5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6"/>
    <w:basedOn w:val="10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B7F36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544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9706E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rPr>
        <w:sz w:val="22"/>
      </w:rPr>
      <w:tblPr/>
      <w:tcPr>
        <w:shd w:val="clear" w:color="FFFFFF" w:fill="B5FDAA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18A303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rPr>
        <w:sz w:val="22"/>
      </w:rPr>
      <w:tblPr/>
      <w:tcPr>
        <w:shd w:val="clear" w:color="FFFFFF" w:fill="AADFFD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369A3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rPr>
        <w:sz w:val="22"/>
      </w:rPr>
      <w:tblPr/>
      <w:tcPr>
        <w:shd w:val="clear" w:color="FFFFFF" w:fill="FDC9A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33E03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rPr>
        <w:sz w:val="22"/>
      </w:rPr>
      <w:tblPr/>
      <w:tcPr>
        <w:shd w:val="clear" w:color="FFFFFF" w:fill="F3AAFD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03A3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rPr>
        <w:sz w:val="22"/>
      </w:rPr>
      <w:tblPr/>
      <w:tcPr>
        <w:shd w:val="clear" w:color="FFFFFF" w:fill="FFEEB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9C00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rPr>
        <w:sz w:val="22"/>
      </w:rPr>
      <w:tblPr/>
      <w:tcPr>
        <w:shd w:val="clear" w:color="FFFFFF" w:fill="F6C3C2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211E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5 Dark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6">
    <w:name w:val="List Table 5 Dark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8A303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8A303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8A303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7">
    <w:name w:val="List Table 5 Dark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37B4FB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37B4FB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37B4FB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8">
    <w:name w:val="List Table 5 Dark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B7F36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B7F36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FB7F36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99">
    <w:name w:val="List Table 5 Dark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133FB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133FB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E133FB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0">
    <w:name w:val="List Table 5 Dark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544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544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FFD544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1">
    <w:name w:val="List Table 5 Dark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E9706E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E9706E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E9706E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02">
    <w:name w:val="List Table 6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">
    <w:name w:val="List Table 6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7 Colorful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0">
    <w:name w:val="List Table 7 Colorful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B5FDAA" w:themeFill="accent1" w:themeFillTint="40"/>
      </w:tcPr>
    </w:tblStylePr>
    <w:tblStylePr w:type="band1Vert">
      <w:pPr/>
      <w:tblPr/>
      <w:tcPr>
        <w:shd w:val="clear" w:color="FFFFFF" w:fill="B5FDAA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1">
    <w:name w:val="List Table 7 Colorful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AADFFD" w:themeFill="accent2" w:themeFillTint="40"/>
      </w:tcPr>
    </w:tblStylePr>
    <w:tblStylePr w:type="band1Vert">
      <w:pPr/>
      <w:tblPr/>
      <w:tcPr>
        <w:shd w:val="clear" w:color="FFFFFF" w:fill="AADFFD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">
    <w:name w:val="List Table 7 Colorful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FDC9AA" w:themeFill="accent3" w:themeFillTint="40"/>
      </w:tcPr>
    </w:tblStylePr>
    <w:tblStylePr w:type="band1Vert">
      <w:pPr/>
      <w:tblPr/>
      <w:tcPr>
        <w:shd w:val="clear" w:color="FFFFFF" w:fill="FDC9AA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">
    <w:name w:val="List Table 7 Colorful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F3AAFD" w:themeFill="accent4" w:themeFillTint="40"/>
      </w:tcPr>
    </w:tblStylePr>
    <w:tblStylePr w:type="band1Vert">
      <w:pPr/>
      <w:tblPr/>
      <w:tcPr>
        <w:shd w:val="clear" w:color="FFFFFF" w:fill="F3AAFD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4">
    <w:name w:val="List Table 7 Colorful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FFEEB1" w:themeFill="accent5" w:themeFillTint="40"/>
      </w:tcPr>
    </w:tblStylePr>
    <w:tblStylePr w:type="band1Vert">
      <w:pPr/>
      <w:tblPr/>
      <w:tcPr>
        <w:shd w:val="clear" w:color="FFFFFF" w:fill="FFEEB1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5">
    <w:name w:val="List Table 7 Colorful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6C3C2" w:themeFill="accent6" w:themeFillTint="40"/>
      </w:tcPr>
    </w:tblStylePr>
    <w:tblStylePr w:type="band1Vert">
      <w:pPr/>
      <w:tblPr/>
      <w:tcPr>
        <w:shd w:val="clear" w:color="FFFFFF" w:fill="F6C3C2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6">
    <w:name w:val="Lined - Accent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7">
    <w:name w:val="Lined - Accent 1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2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3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4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5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6"/>
    <w:basedOn w:val="10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Bordered &amp; Lined - Accent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 1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A3FD95" w:themeFill="accent1" w:themeFillTint="50"/>
      </w:tcPr>
    </w:tblStylePr>
    <w:tblStylePr w:type="band2Vert">
      <w:pPr/>
      <w:rPr>
        <w:sz w:val="22"/>
      </w:rPr>
      <w:tblPr/>
      <w:tcPr>
        <w:shd w:val="clear" w:color="FFFFFF" w:fill="A3FD95" w:themeFill="accent1" w:themeFillTint="50"/>
      </w:tcPr>
    </w:tblStylePr>
    <w:tblStylePr w:type="fir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fir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lastCol">
      <w:pPr/>
      <w:rPr>
        <w:sz w:val="22"/>
      </w:rPr>
      <w:tblPr/>
      <w:tcPr>
        <w:shd w:val="clear" w:color="FFFFFF" w:fill="1CBF04" w:themeFill="accent1" w:themeFillTint="ea"/>
      </w:tcPr>
    </w:tblStylePr>
    <w:tblStylePr w:type="lastRow">
      <w:pPr/>
      <w:rPr>
        <w:sz w:val="22"/>
      </w:rPr>
      <w:tblPr/>
      <w:tcPr>
        <w:shd w:val="clear" w:color="FFFFFF" w:fill="1CBF04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2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BDE6FE" w:themeFill="accent2" w:themeFillTint="32"/>
      </w:tcPr>
    </w:tblStylePr>
    <w:tblStylePr w:type="band2Vert">
      <w:pPr/>
      <w:rPr>
        <w:sz w:val="22"/>
      </w:rPr>
      <w:tblPr/>
      <w:tcPr>
        <w:shd w:val="clear" w:color="FFFFFF" w:fill="BDE6FE" w:themeFill="accent2" w:themeFillTint="32"/>
      </w:tcPr>
    </w:tblStylePr>
    <w:tblStylePr w:type="fir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fir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lastCol">
      <w:pPr/>
      <w:rPr>
        <w:sz w:val="22"/>
      </w:rPr>
      <w:tblPr/>
      <w:tcPr>
        <w:shd w:val="clear" w:color="FFFFFF" w:fill="37B4FB" w:themeFill="accent2" w:themeFillTint="97"/>
      </w:tcPr>
    </w:tblStylePr>
    <w:tblStylePr w:type="lastRow">
      <w:pPr/>
      <w:rPr>
        <w:sz w:val="22"/>
      </w:rPr>
      <w:tblPr/>
      <w:tcPr>
        <w:shd w:val="clear" w:color="FFFFFF" w:fill="37B4FB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3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ED3BA" w:themeFill="accent3" w:themeFillTint="34"/>
      </w:tcPr>
    </w:tblStylePr>
    <w:tblStylePr w:type="band2Vert">
      <w:pPr/>
      <w:rPr>
        <w:sz w:val="22"/>
      </w:rPr>
      <w:tblPr/>
      <w:tcPr>
        <w:shd w:val="clear" w:color="FFFFFF" w:fill="FED3BA" w:themeFill="accent3" w:themeFillTint="34"/>
      </w:tcPr>
    </w:tblStylePr>
    <w:tblStylePr w:type="fir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fir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lastCol">
      <w:pPr/>
      <w:rPr>
        <w:sz w:val="22"/>
      </w:rPr>
      <w:tblPr/>
      <w:tcPr>
        <w:shd w:val="clear" w:color="FFFFFF" w:fill="A43F03" w:themeFill="accent3" w:themeFillTint="fe"/>
      </w:tcPr>
    </w:tblStylePr>
    <w:tblStylePr w:type="lastRow">
      <w:pPr/>
      <w:rPr>
        <w:sz w:val="22"/>
      </w:rPr>
      <w:tblPr/>
      <w:tcPr>
        <w:shd w:val="clear" w:color="FFFFFF" w:fill="A43F03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4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5BAFE" w:themeFill="accent4" w:themeFillTint="34"/>
      </w:tcPr>
    </w:tblStylePr>
    <w:tblStylePr w:type="band2Vert">
      <w:pPr/>
      <w:rPr>
        <w:sz w:val="22"/>
      </w:rPr>
      <w:tblPr/>
      <w:tcPr>
        <w:shd w:val="clear" w:color="FFFFFF" w:fill="F5BAFE" w:themeFill="accent4" w:themeFillTint="34"/>
      </w:tcPr>
    </w:tblStylePr>
    <w:tblStylePr w:type="fir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fir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lastCol">
      <w:pPr/>
      <w:rPr>
        <w:sz w:val="22"/>
      </w:rPr>
      <w:tblPr/>
      <w:tcPr>
        <w:shd w:val="clear" w:color="FFFFFF" w:fill="E133FB" w:themeFill="accent4" w:themeFillTint="9a"/>
      </w:tcPr>
    </w:tblStylePr>
    <w:tblStylePr w:type="lastRow">
      <w:pPr/>
      <w:rPr>
        <w:sz w:val="22"/>
      </w:rPr>
      <w:tblPr/>
      <w:tcPr>
        <w:shd w:val="clear" w:color="FFFFFF" w:fill="E133FB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5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1C0" w:themeFill="accent5" w:themeFillTint="34"/>
      </w:tcPr>
    </w:tblStylePr>
    <w:tblStylePr w:type="band2Vert">
      <w:pPr/>
      <w:rPr>
        <w:sz w:val="22"/>
      </w:rPr>
      <w:tblPr/>
      <w:tcPr>
        <w:shd w:val="clear" w:color="FFFFFF" w:fill="FFF1C0" w:themeFill="accent5" w:themeFillTint="34"/>
      </w:tcPr>
    </w:tblStylePr>
    <w:tblStylePr w:type="firstCol">
      <w:pPr/>
      <w:rPr>
        <w:sz w:val="22"/>
      </w:rPr>
      <w:tblPr/>
      <w:tcPr>
        <w:shd w:val="clear" w:color="FFFFFF" w:fill="C99C00" w:themeFill="accent5"/>
      </w:tcPr>
    </w:tblStylePr>
    <w:tblStylePr w:type="firstRow">
      <w:pPr/>
      <w:rPr>
        <w:sz w:val="22"/>
      </w:rPr>
      <w:tblPr/>
      <w:tcPr>
        <w:shd w:val="clear" w:color="FFFFFF" w:fill="C99C00" w:themeFill="accent5"/>
      </w:tcPr>
    </w:tblStylePr>
    <w:tblStylePr w:type="lastCol">
      <w:pPr/>
      <w:rPr>
        <w:sz w:val="22"/>
      </w:rPr>
      <w:tblPr/>
      <w:tcPr>
        <w:shd w:val="clear" w:color="FFFFFF" w:fill="C99C00" w:themeFill="accent5"/>
      </w:tcPr>
    </w:tblStylePr>
    <w:tblStylePr w:type="lastRow">
      <w:pPr/>
      <w:rPr>
        <w:sz w:val="22"/>
      </w:rPr>
      <w:tblPr/>
      <w:tcPr>
        <w:shd w:val="clear" w:color="FFFFFF" w:fill="C99C00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6"/>
    <w:basedOn w:val="10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8CECD" w:themeFill="accent6" w:themeFillTint="34"/>
      </w:tcPr>
    </w:tblStylePr>
    <w:tblStylePr w:type="band2Vert">
      <w:pPr/>
      <w:rPr>
        <w:sz w:val="22"/>
      </w:rPr>
      <w:tblPr/>
      <w:tcPr>
        <w:shd w:val="clear" w:color="FFFFFF" w:fill="F8CECD" w:themeFill="accent6" w:themeFillTint="34"/>
      </w:tcPr>
    </w:tblStylePr>
    <w:tblStylePr w:type="firstCol">
      <w:pPr/>
      <w:rPr>
        <w:sz w:val="22"/>
      </w:rPr>
      <w:tblPr/>
      <w:tcPr>
        <w:shd w:val="clear" w:color="FFFFFF" w:fill="C9211E" w:themeFill="accent6"/>
      </w:tcPr>
    </w:tblStylePr>
    <w:tblStylePr w:type="firstRow">
      <w:pPr/>
      <w:rPr>
        <w:sz w:val="22"/>
      </w:rPr>
      <w:tblPr/>
      <w:tcPr>
        <w:shd w:val="clear" w:color="FFFFFF" w:fill="C9211E" w:themeFill="accent6"/>
      </w:tcPr>
    </w:tblStylePr>
    <w:tblStylePr w:type="lastCol">
      <w:pPr/>
      <w:rPr>
        <w:sz w:val="22"/>
      </w:rPr>
      <w:tblPr/>
      <w:tcPr>
        <w:shd w:val="clear" w:color="FFFFFF" w:fill="C9211E" w:themeFill="accent6"/>
      </w:tcPr>
    </w:tblStylePr>
    <w:tblStylePr w:type="lastRow">
      <w:pPr/>
      <w:rPr>
        <w:sz w:val="22"/>
      </w:rPr>
      <w:tblPr/>
      <w:tcPr>
        <w:shd w:val="clear" w:color="FFFFFF" w:fill="C9211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 - Accent 1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2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3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4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5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6"/>
    <w:basedOn w:val="10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7">
    <w:name w:val="Normal Table1"/>
    <w:pPr/>
    <w:tblPr/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QoYJJNLwPBsHJVSTxQOkB9H22Ew==">AMUW2mWBVH0dngnZ5mUuolFddVd3c5k09sHodsX/9z+X6Ae+qwQ0yKJLj2cmzehGUOdgYdZ6winv2tvRF5uYgATlv2LvxW/ADWOkQEzRPORwhFkXv57w1QNz4g0+iMTLP2OqE8o4Eqnw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3</Pages>
  <Words>895</Words>
  <Characters>6414</Characters>
  <CharactersWithSpaces>7254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2026-10-08T09:56:04Z</dcterms:modified>
  <cp:revision>4</cp:revision>
  <dc:subject/>
  <dc:title/>
</cp:coreProperties>
</file>