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6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6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6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2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Paris, le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[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 xml:space="preserve">XX/XX/20XX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]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</w:p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</w:p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867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867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67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Recours gracieux pour un projet candidat à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867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867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En application des dispositions de l’article L. 311-10 du code de l’énergie, relatif à la procédure de mise en concurrence pour les installations de production d’électricité, le ministre chargé de l’énergie a lancé l’appel d’offres cité en objet.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En réponse à la {titrePeriode} période de cet appel d’offres, vous avez déposé le projet suivant{#familles}, dans la famille {titreFamille}{/familles} :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86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6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6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86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6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{puissance}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867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867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867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86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[référence du paragraphe origine de la non-instruction de l’offre ou de son élimination]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du cahier des charges de l’appel d’offres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  <w:highlight w:val="cyan"/>
        </w:rPr>
        <w:t xml:space="preserve">[Contenu du paragraphe origine de la non-instruction de l’offre ou de son élimination]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{#nonInstruit}Cette offre n’a pas été instruite par la Commission de régulation de l’énergie (CRE), pour la raison suivante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{motifsElimination}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».{/nonInstruit}{^nonInstruit}Suite à l’instruction de cette offre par la Commission de régulation de l’énergie (CRE), elle a été éliminée pour la raison suivante : 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{motifsElimination}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».{/nonInstruit}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de recours gracieux reçue dans nos services le {dateDemande}, vous contestez cette décision pour la ou les raison(s) suivante(s)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{justificationDemande}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  <w:highlight w:val="cyan"/>
        </w:rPr>
      </w:pP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Après examen de votre demande,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 j’ai le plaisir de vous informer que le projet susmentionné est désigné lauréat de la {titrePeriode} période de l’appel d’offres visé en objet / et compte-tenu des éléments précédents, je suis au regret de ne pas donner de suite favorable à votre demande.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</w:r>
    </w:p>
    <w:p>
      <w:pPr>
        <w:pStyle w:val="867"/>
        <w:widowControl w:val="false"/>
        <w:pBdr/>
        <w:spacing w:after="0" w:before="0" w:line="240" w:lineRule="auto"/>
        <w:ind w:firstLine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Conformément à l’engagement contenu dans votre offre, je vous informe que {tarifOuPrimeRetenue} en application des dispositions du paragraphe {paragraphePrixReference} du cahier des charges est de {prixReference}</w:t>
      </w:r>
      <w:r>
        <w:rPr>
          <w:rFonts w:ascii="ArialMT, Arial" w:hAnsi="ArialMT, Arial" w:eastAsia="ArialMT, Arial" w:cs="ArialMT, 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€/MWh. {#affichageParagrapheECS} La valeur de l’évaluation carbone des modules est de {evaluationCarbone} kg eq CO2/kWc. {/affichageParagrapheECS}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67"/>
        <w:widowControl w:val="false"/>
        <w:pBdr/>
        <w:spacing w:after="0" w:before="0" w:line="240" w:lineRule="auto"/>
        <w:ind w:firstLine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67"/>
        <w:widowControl w:val="false"/>
        <w:pBdr/>
        <w:spacing w:after="0" w:before="0" w:line="240" w:lineRule="auto"/>
        <w:ind w:firstLine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{#isEngagementParticipatif}Vous vous êtes engagés</w:t>
      </w:r>
      <w:r>
        <w:rPr>
          <w:rFonts w:ascii="Arial" w:hAnsi="Arial" w:eastAsia="Arial" w:cs="Arial"/>
          <w:sz w:val="20"/>
          <w:szCs w:val="20"/>
          <w:vertAlign w:val="superscript"/>
        </w:rPr>
        <w:t xml:space="preserve">1</w:t>
      </w:r>
      <w:r>
        <w:rPr>
          <w:rFonts w:ascii="Arial" w:hAnsi="Arial" w:eastAsia="Arial" w:cs="Arial"/>
          <w:sz w:val="20"/>
          <w:szCs w:val="20"/>
        </w:rPr>
        <w:t xml:space="preserve"> {#isFinancementCollectif} au financement collectif jusqu’à troi</w:t>
      </w:r>
      <w:r>
        <w:rPr>
          <w:rFonts w:ascii="Arial" w:hAnsi="Arial" w:eastAsia="Arial" w:cs="Arial"/>
          <w:sz w:val="20"/>
          <w:szCs w:val="20"/>
        </w:rPr>
        <w:t xml:space="preserve">s ans minimum après la Date d’Achèvement de l’Installation. {/isFinancementCollectif} {#isGouvernancePartagée} à la gouvernance partagée jusqu’à dix ans minimum après la Date d’Achèvement de l’Installation{/isGouvernancePartagée}{/isEngagementParticipatif}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67"/>
        <w:widowControl w:val="false"/>
        <w:pBdr/>
        <w:spacing w:after="0" w:before="0" w:line="240" w:lineRule="auto"/>
        <w:ind w:firstLine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widowControl w:val="false"/>
        <w:pBdr/>
        <w:spacing w:after="0" w:before="0" w:line="240" w:lineRule="auto"/>
        <w:ind w:firstLine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widowControl w:val="false"/>
        <w:pBdr/>
        <w:spacing w:after="120" w:before="0" w:line="240" w:lineRule="auto"/>
        <w:ind w:firstLine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{#engagementFournitureDePuissanceAlaPointe}Lors de la réponse à l’appel d’offres, vous avez indiqué </w:t>
      </w:r>
      <w:r>
        <w:rPr>
          <w:rFonts w:ascii="Arial" w:hAnsi="Arial" w:eastAsia="Arial" w:cs="Arial"/>
          <w:sz w:val="20"/>
          <w:szCs w:val="20"/>
        </w:rPr>
        <w:t xml:space="preserve">souhaiter un fonctionnement avec fourniture de puissance garantie à la pointe du soir et devez ainsi respecter les conditions de l’annexe 9 du cahier des charges relatives à la fourniture de puissance à la pointe.{/engagementFournitureDePuissanceAlaPointe}</w:t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67"/>
        <w:widowControl w:val="false"/>
        <w:pBdr/>
        <w:spacing w:after="120" w:before="0" w:line="240" w:lineRule="auto"/>
        <w:ind w:firstLine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Par ailleurs, je vous rappelle les obligations suivantes du fait de cette désignation :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widowControl w:val="false"/>
        <w:numPr>
          <w:ilvl w:val="0"/>
          <w:numId w:val="1"/>
        </w:numPr>
        <w:pBdr/>
        <w:spacing w:after="120" w:before="0" w:line="240" w:lineRule="auto"/>
        <w:ind w:firstLine="0" w:left="0"/>
        <w:jc w:val="both"/>
        <w:rPr/>
      </w:pPr>
      <w:r>
        <w:rPr>
          <w:rFonts w:ascii="Arial" w:hAnsi="Arial" w:eastAsia="Arial" w:cs="Arial"/>
          <w:sz w:val="20"/>
          <w:szCs w:val="20"/>
        </w:rPr>
        <w:t xml:space="preserve">respecter l'ensemble des obligations et prescriptions de toute nature figurant au cahier des charges; si ce n’est déjà fait, déposer une demande complète de raccordement dans les trois (3) mois à compter de la présente notification</w:t>
      </w:r>
      <w:r>
        <w:rPr>
          <w:rFonts w:ascii="Arial" w:hAnsi="Arial" w:eastAsia="Arial" w:cs="Arial"/>
          <w:sz w:val="20"/>
          <w:szCs w:val="20"/>
          <w:vertAlign w:val="superscript"/>
        </w:rPr>
        <w:t xml:space="preserve">2</w:t>
      </w:r>
      <w:r>
        <w:rPr>
          <w:rFonts w:ascii="Arial" w:hAnsi="Arial" w:eastAsia="Arial" w:cs="Arial"/>
          <w:sz w:val="20"/>
          <w:szCs w:val="20"/>
        </w:rPr>
        <w:t xml:space="preserve">{#eolien} ou dans les trois (3) mois suivant la délivrance de l’autorisation environnementale pour les cas de candidature sans autorisation environnementale{/eolien};{#soumisGF}</w:t>
      </w:r>
      <w:r/>
    </w:p>
    <w:p>
      <w:pPr>
        <w:pStyle w:val="867"/>
        <w:widowControl w:val="false"/>
        <w:numPr>
          <w:ilvl w:val="0"/>
          <w:numId w:val="2"/>
        </w:numPr>
        <w:pBdr/>
        <w:spacing w:after="120" w:before="0" w:line="240" w:lineRule="auto"/>
        <w:ind w:firstLine="0" w:left="0"/>
        <w:jc w:val="both"/>
        <w:rPr/>
      </w:pPr>
      <w:r>
        <w:rPr>
          <w:rFonts w:ascii="Arial" w:hAnsi="Arial" w:eastAsia="Arial" w:cs="Arial"/>
          <w:sz w:val="20"/>
          <w:szCs w:val="20"/>
          <w:u w:val="none"/>
        </w:rPr>
        <w:t xml:space="preserve">prévoir une durée de garantie financière d’exécution couvrant</w:t>
      </w:r>
      <w:bookmarkStart w:id="0" w:name="_GoBack"/>
      <w:r/>
      <w:bookmarkEnd w:id="0"/>
      <w:r>
        <w:rPr>
          <w:rFonts w:ascii="Arial" w:hAnsi="Arial" w:eastAsia="Arial" w:cs="Arial"/>
          <w:sz w:val="20"/>
          <w:szCs w:val="20"/>
          <w:u w:val="none"/>
        </w:rPr>
        <w:t xml:space="preserve"> jus</w:t>
      </w:r>
      <w:r>
        <w:rPr>
          <w:rFonts w:ascii="Arial" w:hAnsi="Arial" w:eastAsia="Arial" w:cs="Arial"/>
          <w:sz w:val="20"/>
          <w:szCs w:val="20"/>
          <w:u w:val="none"/>
        </w:rPr>
        <w:t xml:space="preserve">qu’à 6 mois après la date d’Achèvement de l’Installation (date de fourniture de l’attestation de conformité selon les disposition du paragraphe  {paragrapheAttestationConformite}) ou un renouvellement régulier afin d’assurer une telle couverture temporelle</w:t>
      </w:r>
      <w:r>
        <w:rPr>
          <w:rFonts w:ascii="Arial" w:hAnsi="Arial" w:eastAsia="Arial" w:cs="Arial"/>
          <w:sz w:val="20"/>
          <w:szCs w:val="20"/>
          <w:u w:val="none"/>
          <w:vertAlign w:val="superscript"/>
        </w:rPr>
        <w:t xml:space="preserve">3</w:t>
      </w:r>
      <w:r>
        <w:rPr>
          <w:rFonts w:ascii="Arial" w:hAnsi="Arial" w:eastAsia="Arial" w:cs="Arial"/>
          <w:sz w:val="20"/>
          <w:szCs w:val="20"/>
          <w:u w:val="single"/>
        </w:rPr>
        <w:t xml:space="preserve">;</w:t>
      </w:r>
      <w:r>
        <w:rPr>
          <w:rFonts w:ascii="Arial" w:hAnsi="Arial" w:eastAsia="Arial" w:cs="Arial"/>
          <w:sz w:val="20"/>
          <w:szCs w:val="20"/>
        </w:rPr>
        <w:t xml:space="preserve">{/soumisGF}{#AOInnovation}</w:t>
      </w:r>
      <w:r/>
    </w:p>
    <w:p>
      <w:pPr>
        <w:pStyle w:val="867"/>
        <w:widowControl w:val="false"/>
        <w:numPr>
          <w:ilvl w:val="0"/>
          <w:numId w:val="2"/>
        </w:numPr>
        <w:pBdr/>
        <w:spacing w:after="120" w:before="0" w:line="240" w:lineRule="auto"/>
        <w:ind w:firstLine="0" w:left="0"/>
        <w:jc w:val="both"/>
        <w:rPr/>
      </w:pPr>
      <w:r>
        <w:rPr>
          <w:rFonts w:ascii="Arial" w:hAnsi="Arial" w:eastAsia="Arial" w:cs="Arial"/>
          <w:sz w:val="20"/>
          <w:szCs w:val="20"/>
        </w:rPr>
        <w:t xml:space="preserve">mettre en oeuvre les éléments, dispositifs et systèmes innovants décrits dans le rapport de contribution à l’innovation et le cas échéant dans le mémoire technique sur la synergie avec l’usage agricole, remis lors du dépôt de l’offre</w:t>
      </w:r>
      <w:r>
        <w:rPr>
          <w:rFonts w:ascii="Arial" w:hAnsi="Arial" w:eastAsia="Arial" w:cs="Arial"/>
          <w:sz w:val="20"/>
          <w:szCs w:val="20"/>
          <w:vertAlign w:val="superscript"/>
        </w:rPr>
        <w:t xml:space="preserve">4</w:t>
      </w:r>
      <w:r>
        <w:rPr>
          <w:rFonts w:ascii="Arial" w:hAnsi="Arial" w:eastAsia="Arial" w:cs="Arial"/>
          <w:sz w:val="20"/>
          <w:szCs w:val="20"/>
        </w:rPr>
        <w:t xml:space="preserve">;{/AOInnovation}</w:t>
      </w:r>
      <w:r/>
    </w:p>
    <w:p>
      <w:pPr>
        <w:pStyle w:val="867"/>
        <w:widowControl w:val="false"/>
        <w:numPr>
          <w:ilvl w:val="0"/>
          <w:numId w:val="2"/>
        </w:numPr>
        <w:pBdr/>
        <w:spacing w:after="120" w:before="0" w:line="240" w:lineRule="auto"/>
        <w:ind w:firstLine="0" w:left="0"/>
        <w:jc w:val="both"/>
        <w:rPr/>
      </w:pPr>
      <w:r>
        <w:rPr>
          <w:rFonts w:ascii="Arial" w:hAnsi="Arial" w:eastAsia="Arial" w:cs="Arial"/>
          <w:sz w:val="20"/>
          <w:szCs w:val="20"/>
        </w:rPr>
        <w:t xml:space="preserve">sauf délais dérogatoires prévus au {paragrapheDelaiDerogatoire} du cahier des charges, achever l’installation dans un délai de {delaiRealisationTexte} à compter de la présente notification;</w:t>
      </w:r>
      <w:r/>
    </w:p>
    <w:p>
      <w:pPr>
        <w:pStyle w:val="867"/>
        <w:widowControl w:val="false"/>
        <w:numPr>
          <w:ilvl w:val="0"/>
          <w:numId w:val="2"/>
        </w:numPr>
        <w:pBdr/>
        <w:spacing w:after="120" w:before="0" w:line="240" w:lineRule="auto"/>
        <w:ind w:firstLine="0" w:left="0"/>
        <w:jc w:val="both"/>
        <w:rPr/>
      </w:pPr>
      <w:r>
        <w:rPr>
          <w:rFonts w:ascii="Arial" w:hAnsi="Arial" w:eastAsia="Arial" w:cs="Arial"/>
          <w:sz w:val="20"/>
          <w:szCs w:val="20"/>
        </w:rPr>
        <w:t xml:space="preserve">fournir à EDF l’attestation de conformité de l’installation prévue au paragraphe {paragrapheAttestationConformite} du cahier des charges;{#isFinancementCollectif}</w:t>
      </w:r>
      <w:r/>
    </w:p>
    <w:p>
      <w:pPr>
        <w:pStyle w:val="867"/>
        <w:widowControl w:val="false"/>
        <w:numPr>
          <w:ilvl w:val="0"/>
          <w:numId w:val="2"/>
        </w:numPr>
        <w:pBdr/>
        <w:spacing w:after="120" w:before="0" w:line="240" w:lineRule="auto"/>
        <w:ind w:firstLine="0" w:left="0"/>
        <w:jc w:val="both"/>
        <w:rPr/>
      </w:pPr>
      <w:r>
        <w:rPr>
          <w:rFonts w:ascii="Arial" w:hAnsi="Arial" w:eastAsia="Arial" w:cs="Arial"/>
          <w:sz w:val="20"/>
          <w:szCs w:val="20"/>
        </w:rPr>
        <w:t xml:space="preserve">respecter les engagements pris conformément au paragraphe {paragrapheEngagementIPFPGPFC} concernant le financement collectif participatif.{/isFinancementCollectif}{#isGouvernancePartagée}</w:t>
      </w:r>
      <w:r/>
    </w:p>
    <w:p>
      <w:pPr>
        <w:pStyle w:val="867"/>
        <w:widowControl w:val="false"/>
        <w:numPr>
          <w:ilvl w:val="0"/>
          <w:numId w:val="2"/>
        </w:numPr>
        <w:pBdr/>
        <w:spacing w:after="120" w:before="0" w:line="240" w:lineRule="auto"/>
        <w:ind w:firstLine="0" w:left="0"/>
        <w:jc w:val="both"/>
        <w:rPr/>
      </w:pPr>
      <w:r>
        <w:rPr>
          <w:rFonts w:ascii="Arial" w:hAnsi="Arial" w:eastAsia="Arial" w:cs="Arial"/>
          <w:sz w:val="20"/>
          <w:szCs w:val="20"/>
        </w:rPr>
        <w:t xml:space="preserve">respecter les engagements pris conformément au paragraphe {paragrapheEngagementIPFPGPFC} concernant le financement participatif.{/isGouvernancePartagée}</w:t>
      </w:r>
      <w:r/>
    </w:p>
    <w:p>
      <w:pPr>
        <w:pStyle w:val="867"/>
        <w:widowControl w:val="false"/>
        <w:pBdr/>
        <w:spacing w:after="120" w:before="0" w:line="240" w:lineRule="auto"/>
        <w:ind w:firstLine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67"/>
        <w:widowControl w:val="false"/>
        <w:pBdr/>
        <w:spacing w:after="0" w:before="0" w:line="240" w:lineRule="auto"/>
        <w:ind w:firstLine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Je vous rappelle également que l’installation mise en service doit être en tout point conforme à celle dé</w:t>
      </w:r>
      <w:r>
        <w:rPr>
          <w:rFonts w:ascii="Arial" w:hAnsi="Arial" w:eastAsia="Arial" w:cs="Arial"/>
          <w:sz w:val="20"/>
          <w:szCs w:val="20"/>
        </w:rPr>
        <w:t xml:space="preserve">crite dans le dossier de candidature. Toutefois, la modification de certains éléments de l’offre postérieurement à la désignation des lauréats est possible, selon les conditions et modalités précisées au {renvoiModification} du cahier des charges.{#eolien}</w:t>
      </w:r>
      <w:r>
        <w:rPr>
          <w:rFonts w:ascii="Arial" w:hAnsi="Arial" w:eastAsia="Arial" w:cs="Arial"/>
          <w:i w:val="0"/>
          <w:caps w:val="0"/>
          <w:smallCaps w:val="0"/>
          <w:color w:val="000000"/>
          <w:sz w:val="20"/>
          <w:szCs w:val="20"/>
        </w:rPr>
        <w:t xml:space="preserve">Les changements conduisant à une remise en cause de l’autorisation mentionnée au 3.3.3 ne seront pas acceptés</w:t>
      </w:r>
      <w:r>
        <w:rPr>
          <w:rFonts w:ascii="Arial" w:hAnsi="Arial" w:eastAsia="Arial" w:cs="Arial"/>
          <w:sz w:val="20"/>
          <w:szCs w:val="20"/>
        </w:rPr>
        <w:t xml:space="preserve">{/eo</w:t>
      </w:r>
      <w:r>
        <w:rPr>
          <w:rFonts w:ascii="Arial" w:hAnsi="Arial" w:eastAsia="Arial" w:cs="Arial"/>
          <w:sz w:val="20"/>
          <w:szCs w:val="20"/>
        </w:rPr>
        <w:t xml:space="preserve">lien}{#affichageParagrapheECS} Les changements conduisant à une diminution de la notation d’un ou plusieurs critères d’évaluations de l’offre, notamment par un bilan carbone moins performant, ne seront pas acceptés.{/affichageParagrapheECS}{#AOInnovation} </w:t>
      </w:r>
      <w:r>
        <w:rPr>
          <w:rFonts w:ascii="Arial" w:hAnsi="Arial" w:eastAsia="Arial" w:cs="Arial"/>
          <w:sz w:val="20"/>
          <w:szCs w:val="20"/>
          <w:u w:val="single"/>
        </w:rPr>
        <w:t xml:space="preserve">Toute demande de modification substantielle de l’innovation sera notamment refusée</w:t>
      </w:r>
      <w:r>
        <w:rPr>
          <w:rFonts w:ascii="Arial" w:hAnsi="Arial" w:eastAsia="Arial" w:cs="Arial"/>
          <w:sz w:val="20"/>
          <w:szCs w:val="20"/>
          <w:vertAlign w:val="superscript"/>
        </w:rPr>
        <w:t xml:space="preserve">5</w:t>
      </w:r>
      <w:r>
        <w:rPr>
          <w:rFonts w:ascii="Arial" w:hAnsi="Arial" w:eastAsia="Arial" w:cs="Arial"/>
          <w:sz w:val="20"/>
          <w:szCs w:val="20"/>
        </w:rPr>
        <w:t xml:space="preserve">.{/AOInnovation}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867"/>
        <w:pBdr/>
        <w:spacing w:after="160" w:before="160" w:line="240" w:lineRule="auto"/>
        <w:ind/>
        <w:jc w:val="left"/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 xml:space="preserve">Copie : {#isEDFOA}EDF OA{/isEDFOA}{#isEDFSEI}EDF SEI{/isEDFSEI}{#isEDM}EDM{/isEDM} ; {#dreal}DREAL {dreal}{/dreal}{^dreal}DREAL concernée{/dreal} ; CRE</w:t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</w:p>
    <w:p>
      <w:pPr>
        <w:pStyle w:val="867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, Arial">
    <w:panose1 w:val="05040102010807070707"/>
  </w:font>
  <w:font w:name="Times New Roman">
    <w:panose1 w:val="02040503050406030204"/>
  </w:font>
  <w:font w:name="Georgia">
    <w:panose1 w:val="02040503050406030204"/>
  </w:font>
  <w:font w:name="PingFang SC">
    <w:panose1 w:val="05040102010807070707"/>
  </w:font>
  <w:font w:name="Droid Sans">
    <w:panose1 w:val="020B0706030804020204"/>
  </w:font>
  <w:font w:name="Liberation Sans">
    <w:panose1 w:val="05040102010807070707"/>
  </w:font>
  <w:font w:name="Arial Unicode MS">
    <w:panose1 w:val="020F0502020204030204"/>
  </w:font>
  <w:font w:name="Source Han Sans CN">
    <w:panose1 w:val="05040102010807070707"/>
  </w:font>
  <w:font w:name="Arial">
    <w:panose1 w:val="020F050202020403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pBdr/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  <w:p>
    <w:pPr>
      <w:pStyle w:val="867"/>
      <w:pBdr/>
      <w:spacing w:after="0" w:before="0" w:line="240" w:lineRule="auto"/>
      <w:ind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{#isEngagementParticipatif}</w:t>
    </w:r>
    <w:r>
      <w:rPr>
        <w:rFonts w:ascii="Arial" w:hAnsi="Arial" w:eastAsia="Arial" w:cs="Arial"/>
        <w:sz w:val="14"/>
        <w:szCs w:val="14"/>
        <w:vertAlign w:val="superscript"/>
      </w:rPr>
      <w:t xml:space="preserve">1</w:t>
    </w:r>
    <w:r>
      <w:rPr>
        <w:rFonts w:ascii="Arial" w:hAnsi="Arial" w:eastAsia="Arial" w:cs="Arial"/>
        <w:sz w:val="14"/>
        <w:szCs w:val="14"/>
      </w:rPr>
      <w:t xml:space="preserve"> Paragraphe(s) {paragrapheEngagementIPFPGPFC} du cahier des charges</w:t>
    </w:r>
    <w:r>
      <w:rPr>
        <w:rFonts w:ascii="Arial" w:hAnsi="Arial" w:eastAsia="Arial" w:cs="Arial"/>
        <w:sz w:val="16"/>
        <w:szCs w:val="16"/>
      </w:rPr>
      <w:t xml:space="preserve">{/isEngagementParticipatif}</w:t>
    </w:r>
    <w:r>
      <w:rPr>
        <w:rFonts w:ascii="Arial" w:hAnsi="Arial" w:eastAsia="Arial" w:cs="Arial"/>
        <w:sz w:val="16"/>
        <w:szCs w:val="16"/>
      </w:rPr>
    </w:r>
  </w:p>
  <w:p>
    <w:pPr>
      <w:pStyle w:val="86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 xml:space="preserve">2</w:t>
    </w:r>
    <w:r>
      <w:rPr>
        <w:rFonts w:ascii="Arial" w:hAnsi="Arial" w:eastAsia="Arial" w:cs="Arial"/>
        <w:sz w:val="14"/>
        <w:szCs w:val="14"/>
      </w:rPr>
      <w:t xml:space="preserve"> Paragraphe {renvoiDemandeCompleteRaccordement} du cahier des charges{#soumisGF}</w:t>
    </w:r>
    <w:r>
      <w:rPr>
        <w:rFonts w:ascii="Arial" w:hAnsi="Arial" w:eastAsia="Arial" w:cs="Arial"/>
        <w:sz w:val="14"/>
        <w:szCs w:val="14"/>
      </w:rPr>
    </w:r>
  </w:p>
  <w:p>
    <w:pPr>
      <w:pStyle w:val="86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 xml:space="preserve">3</w:t>
    </w:r>
    <w:r>
      <w:rPr>
        <w:rFonts w:ascii="Arial" w:hAnsi="Arial" w:eastAsia="Arial" w:cs="Arial"/>
        <w:sz w:val="14"/>
        <w:szCs w:val="14"/>
      </w:rPr>
      <w:t xml:space="preserve"> Paragraphes {renvoiRetraitDesignationGarantieFinancieres} du cahier des charges{/soumisGF}{#AOInnovation}</w:t>
    </w:r>
    <w:r>
      <w:rPr>
        <w:rFonts w:ascii="Arial" w:hAnsi="Arial" w:eastAsia="Arial" w:cs="Arial"/>
        <w:sz w:val="14"/>
        <w:szCs w:val="14"/>
      </w:rPr>
    </w:r>
  </w:p>
  <w:p>
    <w:pPr>
      <w:pStyle w:val="86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 xml:space="preserve">4</w:t>
    </w:r>
    <w:r>
      <w:rPr>
        <w:rFonts w:ascii="Arial" w:hAnsi="Arial" w:eastAsia="Arial" w:cs="Arial"/>
        <w:sz w:val="14"/>
        <w:szCs w:val="14"/>
      </w:rPr>
      <w:t xml:space="preserve"> Paragraphes 3.2.4 et 3.2.5 du cahier des charges</w:t>
    </w:r>
    <w:r>
      <w:rPr>
        <w:rFonts w:ascii="Arial" w:hAnsi="Arial" w:eastAsia="Arial" w:cs="Arial"/>
        <w:sz w:val="14"/>
        <w:szCs w:val="14"/>
      </w:rPr>
    </w:r>
  </w:p>
  <w:p>
    <w:pPr>
      <w:pStyle w:val="86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 xml:space="preserve">5 </w:t>
    </w:r>
    <w:r>
      <w:rPr>
        <w:rFonts w:ascii="Arial" w:hAnsi="Arial" w:eastAsia="Arial" w:cs="Arial"/>
        <w:sz w:val="14"/>
        <w:szCs w:val="14"/>
      </w:rPr>
      <w:t xml:space="preserve">Paragraphe 5.4.4 du cahier des charges{/AOInnovation}</w:t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pBdr/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  <w:p>
    <w:pPr>
      <w:pStyle w:val="867"/>
      <w:pBdr/>
      <w:spacing w:after="0" w:before="0" w:line="240" w:lineRule="auto"/>
      <w:ind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{#isEngagementParticipatif}</w:t>
    </w:r>
    <w:r>
      <w:rPr>
        <w:rFonts w:ascii="Arial" w:hAnsi="Arial" w:eastAsia="Arial" w:cs="Arial"/>
        <w:sz w:val="14"/>
        <w:szCs w:val="14"/>
        <w:vertAlign w:val="superscript"/>
      </w:rPr>
      <w:t xml:space="preserve">1</w:t>
    </w:r>
    <w:r>
      <w:rPr>
        <w:rFonts w:ascii="Arial" w:hAnsi="Arial" w:eastAsia="Arial" w:cs="Arial"/>
        <w:sz w:val="14"/>
        <w:szCs w:val="14"/>
      </w:rPr>
      <w:t xml:space="preserve"> Paragraphe(s) {paragrapheEngagementIPFP} du cahier des charges</w:t>
    </w:r>
    <w:r>
      <w:rPr>
        <w:rFonts w:ascii="Arial" w:hAnsi="Arial" w:eastAsia="Arial" w:cs="Arial"/>
        <w:sz w:val="16"/>
        <w:szCs w:val="16"/>
      </w:rPr>
      <w:t xml:space="preserve">{/isEngagementParticipatif}</w:t>
    </w:r>
    <w:r>
      <w:rPr>
        <w:rFonts w:ascii="Arial" w:hAnsi="Arial" w:eastAsia="Arial" w:cs="Arial"/>
        <w:sz w:val="16"/>
        <w:szCs w:val="16"/>
      </w:rPr>
    </w:r>
  </w:p>
  <w:p>
    <w:pPr>
      <w:pStyle w:val="86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 xml:space="preserve">2</w:t>
    </w:r>
    <w:r>
      <w:rPr>
        <w:rFonts w:ascii="Arial" w:hAnsi="Arial" w:eastAsia="Arial" w:cs="Arial"/>
        <w:sz w:val="14"/>
        <w:szCs w:val="14"/>
      </w:rPr>
      <w:t xml:space="preserve"> Paragraphe {renvoiDemandeCompleteRaccordement} du cahier des charges{#soumisGF}</w:t>
    </w:r>
    <w:r>
      <w:rPr>
        <w:rFonts w:ascii="Arial" w:hAnsi="Arial" w:eastAsia="Arial" w:cs="Arial"/>
        <w:sz w:val="14"/>
        <w:szCs w:val="14"/>
      </w:rPr>
    </w:r>
  </w:p>
  <w:p>
    <w:pPr>
      <w:pStyle w:val="86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 xml:space="preserve">3</w:t>
    </w:r>
    <w:r>
      <w:rPr>
        <w:rFonts w:ascii="Arial" w:hAnsi="Arial" w:eastAsia="Arial" w:cs="Arial"/>
        <w:sz w:val="14"/>
        <w:szCs w:val="14"/>
      </w:rPr>
      <w:t xml:space="preserve"> Paragraphes {renvoiRetraitDesignationGarantieFinancieres} du cahier des charges{/soumisGF}{#AOInnovation}</w:t>
    </w:r>
    <w:r>
      <w:rPr>
        <w:rFonts w:ascii="Arial" w:hAnsi="Arial" w:eastAsia="Arial" w:cs="Arial"/>
        <w:sz w:val="14"/>
        <w:szCs w:val="14"/>
      </w:rPr>
    </w:r>
  </w:p>
  <w:p>
    <w:pPr>
      <w:pStyle w:val="86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vertAlign w:val="superscript"/>
      </w:rPr>
      <w:t xml:space="preserve">4</w:t>
    </w:r>
    <w:r>
      <w:rPr>
        <w:rFonts w:ascii="Arial" w:hAnsi="Arial" w:eastAsia="Arial" w:cs="Arial"/>
        <w:sz w:val="14"/>
        <w:szCs w:val="14"/>
      </w:rPr>
      <w:t xml:space="preserve"> Paragraphes 3.2.4 et 3.2.5 du cahier des charges</w:t>
    </w:r>
    <w:r>
      <w:rPr>
        <w:rFonts w:ascii="Arial" w:hAnsi="Arial" w:eastAsia="Arial" w:cs="Arial"/>
        <w:sz w:val="14"/>
        <w:szCs w:val="14"/>
      </w:rPr>
    </w:r>
  </w:p>
  <w:p>
    <w:pPr>
      <w:pStyle w:val="86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sz w:val="14"/>
        <w:szCs w:val="14"/>
        <w:vertAlign w:val="superscript"/>
      </w:rPr>
      <w:t xml:space="preserve">5 </w:t>
    </w:r>
    <w:r>
      <w:rPr>
        <w:rFonts w:ascii="Arial" w:hAnsi="Arial" w:eastAsia="Arial" w:cs="Arial"/>
        <w:sz w:val="14"/>
        <w:szCs w:val="14"/>
      </w:rPr>
      <w:t xml:space="preserve">Paragraphe 5.4.4 du cahier des charges{/AOInnovation}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6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6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6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67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162560</wp:posOffset>
              </wp:positionV>
              <wp:extent cx="2206522" cy="1827720"/>
              <wp:effectExtent l="0" t="0" r="0" b="0"/>
              <wp:wrapSquare wrapText="bothSides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05705353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6521" cy="1827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1504;o:allowoverlap:true;o:allowincell:true;mso-position-horizontal-relative:text;margin-left:0.00pt;mso-position-horizontal:absolute;mso-position-vertical-relative:text;margin-top:12.80pt;mso-position-vertical:absolute;width:173.74pt;height:143.91pt;mso-wrap-distance-left:9.07pt;mso-wrap-distance-top:0.00pt;mso-wrap-distance-right:9.07pt;mso-wrap-distance-bottom:0.0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/>
    <w:r/>
  </w:p>
  <w:p>
    <w:pPr>
      <w:keepNext w:val="false"/>
      <w:keepLines w:val="false"/>
      <w:widowControl w:val="false"/>
      <w:pBdr/>
      <w:shd w:val="clear" w:color="auto" w:fill="auto"/>
      <w:tabs>
        <w:tab w:val="clear" w:leader="none" w:pos="720"/>
        <w:tab w:val="right" w:leader="none" w:pos="9026"/>
      </w:tabs>
      <w:spacing w:after="0" w:before="0" w:line="240" w:lineRule="auto"/>
      <w:ind w:right="55" w:firstLine="0" w:left="0"/>
      <w:jc w:val="right"/>
      <w:rPr>
        <w:lang w:val="fr-FR"/>
      </w:rPr>
    </w:pPr>
    <w:r>
      <w:rPr>
        <w:rStyle w:val="860"/>
        <w:rFonts w:ascii="Arial" w:hAnsi="Arial" w:eastAsia="Arial" w:cs="Arial"/>
        <w:b/>
        <w:bCs/>
        <w:i w:val="0"/>
        <w:iCs w:val="0"/>
        <w:caps w:val="0"/>
        <w:smallCaps w:val="0"/>
        <w:sz w:val="24"/>
        <w:szCs w:val="24"/>
        <w:lang w:val="fr-FR"/>
      </w:rPr>
      <w:t xml:space="preserve">Direction générale de </w:t>
    </w:r>
    <w:r>
      <w:rPr>
        <w:rFonts w:ascii="Arial" w:hAnsi="Arial" w:eastAsia="Arial" w:cs="Arial"/>
        <w:b/>
        <w:bCs/>
        <w:i w:val="0"/>
        <w:iCs w:val="0"/>
        <w:caps w:val="0"/>
        <w:smallCaps w:val="0"/>
        <w:strike w:val="0"/>
        <w:color w:val="000000" w:themeColor="text2" w:themeTint="FF" w:themeShade="FF"/>
        <w:sz w:val="24"/>
        <w:szCs w:val="24"/>
        <w:u w:val="none"/>
        <w:lang w:val="fr-FR"/>
      </w:rPr>
      <w:t xml:space="preserve">l’énergie et du climat</w:t>
    </w:r>
    <w:r>
      <w:rPr>
        <w:lang w:val="fr-FR"/>
      </w:rPr>
    </w:r>
  </w:p>
  <w:p>
    <w:pPr>
      <w:pStyle w:val="867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</w:p>
  <w:p>
    <w:pPr>
      <w:pStyle w:val="867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1" w:name="_heading=h.gjdgxs"/>
    <w:r/>
    <w:bookmarkEnd w:id="1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</w:p>
  <w:p>
    <w:pPr>
      <w:pStyle w:val="867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  <w:t xml:space="preserve">et des énergies renouvelables</w:t>
    </w:r>
    <w:r>
      <w:rPr>
        <w:rFonts w:ascii="Arial" w:hAnsi="Arial" w:eastAsia="Arial" w:cs="Arial"/>
        <w:b/>
        <w:sz w:val="20"/>
        <w:szCs w:val="20"/>
      </w:rPr>
    </w:r>
  </w:p>
  <w:p>
    <w:pPr>
      <w:pStyle w:val="867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867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867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86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6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center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867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Times New Roman" w:hAnsi="Times New Roman" w:cs="Times New Roman"/>
        <w:sz w:val="22"/>
        <w:szCs w:val="22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Times New Roman" w:hAnsi="Times New Roman" w:cs="Times New Roman"/>
        <w:sz w:val="22"/>
        <w:szCs w:val="22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853"/>
    <w:next w:val="85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53"/>
    <w:next w:val="85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53"/>
    <w:next w:val="85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85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8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85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86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53"/>
    <w:next w:val="85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5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53"/>
    <w:next w:val="85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5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147"/>
    <w:link w:val="872"/>
    <w:uiPriority w:val="99"/>
    <w:pPr>
      <w:pBdr/>
      <w:spacing/>
      <w:ind/>
    </w:pPr>
  </w:style>
  <w:style w:type="character" w:styleId="178">
    <w:name w:val="Footer Char"/>
    <w:basedOn w:val="147"/>
    <w:link w:val="873"/>
    <w:uiPriority w:val="99"/>
    <w:pPr>
      <w:pBdr/>
      <w:spacing/>
      <w:ind/>
    </w:pPr>
  </w:style>
  <w:style w:type="paragraph" w:styleId="180">
    <w:name w:val="footnote text"/>
    <w:basedOn w:val="85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5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53"/>
    <w:next w:val="853"/>
    <w:uiPriority w:val="39"/>
    <w:unhideWhenUsed/>
    <w:pPr>
      <w:pBdr/>
      <w:spacing w:after="100"/>
      <w:ind/>
    </w:pPr>
  </w:style>
  <w:style w:type="paragraph" w:styleId="189">
    <w:name w:val="toc 2"/>
    <w:basedOn w:val="853"/>
    <w:next w:val="853"/>
    <w:uiPriority w:val="39"/>
    <w:unhideWhenUsed/>
    <w:pPr>
      <w:pBdr/>
      <w:spacing w:after="100"/>
      <w:ind w:left="220"/>
    </w:pPr>
  </w:style>
  <w:style w:type="paragraph" w:styleId="190">
    <w:name w:val="toc 3"/>
    <w:basedOn w:val="853"/>
    <w:next w:val="853"/>
    <w:uiPriority w:val="39"/>
    <w:unhideWhenUsed/>
    <w:pPr>
      <w:pBdr/>
      <w:spacing w:after="100"/>
      <w:ind w:left="440"/>
    </w:pPr>
  </w:style>
  <w:style w:type="paragraph" w:styleId="191">
    <w:name w:val="toc 4"/>
    <w:basedOn w:val="853"/>
    <w:next w:val="853"/>
    <w:uiPriority w:val="39"/>
    <w:unhideWhenUsed/>
    <w:pPr>
      <w:pBdr/>
      <w:spacing w:after="100"/>
      <w:ind w:left="660"/>
    </w:pPr>
  </w:style>
  <w:style w:type="paragraph" w:styleId="192">
    <w:name w:val="toc 5"/>
    <w:basedOn w:val="853"/>
    <w:next w:val="853"/>
    <w:uiPriority w:val="39"/>
    <w:unhideWhenUsed/>
    <w:pPr>
      <w:pBdr/>
      <w:spacing w:after="100"/>
      <w:ind w:left="880"/>
    </w:pPr>
  </w:style>
  <w:style w:type="paragraph" w:styleId="193">
    <w:name w:val="toc 6"/>
    <w:basedOn w:val="853"/>
    <w:next w:val="853"/>
    <w:uiPriority w:val="39"/>
    <w:unhideWhenUsed/>
    <w:pPr>
      <w:pBdr/>
      <w:spacing w:after="100"/>
      <w:ind w:left="1100"/>
    </w:pPr>
  </w:style>
  <w:style w:type="paragraph" w:styleId="194">
    <w:name w:val="toc 7"/>
    <w:basedOn w:val="853"/>
    <w:next w:val="853"/>
    <w:uiPriority w:val="39"/>
    <w:unhideWhenUsed/>
    <w:pPr>
      <w:pBdr/>
      <w:spacing w:after="100"/>
      <w:ind w:left="1320"/>
    </w:pPr>
  </w:style>
  <w:style w:type="paragraph" w:styleId="195">
    <w:name w:val="toc 8"/>
    <w:basedOn w:val="853"/>
    <w:next w:val="853"/>
    <w:uiPriority w:val="39"/>
    <w:unhideWhenUsed/>
    <w:pPr>
      <w:pBdr/>
      <w:spacing w:after="100"/>
      <w:ind w:left="1540"/>
    </w:pPr>
  </w:style>
  <w:style w:type="paragraph" w:styleId="196">
    <w:name w:val="toc 9"/>
    <w:basedOn w:val="853"/>
    <w:next w:val="85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53"/>
    <w:next w:val="853"/>
    <w:uiPriority w:val="99"/>
    <w:unhideWhenUsed/>
    <w:pPr>
      <w:pBdr/>
      <w:spacing w:after="0" w:afterAutospacing="0"/>
      <w:ind/>
    </w:pPr>
  </w:style>
  <w:style w:type="paragraph" w:styleId="853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54">
    <w:name w:val="Heading 1"/>
    <w:basedOn w:val="867"/>
    <w:next w:val="867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855">
    <w:name w:val="Heading 2"/>
    <w:basedOn w:val="867"/>
    <w:next w:val="867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856">
    <w:name w:val="Heading 3"/>
    <w:basedOn w:val="867"/>
    <w:next w:val="867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857">
    <w:name w:val="Heading 4"/>
    <w:basedOn w:val="867"/>
    <w:next w:val="867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858">
    <w:name w:val="Heading 5"/>
    <w:basedOn w:val="867"/>
    <w:next w:val="867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859">
    <w:name w:val="Heading 6"/>
    <w:basedOn w:val="867"/>
    <w:next w:val="867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860">
    <w:name w:val="Strong"/>
    <w:qFormat/>
    <w:pPr>
      <w:pBdr/>
      <w:spacing/>
      <w:ind/>
    </w:pPr>
    <w:rPr>
      <w:b/>
      <w:bCs/>
    </w:rPr>
  </w:style>
  <w:style w:type="paragraph" w:styleId="861">
    <w:name w:val="Heading"/>
    <w:basedOn w:val="853"/>
    <w:next w:val="862"/>
    <w:qFormat/>
    <w:pPr>
      <w:keepNext w:val="true"/>
      <w:pBdr/>
      <w:spacing w:after="120" w:before="240"/>
      <w:ind/>
    </w:pPr>
    <w:rPr>
      <w:rFonts w:ascii="Liberation Sans" w:hAnsi="Liberation Sans" w:eastAsia="Source Han Sans CN" w:cs="Droid Sans"/>
      <w:sz w:val="28"/>
      <w:szCs w:val="28"/>
    </w:rPr>
  </w:style>
  <w:style w:type="paragraph" w:styleId="862">
    <w:name w:val="Body Text"/>
    <w:basedOn w:val="853"/>
    <w:pPr>
      <w:pBdr/>
      <w:spacing w:after="140" w:before="0" w:line="276" w:lineRule="auto"/>
      <w:ind/>
    </w:pPr>
  </w:style>
  <w:style w:type="paragraph" w:styleId="863">
    <w:name w:val="List"/>
    <w:basedOn w:val="862"/>
    <w:pPr>
      <w:pBdr/>
      <w:spacing/>
      <w:ind/>
    </w:pPr>
    <w:rPr>
      <w:rFonts w:cs="Arial Unicode MS"/>
    </w:rPr>
  </w:style>
  <w:style w:type="paragraph" w:styleId="864">
    <w:name w:val="Caption"/>
    <w:basedOn w:val="853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865">
    <w:name w:val="Index"/>
    <w:basedOn w:val="853"/>
    <w:qFormat/>
    <w:pPr>
      <w:suppressLineNumbers w:val="true"/>
      <w:pBdr/>
      <w:spacing/>
      <w:ind/>
    </w:pPr>
    <w:rPr>
      <w:rFonts w:cs="Arial Unicode MS"/>
    </w:rPr>
  </w:style>
  <w:style w:type="paragraph" w:styleId="866">
    <w:name w:val="Titre"/>
    <w:basedOn w:val="853"/>
    <w:next w:val="862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867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868">
    <w:name w:val="Title"/>
    <w:basedOn w:val="867"/>
    <w:next w:val="867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869">
    <w:name w:val="Subtitle"/>
    <w:basedOn w:val="867"/>
    <w:next w:val="867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70">
    <w:name w:val="En-tête et pied de page"/>
    <w:basedOn w:val="853"/>
    <w:qFormat/>
    <w:pPr>
      <w:pBdr/>
      <w:spacing/>
      <w:ind/>
    </w:pPr>
  </w:style>
  <w:style w:type="paragraph" w:styleId="871">
    <w:name w:val="Header and Footer"/>
    <w:basedOn w:val="853"/>
    <w:qFormat/>
    <w:pPr>
      <w:pBdr/>
      <w:spacing/>
      <w:ind/>
    </w:pPr>
  </w:style>
  <w:style w:type="paragraph" w:styleId="872">
    <w:name w:val="Header"/>
    <w:basedOn w:val="870"/>
    <w:pPr>
      <w:pBdr/>
      <w:spacing/>
      <w:ind/>
    </w:pPr>
  </w:style>
  <w:style w:type="paragraph" w:styleId="873">
    <w:name w:val="Footer"/>
    <w:basedOn w:val="870"/>
    <w:pPr>
      <w:pBdr/>
      <w:spacing/>
      <w:ind/>
    </w:pPr>
  </w:style>
  <w:style w:type="paragraph" w:styleId="874">
    <w:name w:val="LO-normal1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table" w:styleId="877">
    <w:name w:val="Normal Table1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oYJJNLwPBsHJVSTxQOkB9H22Ew==">AMUW2mWBVH0dngnZ5mUuolFddVd3c5k09sHodsX/9z+X6Ae+qwQ0yKJLj2cmzehGUOdgYdZ6winv2tvRF5uYgATlv2LvxW/ADWOkQEzRPORwhFkXv57w1QNz4g0+iMTLP2OqE8o4Eqnw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2025-01-22T11:54:35Z</dcterms:modified>
</cp:coreProperties>
</file>