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-normal"/>
        <w:widowControl w:val="false"/>
        <w:numPr>
          <w:ilvl w:val="0"/>
          <w:numId w:val="1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Style w:val="Strong"/>
        <w:rFonts w:eastAsia="Arial" w:cs="Arial" w:ascii="Arial" w:hAnsi="Arial"/>
        <w:sz w:val="24"/>
        <w:szCs w:val="24"/>
      </w:rPr>
      <w:t>Ministère en charge de l'énergie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paragraph" w:styleId="LO-normal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LibreOffice/24.2.6.2$Linux_X86_64 LibreOffice_project/420$Build-2</Application>
  <AppVersion>15.0000</AppVersion>
  <Pages>3</Pages>
  <Words>844</Words>
  <Characters>6088</Characters>
  <CharactersWithSpaces>6877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2024-10-10T14:57:12Z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