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Paris,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hanging="0" w:left="0" w:right="52"/>
              <w:jc w:val="righ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-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-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Recours gracieux pour un projet candidat à la {titrePeriode} période de l’appel d’offres {titreAppelOffre}</w:t>
      </w:r>
    </w:p>
    <w:p>
      <w:pPr>
        <w:pStyle w:val="LO-normal"/>
        <w:spacing w:lineRule="auto" w:line="240" w:before="0" w:after="0"/>
        <w:rPr>
          <w:b/>
        </w:rPr>
      </w:pPr>
      <w:r>
        <w:rPr>
          <w:b/>
        </w:rPr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application des dispositions de l’article L. 311-10 du code de l’énergie, relatif à la procédure de mise en concurrence pour les installations de production d’électricité, le ministre chargé de l’énergie a lancé l’appel d’offres cité en objet.</w:t>
      </w:r>
    </w:p>
    <w:p>
      <w:pPr>
        <w:pStyle w:val="LO-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En réponse à la {titrePeriode} période de cet appel d’offres, vous avez déposé le projet suivant{#familles}, dans la famille {titreFamille}{/familles} :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-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</w:r>
          </w:p>
          <w:p>
            <w:pPr>
              <w:pStyle w:val="LO-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Le paragraphe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[référence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du cahier des charges de l’appel d’offres en objet indique :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  <w:highlight w:val="cyan"/>
        </w:rPr>
        <w:t>[Contenu du paragraphe origine de la non-instruction de l’offre ou de son élimination]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{#nonInstruit}Cette offre n’a pas été instruite par la Commission de régulation de l’énergie (CRE), pour la raison suivante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».{/nonInstruit}{^nonInstruit}Suite à l’instruction de cette offre par la Commission de régulation de l’énergie (CRE), elle a été éliminée pour la raison suivante : 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{motifsElimination}</w:t>
      </w:r>
      <w:r>
        <w:rPr>
          <w:rFonts w:eastAsia="Liberation Sans" w:cs="Liberation Sans" w:ascii="Liberation Sans" w:hAnsi="Liberation Sans"/>
          <w:sz w:val="20"/>
          <w:szCs w:val="20"/>
        </w:rPr>
        <w:t> ».{/nonInstruit}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de recours gracieux reçue dans nos services le {dateDemande}, vous contestez cette décision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cyan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Après examen de votre demande, j’ai le plaisir de vous informer que le projet susmentionné est désigné lauréat de la {titrePeriode} période de l’appel d’offres visé en objet / et compte-tenu des éléments précédents, je suis au regret de ne pas donner de suite favorable à votre demande.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Conformément à l’engagement contenu dans votre offre, je vous informe que {tarifOuPrimeRetenue} en application des dispositions du paragraphe {paragraphePrixReference} du cahier des charges est de {prixReference}</w:t>
      </w:r>
      <w:r>
        <w:rPr>
          <w:rFonts w:eastAsia="ArialMT, Arial" w:cs="ArialMT, Arial" w:ascii="ArialMT, Arial" w:hAnsi="ArialMT, Arial"/>
          <w:sz w:val="20"/>
          <w:szCs w:val="20"/>
        </w:rPr>
        <w:t xml:space="preserve"> </w:t>
      </w:r>
      <w:r>
        <w:rPr>
          <w:rFonts w:eastAsia="Arial" w:cs="Arial" w:ascii="Arial" w:hAnsi="Arial"/>
          <w:sz w:val="20"/>
          <w:szCs w:val="20"/>
        </w:rPr>
        <w:t>€/MWh. {#affichageParagrapheECS} La valeur de l’évaluation carbone des modules est de {evaluationCarbone} kg eq CO2/kWc. {/affichageParagrapheECS}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{#isEngagementParticipatif}Vous vous êtes engagés</w:t>
      </w:r>
      <w:r>
        <w:rPr>
          <w:rFonts w:eastAsia="Arial" w:cs="Arial" w:ascii="Arial" w:hAnsi="Arial"/>
          <w:sz w:val="20"/>
          <w:szCs w:val="20"/>
          <w:vertAlign w:val="superscript"/>
        </w:rPr>
        <w:t>1</w:t>
      </w:r>
      <w:r>
        <w:rPr>
          <w:rFonts w:eastAsia="Arial" w:cs="Arial" w:ascii="Arial" w:hAnsi="Arial"/>
          <w:sz w:val="20"/>
          <w:szCs w:val="20"/>
        </w:rPr>
        <w:t xml:space="preserve"> {#isFinancementCollectif} au financement collectif jusqu’à trois ans minimum après la Date d’Achèvement de l’Installation. {/isFinancementCollectif} {#isGouvernancePartagée} à la gouvernance partagée jusqu’à dix ans minimum après la Date d’Achèvement de l’Installation{/isGouvernancePartagée}{/isEngagementParticipatif}</w:t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{#engagementFournitureDePuissanceAlaPointe}Lors de la réponse à l’appel d’offres, vous avez indiqué souhaiter un fonctionnement avec fourniture de puissance garantie à la pointe du soir et devez ainsi respecter les conditions de l’annexe 9 du cahier des charges relatives à la fourniture de puissance à la pointe.{/engagementFournitureDePuissanceAlaPointe}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Par ailleurs, je vous rappelle les obligations suivantes du fait de cette désignation :</w:t>
      </w:r>
    </w:p>
    <w:p>
      <w:pPr>
        <w:pStyle w:val="LO-normal"/>
        <w:widowControl w:val="false"/>
        <w:numPr>
          <w:ilvl w:val="0"/>
          <w:numId w:val="1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l'ensemble des obligations et prescriptions de toute nature figurant au cahier des charges; si ce n’est déjà fait, déposer une demande complète de raccordement dans les trois (3) mois à compter de la présente notification</w:t>
      </w:r>
      <w:r>
        <w:rPr>
          <w:rFonts w:eastAsia="Arial" w:cs="Arial" w:ascii="Arial" w:hAnsi="Arial"/>
          <w:sz w:val="20"/>
          <w:szCs w:val="20"/>
          <w:vertAlign w:val="superscript"/>
        </w:rPr>
        <w:t>2</w:t>
      </w:r>
      <w:r>
        <w:rPr>
          <w:rFonts w:eastAsia="Arial" w:cs="Arial" w:ascii="Arial" w:hAnsi="Arial"/>
          <w:sz w:val="20"/>
          <w:szCs w:val="20"/>
        </w:rPr>
        <w:t>{#eolien} ou dans les trois (3) mois suivant la délivrance de l’autorisation environnementale pour les cas de candidature sans autorisation environnementale{/eolien};{#soumisGF}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  <w:u w:val="none"/>
        </w:rPr>
        <w:t>prévoir une durée de garantie financière d’exécution couvrant</w:t>
      </w:r>
      <w:bookmarkStart w:id="0" w:name="_GoBack"/>
      <w:bookmarkEnd w:id="0"/>
      <w:r>
        <w:rPr>
          <w:rFonts w:eastAsia="Arial" w:cs="Arial" w:ascii="Arial" w:hAnsi="Arial"/>
          <w:sz w:val="20"/>
          <w:szCs w:val="20"/>
          <w:u w:val="none"/>
        </w:rPr>
        <w:t xml:space="preserve"> jusqu’à 6 mois après la date d’Achèvement de l’Installation (date de fourniture de l’attestation de conformité selon les disposition du paragraphe  {paragrapheAttestationConformite}) ou un renouvellement régulier afin d’assurer une telle couverture temporelle</w:t>
      </w:r>
      <w:r>
        <w:rPr>
          <w:rFonts w:eastAsia="Arial" w:cs="Arial" w:ascii="Arial" w:hAnsi="Arial"/>
          <w:sz w:val="20"/>
          <w:szCs w:val="20"/>
          <w:u w:val="none"/>
          <w:vertAlign w:val="superscript"/>
        </w:rPr>
        <w:t>3</w:t>
      </w:r>
      <w:r>
        <w:rPr>
          <w:rFonts w:eastAsia="Arial" w:cs="Arial" w:ascii="Arial" w:hAnsi="Arial"/>
          <w:sz w:val="20"/>
          <w:szCs w:val="20"/>
          <w:u w:val="single"/>
        </w:rPr>
        <w:t>;</w:t>
      </w:r>
      <w:r>
        <w:rPr>
          <w:rFonts w:eastAsia="Arial" w:cs="Arial" w:ascii="Arial" w:hAnsi="Arial"/>
          <w:sz w:val="20"/>
          <w:szCs w:val="20"/>
        </w:rPr>
        <w:t>{/soumisGF}{#AOInnovation}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mettre en oeuvre les éléments, dispositifs et systèmes innovants décrits dans le rapport de contribution à l’innovation et le cas échéant dans le mémoire technique sur la synergie avec l’usage agricole, remis lors du dépôt de l’offre</w:t>
      </w:r>
      <w:r>
        <w:rPr>
          <w:rFonts w:eastAsia="Arial" w:cs="Arial" w:ascii="Arial" w:hAnsi="Arial"/>
          <w:sz w:val="20"/>
          <w:szCs w:val="20"/>
          <w:vertAlign w:val="superscript"/>
        </w:rPr>
        <w:t>4</w:t>
      </w:r>
      <w:r>
        <w:rPr>
          <w:rFonts w:eastAsia="Arial" w:cs="Arial" w:ascii="Arial" w:hAnsi="Arial"/>
          <w:sz w:val="20"/>
          <w:szCs w:val="20"/>
        </w:rPr>
        <w:t>;{/AOInnovation}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sauf délais dérogatoires prévus au {paragrapheDelaiDerogatoire} du cahier des charges, achever l’installation dans un délai de {delaiRealisationTexte} à compter de la présente notification;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fournir à EDF l’attestation de conformité de l’installation prévue au paragraphe {paragrapheAttestationConformite} du cahier des charges;{#isFinancementCollectif}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collectif participatif.{/isFinancementCollectif}{#isGouvernancePartagée}</w:t>
      </w:r>
    </w:p>
    <w:p>
      <w:pPr>
        <w:pStyle w:val="LO-normal"/>
        <w:widowControl w:val="false"/>
        <w:numPr>
          <w:ilvl w:val="0"/>
          <w:numId w:val="2"/>
        </w:numPr>
        <w:spacing w:lineRule="auto" w:line="240" w:before="0" w:after="120"/>
        <w:ind w:hanging="0" w:left="0"/>
        <w:jc w:val="both"/>
        <w:rPr/>
      </w:pPr>
      <w:r>
        <w:rPr>
          <w:rFonts w:eastAsia="Arial" w:cs="Arial" w:ascii="Arial" w:hAnsi="Arial"/>
          <w:sz w:val="20"/>
          <w:szCs w:val="20"/>
        </w:rPr>
        <w:t>respecter les engagements pris conformément au paragraphe {paragrapheEngagementIPFPGPFC} concernant le financement participatif.{/isGouvernancePartagée}</w:t>
      </w:r>
    </w:p>
    <w:p>
      <w:pPr>
        <w:pStyle w:val="LO-normal"/>
        <w:widowControl w:val="false"/>
        <w:spacing w:lineRule="auto" w:line="240" w:before="0" w:after="120"/>
        <w:ind w:hanging="0" w:left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-normal"/>
        <w:widowControl w:val="false"/>
        <w:spacing w:lineRule="auto" w:line="240" w:before="0" w:after="0"/>
        <w:ind w:hanging="0" w:left="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Je vous rappelle également que l’installation mise en service doit être en tout point conforme à celle décrite dans le dossier de candidature. Toutefois, la modification de certains éléments de l’offre postérieurement à la désignation des lauréats est possible, selon les conditions et modalités précisées au {renvoiModification} du cahier des charges.{#eolien}</w:t>
      </w:r>
      <w:r>
        <w:rPr>
          <w:rFonts w:eastAsia="Arial" w:cs="Arial" w:ascii="Arial" w:hAnsi="Arial"/>
          <w:i w:val="false"/>
          <w:caps w:val="false"/>
          <w:smallCaps w:val="false"/>
          <w:color w:val="000000"/>
          <w:sz w:val="20"/>
          <w:szCs w:val="20"/>
        </w:rPr>
        <w:t>Les changements conduisant à une remise en cause de l’autorisation mentionnée au 3.3.3 ne seront pas acceptés</w:t>
      </w:r>
      <w:r>
        <w:rPr>
          <w:rFonts w:eastAsia="Arial" w:cs="Arial" w:ascii="Arial" w:hAnsi="Arial"/>
          <w:sz w:val="20"/>
          <w:szCs w:val="20"/>
        </w:rPr>
        <w:t xml:space="preserve">{/eolien}{#affichageParagrapheECS} Les changements conduisant à une diminution de la notation d’un ou plusieurs critères d’évaluations de l’offre, notamment par un bilan carbone moins performant, ne seront pas acceptés.{/affichageParagrapheECS}{#AOInnovation} </w:t>
      </w:r>
      <w:r>
        <w:rPr>
          <w:rFonts w:eastAsia="Arial" w:cs="Arial" w:ascii="Arial" w:hAnsi="Arial"/>
          <w:sz w:val="20"/>
          <w:szCs w:val="20"/>
          <w:u w:val="single"/>
        </w:rPr>
        <w:t>Toute demande de modification substantielle de l’innovation sera notamment refusée</w:t>
      </w:r>
      <w:r>
        <w:rPr>
          <w:rFonts w:eastAsia="Arial" w:cs="Arial" w:ascii="Arial" w:hAnsi="Arial"/>
          <w:sz w:val="20"/>
          <w:szCs w:val="20"/>
          <w:vertAlign w:val="superscript"/>
        </w:rPr>
        <w:t>5</w:t>
      </w:r>
      <w:r>
        <w:rPr>
          <w:rFonts w:eastAsia="Arial" w:cs="Arial" w:ascii="Arial" w:hAnsi="Arial"/>
          <w:sz w:val="20"/>
          <w:szCs w:val="20"/>
        </w:rPr>
        <w:t>.{/AOInnovation}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-normal"/>
        <w:spacing w:lineRule="auto" w:line="240" w:before="160" w:after="160"/>
        <w:jc w:val="left"/>
        <w:rPr>
          <w:rFonts w:ascii="Liberation Sans" w:hAnsi="Liberation Sans" w:eastAsia="Liberation Sans" w:cs="Liberation Sans"/>
          <w:i/>
          <w:i/>
          <w:sz w:val="16"/>
          <w:szCs w:val="16"/>
          <w:highlight w:val="cyan"/>
        </w:rPr>
      </w:pPr>
      <w:r>
        <w:rPr>
          <w:i/>
          <w:sz w:val="16"/>
          <w:szCs w:val="16"/>
          <w:highlight w:val="cyan"/>
        </w:rPr>
        <w:t>Copie : {#isEDFOA}EDF OA{/isEDFOA}{#isEDFSEI}EDF SEI{/isEDFSEI}{#isEDM}EDM{/isEDM} ; {#dreal}DREAL {dreal}{/dreal}{^dreal}DREAL concernée{/dreal} ; CRE</w:t>
      </w:r>
    </w:p>
    <w:p>
      <w:pPr>
        <w:pStyle w:val="LO-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ArialMT">
    <w:altName w:val=" 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  <w:p>
    <w:pPr>
      <w:pStyle w:val="LO-normal"/>
      <w:spacing w:lineRule="auto" w:line="240" w:before="0" w:after="0"/>
      <w:rPr>
        <w:rFonts w:ascii="Arial" w:hAnsi="Arial" w:eastAsia="Arial" w:cs="Arial"/>
        <w:sz w:val="16"/>
        <w:szCs w:val="16"/>
      </w:rPr>
    </w:pPr>
    <w:r>
      <w:rPr>
        <w:rFonts w:eastAsia="Arial" w:cs="Arial" w:ascii="Arial" w:hAnsi="Arial"/>
        <w:sz w:val="16"/>
        <w:szCs w:val="16"/>
      </w:rPr>
      <w:t>{#isEngagementParticipatif}</w:t>
    </w:r>
    <w:r>
      <w:rPr>
        <w:rFonts w:eastAsia="Arial" w:cs="Arial" w:ascii="Arial" w:hAnsi="Arial"/>
        <w:sz w:val="14"/>
        <w:szCs w:val="14"/>
        <w:vertAlign w:val="superscript"/>
      </w:rPr>
      <w:t>1</w:t>
    </w:r>
    <w:r>
      <w:rPr>
        <w:rFonts w:eastAsia="Arial" w:cs="Arial" w:ascii="Arial" w:hAnsi="Arial"/>
        <w:sz w:val="14"/>
        <w:szCs w:val="14"/>
      </w:rPr>
      <w:t xml:space="preserve"> Paragraphe(s) {paragrapheEngagementIPFPGPFC} du cahier des charges</w:t>
    </w:r>
    <w:r>
      <w:rPr>
        <w:rFonts w:eastAsia="Arial" w:cs="Arial" w:ascii="Arial" w:hAnsi="Arial"/>
        <w:sz w:val="16"/>
        <w:szCs w:val="16"/>
      </w:rPr>
      <w:t>{/isEngagementParticipatif}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2</w:t>
    </w:r>
    <w:r>
      <w:rPr>
        <w:rFonts w:eastAsia="Arial" w:cs="Arial" w:ascii="Arial" w:hAnsi="Arial"/>
        <w:sz w:val="14"/>
        <w:szCs w:val="14"/>
      </w:rPr>
      <w:t xml:space="preserve"> Paragraphe {renvoiDemandeCompleteRaccordement} du cahier des charges{#soumisGF}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3</w:t>
    </w:r>
    <w:r>
      <w:rPr>
        <w:rFonts w:eastAsia="Arial" w:cs="Arial" w:ascii="Arial" w:hAnsi="Arial"/>
        <w:sz w:val="14"/>
        <w:szCs w:val="14"/>
      </w:rPr>
      <w:t xml:space="preserve"> Paragraphes {renvoiRetraitDesignationGarantieFinancieres} du cahier des charges{/soumisGF}{#AOInnovation}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>4</w:t>
    </w:r>
    <w:r>
      <w:rPr>
        <w:rFonts w:eastAsia="Arial" w:cs="Arial" w:ascii="Arial" w:hAnsi="Arial"/>
        <w:sz w:val="14"/>
        <w:szCs w:val="14"/>
      </w:rPr>
      <w:t xml:space="preserve"> Paragraphes 3.2.4 et 3.2.5 du cahier des charges</w:t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  <w:vertAlign w:val="superscript"/>
      </w:rPr>
      <w:t xml:space="preserve">5 </w:t>
    </w:r>
    <w:r>
      <w:rPr>
        <w:rFonts w:eastAsia="Arial" w:cs="Arial" w:ascii="Arial" w:hAnsi="Arial"/>
        <w:sz w:val="14"/>
        <w:szCs w:val="14"/>
      </w:rPr>
      <w:t>Paragraphe 5.4.4 du cahier des charges{/AOInnovation}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spacing w:lineRule="auto" w:line="259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lef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hanging="0" w:left="0" w:right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/>
    </w:pPr>
    <w:r>
      <w:rPr/>
      <w:drawing>
        <wp:anchor behindDoc="0" distT="0" distB="0" distL="0" distR="0" simplePos="0" locked="0" layoutInCell="0" allowOverlap="1" relativeHeight="2">
          <wp:simplePos x="0" y="0"/>
          <wp:positionH relativeFrom="column">
            <wp:align>left</wp:align>
          </wp:positionH>
          <wp:positionV relativeFrom="paragraph">
            <wp:posOffset>635</wp:posOffset>
          </wp:positionV>
          <wp:extent cx="2578735" cy="1444625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578735" cy="1444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ab/>
    </w:r>
    <w:r>
      <w:rPr>
        <w:rStyle w:val="Strong"/>
        <w:rFonts w:eastAsia="Arial" w:cs="Arial" w:ascii="Arial" w:hAnsi="Arial"/>
        <w:sz w:val="24"/>
        <w:szCs w:val="24"/>
      </w:rPr>
      <w:t>Ministère en charge de l'énergie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4"/>
        <w:szCs w:val="24"/>
      </w:rPr>
    </w:pPr>
    <w:r>
      <w:rPr>
        <w:rFonts w:eastAsia="Arial" w:cs="Arial" w:ascii="Arial" w:hAnsi="Arial"/>
        <w:b/>
        <w:sz w:val="24"/>
        <w:szCs w:val="24"/>
      </w:rPr>
      <w:t>Direction de l’énergie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bookmarkStart w:id="1" w:name="_heading=h.gjdgxs"/>
    <w:bookmarkEnd w:id="1"/>
    <w:r>
      <w:rPr>
        <w:rFonts w:eastAsia="Arial" w:cs="Arial" w:ascii="Arial" w:hAnsi="Arial"/>
        <w:b/>
        <w:sz w:val="20"/>
        <w:szCs w:val="20"/>
      </w:rPr>
      <w:t>Sous-direction du système électrique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  <w:t>et des énergies renouvelables</w:t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widowControl w:val="false"/>
      <w:tabs>
        <w:tab w:val="clear" w:pos="720"/>
        <w:tab w:val="right" w:pos="9026" w:leader="none"/>
      </w:tabs>
      <w:spacing w:lineRule="auto" w:line="240" w:before="0" w:after="0"/>
      <w:ind w:hanging="0" w:right="55"/>
      <w:jc w:val="right"/>
      <w:rPr>
        <w:rFonts w:ascii="Arial" w:hAnsi="Arial" w:eastAsia="Arial" w:cs="Arial"/>
        <w:b/>
        <w:sz w:val="20"/>
        <w:szCs w:val="20"/>
      </w:rPr>
    </w:pPr>
    <w:r>
      <w:rPr>
        <w:rFonts w:eastAsia="Arial" w:cs="Arial" w:ascii="Arial" w:hAnsi="Arial"/>
        <w:b/>
        <w:sz w:val="20"/>
        <w:szCs w:val="20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-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-normal"/>
    <w:next w:val="LO-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-normal"/>
    <w:next w:val="LO-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-normal"/>
    <w:next w:val="LO-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En-tteetpieddepage">
    <w:name w:val="En-tête et pied de page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En-tteetpieddepage"/>
    <w:pPr/>
    <w:rPr/>
  </w:style>
  <w:style w:type="paragraph" w:styleId="Footer">
    <w:name w:val="Footer"/>
    <w:basedOn w:val="En-tteetpieddepage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QoYJJNLwPBsHJVSTxQOkB9H22Ew==">AMUW2mWBVH0dngnZ5mUuolFddVd3c5k09sHodsX/9z+X6Ae+qwQ0yKJLj2cmzehGUOdgYdZ6winv2tvRF5uYgATlv2LvxW/ADWOkQEzRPORwhFkXv57w1QNz4g0+iMTLP2OqE8o4Eqnw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LibreOffice/24.2.6.2$Linux_X86_64 LibreOffice_project/420$Build-2</Application>
  <AppVersion>15.0000</AppVersion>
  <Pages>3</Pages>
  <Words>844</Words>
  <Characters>6088</Characters>
  <CharactersWithSpaces>6879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2024-10-10T14:55:03Z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