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{#isEDM}EDM{/isEDM}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LibreOffice/7.4.0.3$MacOSX_X86_64 LibreOffice_project/f85e47c08ddd19c015c0114a68350214f7066f5a</Application>
  <AppVersion>15.0000</AppVersion>
  <Pages>2</Pages>
  <Words>364</Words>
  <Characters>2269</Characters>
  <CharactersWithSpaces>2606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2023-09-04T11:36:28Z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