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d’actionnariat pour 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{nouvelActionnaire}</w:t>
      </w:r>
      <w:r>
        <w:rPr>
          <w:rFonts w:eastAsia="Liberation Sans" w:cs="Liberation Sans" w:ascii="Liberation Sans" w:hAnsi="Liberation Sans"/>
          <w:sz w:val="20"/>
          <w:szCs w:val="20"/>
        </w:rPr>
        <w:t>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{referenceParagrapheActionnaire}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{contenuParagrapheActionnaire}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[Nom du nouvel actionnaire]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[numéro RCS]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256</Words>
  <Characters>1651</Characters>
  <CharactersWithSpaces>1880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2022-12-13T18:08:59Z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