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de la puissance installée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{#puissanceInitiale}{puissanceInitiale}{/puissanceInitiale}{^puissanceInitiale}{puissanceActuelle}{/puissanceInitiale}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{#puissanceInitiale}La puissance installée a été modifiée depuis la notification. Elle est actuellement de {puissanceActuelle} {unitePuissance}.{/puissanceInitiale}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{referenceParagraphePuissance} du cahier des charges de l’appel d’offres cité en objet indique :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{contenuParagraphePuissance}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le changement de puissance demandé. / et compte-tenu des éléments précédents, je suis au regret de ne pas donner de suite favorable à votre demande.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DGEC / DREAL]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-152398</wp:posOffset>
          </wp:positionH>
          <wp:positionV relativeFrom="paragraph">
            <wp:posOffset>-342898</wp:posOffset>
          </wp:positionV>
          <wp:extent cx="1846580" cy="150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860" r="586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30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1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32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