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${serviceNom}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Arial" w:cs="Arial" w:eastAsia="Arial" w:hAnsi="Arial"/>
          <w:u w:val="none"/>
        </w:rPr>
      </w:pPr>
      <w:r w:rsidDel="00000000" w:rsidR="00000000" w:rsidRPr="00000000">
        <w:rPr>
          <w:rFonts w:ascii="Arial" w:cs="Arial" w:eastAsia="Arial" w:hAnsi="Arial"/>
          <w:u w:val="none"/>
          <w:rtl w:val="0"/>
        </w:rPr>
        <w:t xml:space="preserve">RAPPORT DE PATROUILLE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 ${numRapport}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 ${dateDebut}  au  ${dateFin}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4"/>
        <w:rPr>
          <w:rFonts w:ascii="Arial" w:cs="Arial" w:eastAsia="Arial" w:hAnsi="Arial"/>
        </w:rPr>
      </w:pPr>
      <w:r w:rsidDel="00000000" w:rsidR="00000000" w:rsidRPr="00000000">
        <w:rPr>
          <w:rFonts w:ascii="Arial" w:cs="Arial" w:eastAsia="Arial" w:hAnsi="Arial"/>
          <w:rtl w:val="0"/>
        </w:rPr>
        <w:t xml:space="preserve">À l’attention de</w:t>
      </w:r>
    </w:p>
    <w:p w:rsidR="00000000" w:rsidDel="00000000" w:rsidP="00000000" w:rsidRDefault="00000000" w:rsidRPr="00000000" w14:paraId="0000001A">
      <w:pPr>
        <w:pStyle w:val="Heading4"/>
        <w:rPr>
          <w:rFonts w:ascii="Arial" w:cs="Arial" w:eastAsia="Arial" w:hAnsi="Arial"/>
        </w:rPr>
      </w:pPr>
      <w:r w:rsidDel="00000000" w:rsidR="00000000" w:rsidRPr="00000000">
        <w:rPr>
          <w:rFonts w:ascii="Arial" w:cs="Arial" w:eastAsia="Arial" w:hAnsi="Arial"/>
          <w:rtl w:val="0"/>
        </w:rPr>
        <w:t xml:space="preserve">Monsieur le Directeur Inter régional de la Mer</w:t>
      </w:r>
    </w:p>
    <w:p w:rsidR="00000000" w:rsidDel="00000000" w:rsidP="00000000" w:rsidRDefault="00000000" w:rsidRPr="00000000" w14:paraId="0000001B">
      <w:pPr>
        <w:pStyle w:val="Heading4"/>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${destinataireCopies}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Activité du navire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801.0" w:type="dxa"/>
        <w:jc w:val="left"/>
        <w:tblInd w:w="6.0" w:type="dxa"/>
        <w:tblLayout w:type="fixed"/>
        <w:tblLook w:val="0400"/>
      </w:tblPr>
      <w:tblGrid>
        <w:gridCol w:w="1089"/>
        <w:gridCol w:w="872"/>
        <w:gridCol w:w="1120"/>
        <w:gridCol w:w="867"/>
        <w:gridCol w:w="1190"/>
        <w:gridCol w:w="1035"/>
        <w:gridCol w:w="826"/>
        <w:gridCol w:w="970"/>
        <w:gridCol w:w="920"/>
        <w:gridCol w:w="912"/>
        <w:tblGridChange w:id="0">
          <w:tblGrid>
            <w:gridCol w:w="1089"/>
            <w:gridCol w:w="872"/>
            <w:gridCol w:w="1120"/>
            <w:gridCol w:w="867"/>
            <w:gridCol w:w="1190"/>
            <w:gridCol w:w="1035"/>
            <w:gridCol w:w="826"/>
            <w:gridCol w:w="970"/>
            <w:gridCol w:w="920"/>
            <w:gridCol w:w="912"/>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6"/>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6"/>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49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Observations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Éléments chronologiques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u w:val="single"/>
        </w:rPr>
      </w:pPr>
      <w:r w:rsidDel="00000000" w:rsidR="00000000" w:rsidRPr="00000000">
        <w:rPr>
          <w:rFonts w:ascii="Arial" w:cs="Arial" w:eastAsia="Arial" w:hAnsi="Arial"/>
          <w:color w:val="0c0d0e"/>
          <w:u w:val="single"/>
          <w:rtl w:val="0"/>
        </w:rPr>
        <w:t xml:space="preserve">${date}</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${block_group_freenotes}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${freenote_observations}</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${/block_group_freenotes}</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c0d0e"/>
          <w:sz w:val="24"/>
          <w:szCs w:val="24"/>
          <w:u w:val="none"/>
          <w:shd w:fill="auto" w:val="clear"/>
          <w:vertAlign w:val="baseline"/>
        </w:rPr>
      </w:pPr>
      <w:r w:rsidDel="00000000" w:rsidR="00000000" w:rsidRPr="00000000">
        <w:rPr>
          <w:rFonts w:ascii="Arial" w:cs="Arial" w:eastAsia="Arial" w:hAnsi="Arial"/>
          <w:b w:val="0"/>
          <w:i w:val="0"/>
          <w:smallCaps w:val="0"/>
          <w:strike w:val="0"/>
          <w:color w:val="0c0d0e"/>
          <w:sz w:val="24"/>
          <w:szCs w:val="24"/>
          <w:u w:val="none"/>
          <w:shd w:fill="auto" w:val="clear"/>
          <w:vertAlign w:val="baseline"/>
          <w:rtl w:val="0"/>
        </w:rPr>
        <w:t xml:space="preserve">${/block_group}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Arial" w:cs="Arial" w:eastAsia="Arial" w:hAnsi="Arial"/>
          <w:u w:val="single"/>
          <w:rtl w:val="0"/>
        </w:rPr>
        <w:t xml:space="preserve">Autres missions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heures)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F">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2">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21.0" w:type="dxa"/>
        <w:jc w:val="left"/>
        <w:tblInd w:w="5.0" w:type="dxa"/>
        <w:tblLayout w:type="fixed"/>
        <w:tblLook w:val="0400"/>
      </w:tblPr>
      <w:tblGrid>
        <w:gridCol w:w="4018"/>
        <w:gridCol w:w="1541"/>
        <w:gridCol w:w="1370"/>
        <w:gridCol w:w="2292"/>
        <w:tblGridChange w:id="0">
          <w:tblGrid>
            <w:gridCol w:w="4018"/>
            <w:gridCol w:w="1541"/>
            <w:gridCol w:w="1370"/>
            <w:gridCol w:w="2292"/>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navires interrogés</w:t>
            </w:r>
          </w:p>
        </w:tc>
      </w:tr>
      <w:tr>
        <w:trPr>
          <w:cantSplit w:val="0"/>
          <w:trHeight w:val="34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Opérations de surveillance du trafic</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B">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tl w:val="0"/>
              </w:rPr>
            </w:r>
          </w:p>
        </w:tc>
      </w:tr>
      <w:tr>
        <w:trPr>
          <w:cantSplit w:val="0"/>
          <w:trHeight w:val="334"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0">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Soutien à la politique de formation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21.0" w:type="dxa"/>
        <w:jc w:val="left"/>
        <w:tblInd w:w="5.0" w:type="dxa"/>
        <w:tblLayout w:type="fixed"/>
        <w:tblLook w:val="0400"/>
      </w:tblPr>
      <w:tblGrid>
        <w:gridCol w:w="4930"/>
        <w:gridCol w:w="4291"/>
        <w:tblGridChange w:id="0">
          <w:tblGrid>
            <w:gridCol w:w="4930"/>
            <w:gridCol w:w="429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 du personnel au cours de la mission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Dépenses engagées au cours de la mission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blHeader w:val="0"/>
        </w:trPr>
        <w:tc>
          <w:tcPr>
            <w:tcBorders>
              <w:top w:color="000000" w:space="0" w:sz="4" w:val="single"/>
              <w:left w:color="000000" w:space="0" w:sz="4" w:val="single"/>
              <w:bottom w:color="000000" w:space="0" w:sz="4" w:val="single"/>
            </w:tcBorders>
            <w:shd w:fill="ffff99"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Montant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Rapport technique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Voir le rapport du chef mécanicien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 et cachet du commandant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tab/>
        <w:tab/>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2"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2">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4gKl0zF8/KAdipABAq8YolBN6w==">CgMxLjA4AHIhMThHeTNkTTQwTS1QYlFKTlJweVg0VWlCSnFadU1WTHVM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