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08628" cy="37119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8" cy="3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</w:rPr>
      </w:pPr>
    </w:p>
    <w:p>
      <w:pPr>
        <w:pStyle w:val="Title"/>
      </w:pPr>
      <w:r>
        <w:rPr>
          <w:rStyle w:val="Aucun"/>
          <w:rtl w:val="0"/>
          <w:lang w:val="fr-FR"/>
        </w:rPr>
        <w:t>Rapport complet</w:t>
      </w:r>
    </w:p>
    <w:p>
      <w:pPr>
        <w:pStyle w:val="Corps A"/>
      </w:pPr>
    </w:p>
    <w:p>
      <w:pPr>
        <w:pStyle w:val="heading 4"/>
        <w:numPr>
          <w:ilvl w:val="0"/>
          <w:numId w:val="2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Consommation d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espaces entre le 01/01/{{ diagnostic.analyse_start_date }} et le 31/12/{{ diagnostic.analyse_end_date }}</w:t>
      </w:r>
    </w:p>
    <w:p>
      <w:pPr>
        <w:pStyle w:val="heading 4"/>
        <w:numPr>
          <w:ilvl w:val="0"/>
          <w:numId w:val="3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{% if has_ocsge %}Artificialisation selon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else %}Artificialisation en attente de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endif %}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1 Consommation des espaces NAF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185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9" y="50801"/>
                                  <a:ext cx="31326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6">
                      <v:oval id="_x0000_s1027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espaces NAF (Naturels, Agricoles et Forestiers)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sont 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de 5 terrains de football par heure. Tous les territoires sont concern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 en particulier 61% 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est constat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dans les territoires sans tension immobili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Les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rosion de la biodiversit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aggravation du risque de ruissellement, limitation du stockage carbone)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(co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ts des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quipements publics, augmentation des temps de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placement et de la facture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nerg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tique des 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nages,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vitalisation des territoires en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prise, diminution du potentiel de production agricole etc.).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objectif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atteindre le </w:t>
      </w:r>
      <w:r>
        <w:rPr>
          <w:rStyle w:val="Aucun"/>
          <w:b w:val="1"/>
          <w:bCs w:val="1"/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z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ro artificialisation nette des sols</w:t>
      </w:r>
      <w:r>
        <w:rPr>
          <w:rStyle w:val="Aucun"/>
          <w:b w:val="1"/>
          <w:bCs w:val="1"/>
          <w:rtl w:val="0"/>
          <w:lang w:val="fr-FR"/>
        </w:rPr>
        <w:t xml:space="preserve"> » </w:t>
      </w:r>
      <w:r>
        <w:rPr>
          <w:rStyle w:val="Aucun"/>
          <w:b w:val="1"/>
          <w:bCs w:val="1"/>
          <w:rtl w:val="0"/>
          <w:lang w:val="fr-FR"/>
        </w:rPr>
        <w:t>en 2050</w:t>
      </w:r>
      <w:r>
        <w:rPr>
          <w:rStyle w:val="Aucun"/>
          <w:rtl w:val="0"/>
          <w:lang w:val="fr-FR"/>
        </w:rPr>
        <w:t xml:space="preserve">, avec un </w:t>
      </w:r>
      <w:r>
        <w:rPr>
          <w:rStyle w:val="Aucun"/>
          <w:b w:val="1"/>
          <w:bCs w:val="1"/>
          <w:rtl w:val="0"/>
          <w:lang w:val="fr-FR"/>
        </w:rPr>
        <w:t>objectif interm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diaire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 dans les dix prochaines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2021-2031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allant du 01/01/2021 au 31/12/2030) par rapport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dente 2011-2021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allant du 01/01/2011 au 31/12/2020).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dispositions introduites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2021-1104 du 22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2021 portant lutte contre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glement climatique et renforcement de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face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ses effets (dite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 xml:space="preserve">)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2023-630 du 20 juillet 2023 visant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faciliter la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uvre des objectifs de lutte contre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artificialisation des sols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renforcer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lus locaux.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Pour la 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riode 2021-2031,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consommation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espaces.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(Naturels, Agricoles et Forestiers) est entendue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fr-FR"/>
        </w:rPr>
        <w:t>(article 194 de la 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silience).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loi adopt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2023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me territoire,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sartificialisation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comptabilis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 de cette consommation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fichiers fonciers retrait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CEREMA.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A partir de 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artificialisation.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L'artificialisation nette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(article L.101-2-1 du code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urbanisme).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occupation des sols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grande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chelle (OCSGE), en cours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laboration, dont la production sera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du territoire national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ici fin 2024.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tl w:val="0"/>
          <w:lang w:val="it-IT"/>
        </w:rPr>
        <w:t>La</w:t>
      </w:r>
      <w:r>
        <w:rPr>
          <w:rStyle w:val="Aucun"/>
          <w:b w:val="1"/>
          <w:bCs w:val="1"/>
          <w:rtl w:val="0"/>
          <w:lang w:val="it-IT"/>
        </w:rPr>
        <w:t xml:space="preserve"> consommation d'espaces entre le 1er janvier 2011 et le </w:t>
      </w:r>
      <w:r>
        <w:rPr>
          <w:rStyle w:val="Aucun"/>
          <w:b w:val="1"/>
          <w:bCs w:val="1"/>
          <w:rtl w:val="0"/>
          <w:lang w:val="fr-FR"/>
        </w:rPr>
        <w:t>31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cembre 2020</w:t>
      </w:r>
      <w:r>
        <w:rPr>
          <w:rStyle w:val="Aucun"/>
          <w:b w:val="1"/>
          <w:bCs w:val="1"/>
          <w:rtl w:val="0"/>
          <w:lang w:val="it-IT"/>
        </w:rPr>
        <w:t xml:space="preserve"> repr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sente pour</w:t>
      </w:r>
      <w:r>
        <w:rPr>
          <w:rStyle w:val="Aucun"/>
          <w:b w:val="1"/>
          <w:bCs w:val="1"/>
          <w:rtl w:val="0"/>
          <w:lang w:val="fr-FR"/>
        </w:rPr>
        <w:t xml:space="preserve"> le territoire de</w:t>
      </w:r>
      <w:r>
        <w:rPr>
          <w:rStyle w:val="Aucun"/>
          <w:b w:val="1"/>
          <w:bCs w:val="1"/>
          <w:rtl w:val="0"/>
          <w:lang w:val="it-IT"/>
        </w:rPr>
        <w:t xml:space="preserve"> {{ nom_territoire }} une surface de 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target_2031_consumed }} hectares.</w:t>
      </w:r>
    </w:p>
    <w:p>
      <w:pPr>
        <w:pStyle w:val="Corps A"/>
      </w:pPr>
      <w:r>
        <w:rPr>
          <w:rStyle w:val="Aucun"/>
          <w:rtl w:val="0"/>
          <w:lang w:val="it-IT"/>
        </w:rPr>
        <w:t>{% if is_different_zan_period %}Sur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demand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e, </w:t>
      </w:r>
      <w:r>
        <w:rPr>
          <w:rStyle w:val="Aucun"/>
          <w:b w:val="1"/>
          <w:bCs w:val="1"/>
          <w:rtl w:val="0"/>
          <w:lang w:val="it-IT"/>
        </w:rPr>
        <w:t xml:space="preserve">de 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 xml:space="preserve">.analyse_start_date }} </w:t>
      </w:r>
      <w:r>
        <w:rPr>
          <w:rStyle w:val="Aucun"/>
          <w:b w:val="1"/>
          <w:bCs w:val="1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>.analyse_end_date }}</w:t>
      </w:r>
      <w:r>
        <w:rPr>
          <w:rStyle w:val="Aucun"/>
          <w:rtl w:val="0"/>
          <w:lang w:val="it-IT"/>
        </w:rPr>
        <w:t>,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s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est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lev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project_scope_consumed }} hectares</w:t>
      </w:r>
      <w:r>
        <w:rPr>
          <w:rStyle w:val="Aucun"/>
          <w:rtl w:val="0"/>
          <w:lang w:val="it-IT"/>
        </w:rPr>
        <w:t>.{%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page"/>
      </w:r>
    </w:p>
    <w:p>
      <w:pPr>
        <w:pStyle w:val="heading 1"/>
      </w:pPr>
      <w:r>
        <w:rPr>
          <w:rStyle w:val="Aucun"/>
          <w:rtl w:val="0"/>
          <w:lang w:val="it-IT"/>
        </w:rPr>
        <w:t xml:space="preserve">2 </w:t>
      </w:r>
      <w:r>
        <w:rPr>
          <w:rStyle w:val="Aucun"/>
          <w:rtl w:val="0"/>
          <w:lang w:val="fr-FR"/>
        </w:rPr>
        <w:t>Trajectoire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horizon 2031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966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9" y="50801"/>
                                  <a:ext cx="31326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6">
                      <v:oval id="_x0000_s1030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La loi Climat &amp;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silience fixe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atteindre le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«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z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ro artificialisation nette des sols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 »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en 2050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avec un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interm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diaire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duction de moiti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naturels, agricoles et forestiers dans les dix prochaines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2021-2031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allant du 01/01/2021 au 31/12/2030) par rapport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dente 2011-2021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allant du 01/01/2011 au 31/12/2020).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lang w:val="it-IT"/>
        </w:rPr>
        <w:drawing xmlns:a="http://schemas.openxmlformats.org/drawingml/2006/main">
          <wp:inline distT="0" distB="0" distL="0" distR="0">
            <wp:extent cx="6368289" cy="1690017"/>
            <wp:effectExtent l="0" t="0" r="0" b="0"/>
            <wp:docPr id="1073741834" name="officeArt object" descr="cX0lb5dyVuQ4KWBxXOhLDgSMHs0VZzCkg2eLltu16tsr_SLGMIzRPK_LJk_44XFEBH1gpC3eUeVkEkmxVsljQvyVxhr5DQpwmwawi3YCUPTwP8INHDe8i-3AuzAZSnFQpPSpkLTIc7do9-9wGa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X0lb5dyVuQ4KWBxXOhLDgSMHs0VZzCkg2eLltu16tsr_SLGMIzRPK_LJk_44XFEBH1gpC3eUeVkEkmxVsljQvyVxhr5DQpwmwawi3YCUPTwP8INHDe8i-3AuzAZSnFQpPSpkLTIc7do9-9wGa_n.png" descr="cX0lb5dyVuQ4KWBxXOhLDgSMHs0VZzCkg2eLltu16tsr_SLGMIzRPK_LJk_44XFEBH1gpC3eUeVkEkmxVsljQvyVxhr5DQpwmwawi3YCUPTwP8INHDe8i-3AuzAZSnFQpPSpkLTIc7do9-9wGa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89" cy="169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</w:t>
      </w:r>
      <w:r>
        <w:rPr>
          <w:rStyle w:val="Aucun"/>
          <w:b w:val="1"/>
          <w:bCs w:val="1"/>
          <w:rtl w:val="0"/>
          <w:lang w:val="it-IT"/>
        </w:rPr>
        <w:t xml:space="preserve"> trajectoire nationale progressive</w:t>
      </w:r>
      <w:r>
        <w:rPr>
          <w:rStyle w:val="Aucun"/>
          <w:rtl w:val="0"/>
          <w:lang w:val="it-IT"/>
        </w:rPr>
        <w:t xml:space="preserve"> est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cliner dans les </w:t>
      </w:r>
      <w:r>
        <w:rPr>
          <w:rStyle w:val="Aucun"/>
          <w:b w:val="1"/>
          <w:bCs w:val="1"/>
          <w:rtl w:val="0"/>
          <w:lang w:val="it-IT"/>
        </w:rPr>
        <w:t>documents de planification et d'urbanisme</w:t>
      </w:r>
      <w:r>
        <w:rPr>
          <w:rStyle w:val="Aucun"/>
          <w:rtl w:val="0"/>
          <w:lang w:val="it-IT"/>
        </w:rPr>
        <w:t xml:space="preserve"> (avant le 22 novembre 2024 pour les SRADDET,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2027 pour les SCoT et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2028 pour les PLU(i) et cartes communales).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 xml:space="preserve">Elle doit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concili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 avec l'objectif de soutien de la construction durable, en particulier dans les territoires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it-IT"/>
        </w:rPr>
        <w:t xml:space="preserve">l'offre de logements et de surfaces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conomiques est insuffisante au regard de la demande.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La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voit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que la consommation 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 xml:space="preserve">re des </w:t>
      </w:r>
      <w:r>
        <w:rPr>
          <w:rStyle w:val="Aucun"/>
          <w:b w:val="1"/>
          <w:bCs w:val="1"/>
          <w:rtl w:val="0"/>
          <w:lang w:val="it-IT"/>
        </w:rPr>
        <w:t>projets d'envergure nationale ou europ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enne et d'int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</w:t>
      </w:r>
      <w:r>
        <w:rPr>
          <w:rStyle w:val="Aucun"/>
          <w:b w:val="1"/>
          <w:bCs w:val="1"/>
          <w:rtl w:val="0"/>
          <w:lang w:val="it-IT"/>
        </w:rPr>
        <w:t>ê</w:t>
      </w:r>
      <w:r>
        <w:rPr>
          <w:rStyle w:val="Aucun"/>
          <w:b w:val="1"/>
          <w:bCs w:val="1"/>
          <w:rtl w:val="0"/>
          <w:lang w:val="it-IT"/>
        </w:rPr>
        <w:t>t g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n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ral majeur sera comptabilis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 au niveau national</w:t>
      </w:r>
      <w:r>
        <w:rPr>
          <w:rStyle w:val="Aucun"/>
          <w:rtl w:val="0"/>
          <w:lang w:val="it-IT"/>
        </w:rPr>
        <w:t>, et non au niveau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gional ou local. Ces projets seront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num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 par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du ministre charg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de l'urbanisme, en fonction de cat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gories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finies dans la loi, apr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consultation des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gions, de la conf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rence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gionale et du public. Un forfait de 12 500 hectares est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termin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2021-2031, dont 10 000 hectares font l'objet d'une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quation entre les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 couvertes par un SRADDET.</w:t>
      </w:r>
      <w:r>
        <w:rPr>
          <w:rStyle w:val="Aucun"/>
          <w:rtl w:val="0"/>
          <w:lang w:val="it-IT"/>
        </w:rPr>
        <w:t> 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Cette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cise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exercice de territorialisation de la trajectoire. Afin de tenir compte des besoins de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ensemble des territoires, </w:t>
      </w:r>
      <w:r>
        <w:rPr>
          <w:rStyle w:val="Aucun"/>
          <w:b w:val="1"/>
          <w:bCs w:val="1"/>
          <w:rtl w:val="0"/>
          <w:lang w:val="it-IT"/>
        </w:rPr>
        <w:t>une surface minimale d</w:t>
      </w:r>
      <w:r>
        <w:rPr>
          <w:rStyle w:val="Aucun"/>
          <w:b w:val="1"/>
          <w:bCs w:val="1"/>
          <w:rtl w:val="0"/>
          <w:lang w:val="it-IT"/>
        </w:rPr>
        <w:t>’</w:t>
      </w:r>
      <w:r>
        <w:rPr>
          <w:rStyle w:val="Aucun"/>
          <w:b w:val="1"/>
          <w:bCs w:val="1"/>
          <w:rtl w:val="0"/>
          <w:lang w:val="it-IT"/>
        </w:rPr>
        <w:t>un hectare de consommation</w:t>
      </w:r>
      <w:r>
        <w:rPr>
          <w:rStyle w:val="Aucun"/>
          <w:rtl w:val="0"/>
          <w:lang w:val="it-IT"/>
        </w:rPr>
        <w:t xml:space="preserve"> est garantie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toutes les communes couvertes par un document d'urbanisme prescrit,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ou approuv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avant le 22 ao</w:t>
      </w:r>
      <w:r>
        <w:rPr>
          <w:rStyle w:val="Aucun"/>
          <w:rtl w:val="0"/>
          <w:lang w:val="it-IT"/>
        </w:rPr>
        <w:t>û</w:t>
      </w:r>
      <w:r>
        <w:rPr>
          <w:rStyle w:val="Aucun"/>
          <w:rtl w:val="0"/>
          <w:lang w:val="it-IT"/>
        </w:rPr>
        <w:t>t 2026, 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riode 2021-2031. Cette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 xml:space="preserve">garantie communale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 xml:space="preserve">peut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mutualis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au niveau intercommunal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la demande des communes. Quant aux communes littorales soumises au recul du trait de c</w:t>
      </w:r>
      <w:r>
        <w:rPr>
          <w:rStyle w:val="Aucun"/>
          <w:rtl w:val="0"/>
          <w:lang w:val="it-IT"/>
        </w:rPr>
        <w:t>ô</w:t>
      </w:r>
      <w:r>
        <w:rPr>
          <w:rStyle w:val="Aucun"/>
          <w:rtl w:val="0"/>
          <w:lang w:val="it-IT"/>
        </w:rPr>
        <w:t>te, qui sont list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par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cret et qui ont mis en place un projet de recomposition spatiale, elles peuvent consid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rer, avant m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 xml:space="preserve">me que la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</w:t>
      </w:r>
      <w:r>
        <w:rPr>
          <w:rStyle w:val="Aucun"/>
          <w:rtl w:val="0"/>
          <w:lang w:val="it-IT"/>
        </w:rPr>
        <w:t xml:space="preserve"> soit effective, comme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es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les surfaces situ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dans la zone menac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horizon 30 ans et qui seront ensuite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  <w:r>
        <w:rPr>
          <w:rStyle w:val="Aucun"/>
          <w:rtl w:val="0"/>
          <w:lang w:val="it-IT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aujourd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hui, </w:t>
      </w:r>
      <w:r>
        <w:rPr>
          <w:rStyle w:val="Aucun"/>
          <w:b w:val="1"/>
          <w:bCs w:val="1"/>
          <w:rtl w:val="0"/>
          <w:lang w:val="it-IT"/>
        </w:rPr>
        <w:t>Mon Diagnostic Artificialisation</w:t>
      </w:r>
      <w:r>
        <w:rPr>
          <w:rStyle w:val="Aucun"/>
          <w:rtl w:val="0"/>
          <w:lang w:val="it-IT"/>
        </w:rPr>
        <w:t xml:space="preserve"> vous permet de vous projeter dans cet objectif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duction de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NAF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it-IT"/>
        </w:rPr>
        <w:t>(Naturels, Agricoles et Forestiers)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 et de simuler divers sc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narii.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Vous avez choisi de personnaliser votre objectif non-r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glementaire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duction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hauteur de</w:t>
      </w:r>
      <w:r>
        <w:rPr>
          <w:rStyle w:val="Aucun"/>
          <w:b w:val="1"/>
          <w:bCs w:val="1"/>
          <w:rtl w:val="0"/>
          <w:lang w:val="it-IT"/>
        </w:rPr>
        <w:t xml:space="preserve">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tl w:val="0"/>
          <w:lang w:val="it-IT"/>
        </w:rPr>
        <w:t xml:space="preserve"> et le graphique ci-dessous vous montre un aper</w:t>
      </w:r>
      <w:r>
        <w:rPr>
          <w:rStyle w:val="Aucun"/>
          <w:rtl w:val="0"/>
          <w:lang w:val="it-IT"/>
        </w:rPr>
        <w:t>ç</w:t>
      </w:r>
      <w:r>
        <w:rPr>
          <w:rStyle w:val="Aucun"/>
          <w:rtl w:val="0"/>
          <w:lang w:val="it-IT"/>
        </w:rPr>
        <w:t>u des tendances annuelles maximales que votre territoire ne devrait pas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passer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2031.</w:t>
      </w:r>
    </w:p>
    <w:p>
      <w:pPr>
        <w:pStyle w:val="Corps A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{{ projection_zan_2031 }}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it-IT"/>
        </w:rPr>
        <w:t xml:space="preserve">En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bleu</w:t>
      </w:r>
      <w:r>
        <w:rPr>
          <w:rStyle w:val="Aucun"/>
          <w:b w:val="1"/>
          <w:bCs w:val="1"/>
          <w:rtl w:val="0"/>
          <w:lang w:val="it-IT"/>
        </w:rPr>
        <w:t xml:space="preserve"> : 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riode de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f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 xml:space="preserve">rence </w:t>
        <w:tab/>
        <w:tab/>
        <w:tab/>
        <w:t xml:space="preserve">En 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vert</w:t>
      </w:r>
      <w:r>
        <w:rPr>
          <w:rStyle w:val="Aucun"/>
          <w:b w:val="1"/>
          <w:bCs w:val="1"/>
          <w:rtl w:val="0"/>
          <w:lang w:val="it-IT"/>
        </w:rPr>
        <w:t xml:space="preserve"> :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duction de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rtl w:val="0"/>
          <w:lang w:val="it-IT"/>
        </w:rPr>
        <w:t>1er jan. 2011 - 31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2020</w:t>
        <w:tab/>
        <w:tab/>
        <w:tab/>
        <w:tab/>
        <w:t>1er jan. 2021 - 31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2030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projection_zan_cumulee_ref }} ha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riode du 1er jan. 2021 au 31 d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c. 2030 (10 ans) avec un objectif non-r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duction de 50% : {{ projection_zan_cumulee_objectif }} ha</w:t>
      </w:r>
    </w:p>
    <w:p>
      <w:pPr>
        <w:pStyle w:val="Corps A"/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Consommation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fr-FR"/>
          <w14:textFill>
            <w14:solidFill>
              <w14:srgbClr w14:val="4674C5"/>
            </w14:solidFill>
          </w14:textFill>
        </w:rPr>
        <w:t>annuelle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projection_zan_annuelle_ref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Consommation annuelle avec un objectif non-r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duction de 50% : {{ projection_zan_annuelle_objectif }} ha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1ae48"/>
          <w:u w:color="71ae48"/>
          <w:lang w:val="it-IT"/>
          <w14:textFill>
            <w14:solidFill>
              <w14:srgbClr w14:val="71AE48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(en ha) et de ses destinations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choisie</w:t>
      </w:r>
    </w:p>
    <w:p>
      <w:pPr>
        <w:pStyle w:val="heading 1"/>
      </w:pPr>
      <w:r>
        <w:rPr>
          <w:rStyle w:val="Aucun"/>
          <w:rtl w:val="0"/>
          <w:lang w:val="fr-FR"/>
        </w:rPr>
        <w:t>3.1 Consommation annuelle brute du territoire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La consommation d'espaces entre le 1er janvier 2011 et le 1er janvier 202</w:t>
      </w:r>
      <w:r>
        <w:rPr>
          <w:rStyle w:val="Aucun"/>
          <w:b w:val="1"/>
          <w:bCs w:val="1"/>
          <w:rtl w:val="0"/>
          <w:lang w:val="fr-FR"/>
        </w:rPr>
        <w:t>4</w:t>
      </w:r>
      <w:r>
        <w:rPr>
          <w:rStyle w:val="Aucun"/>
          <w:b w:val="1"/>
          <w:b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{% if not is_commune %}</w:t>
      </w:r>
      <w:r>
        <w:rPr>
          <w:rStyle w:val="Aucun"/>
          <w:rtl w:val="0"/>
          <w:lang w:val="es-ES_tradnl"/>
        </w:rPr>
        <w:t>{{ carte_consommation }</w:t>
      </w:r>
      <w:r>
        <w:rPr>
          <w:rStyle w:val="Aucun"/>
          <w:rtl w:val="0"/>
          <w:lang w:val="fr-FR"/>
        </w:rPr>
        <w:t>}</w:t>
      </w:r>
      <w:r>
        <w:rPr>
          <w:rStyle w:val="Aucun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</w:p>
    <w:p>
      <w:pPr>
        <w:pStyle w:val="heading 1"/>
        <w:rPr>
          <w:rStyle w:val="Aucun"/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tl w:val="0"/>
          <w:lang w:val="es-ES_tradnl"/>
        </w:rPr>
        <w:t>3.</w:t>
      </w:r>
      <w:r>
        <w:rPr>
          <w:rStyle w:val="Aucun"/>
          <w:rtl w:val="0"/>
          <w:lang w:val="fr-FR"/>
        </w:rPr>
        <w:t>2 Destinations de la consommation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spacing w:before="320"/>
        <w:rPr>
          <w:lang w:val="fr-FR"/>
        </w:rPr>
      </w:pPr>
      <w:r>
        <w:rPr>
          <w:rStyle w:val="Aucun"/>
          <w:rtl w:val="0"/>
          <w:lang w:val="fr-FR"/>
        </w:rPr>
        <w:t>Le Cerema extrait cette information et classe aujourd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hui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en quatre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habitat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5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activit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mixte</w:t>
      </w:r>
      <w:r>
        <w:rPr>
          <w:rStyle w:val="Aucun"/>
          <w:rFonts w:ascii="Marianne" w:hAnsi="Marianne"/>
          <w:rtl w:val="0"/>
          <w:lang w:val="fr-FR"/>
        </w:rPr>
        <w:t xml:space="preserve"> lorsqu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il y a un 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lange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habitat et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activit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, par exemple un commerce au rez de chauss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et des logements aux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tages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Route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Ferr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non renseign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lorsque les fichiers fonciers ne permettent pas de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ciser la destination.</w:t>
      </w:r>
    </w:p>
    <w:p>
      <w:pPr>
        <w:pStyle w:val="List Bullet"/>
        <w:tabs>
          <w:tab w:val="clear" w:pos="360"/>
        </w:tabs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Sur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mand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e, la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partition des destinations est la suivante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La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partition annuelle est la suivante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</w:pPr>
      <w:r>
        <w:rPr>
          <w:rStyle w:val="Aucun"/>
          <w:rtl w:val="0"/>
          <w:lang w:val="es-ES_tradnl"/>
        </w:rPr>
        <w:t>Les chiffres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taill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les suivants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determinants_data_table.headers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determinants_data_table.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value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row.data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</w:rPr>
      </w:pP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1"/>
      </w:pPr>
      <w:r>
        <w:rPr>
          <w:rStyle w:val="Aucun"/>
          <w:rtl w:val="0"/>
          <w:lang w:val="fr-FR"/>
        </w:rPr>
        <w:t>3.3 Comparaison avec les territoires similaires</w:t>
      </w:r>
    </w:p>
    <w:p>
      <w:pPr>
        <w:pStyle w:val="heading 1"/>
      </w:pPr>
      <w:r>
        <w:rPr>
          <w:rStyle w:val="Aucun"/>
          <w:rtl w:val="0"/>
          <w:lang w:val="fr-FR"/>
        </w:rPr>
        <w:t>3.3.1 Consommation annuelle absolue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comparaison avec les territoires similaires permet d'appr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hender les dynamiques globales brutes de consommation d'espaces NAF (Naturels, Agricoles et Forestiers) et de les comparer entre elles.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faut, </w:t>
      </w:r>
      <w:r>
        <w:rPr>
          <w:rStyle w:val="Aucun"/>
          <w:b w:val="1"/>
          <w:bCs w:val="1"/>
          <w:rtl w:val="0"/>
          <w:lang w:val="fr-FR"/>
        </w:rPr>
        <w:t>Mon Diagnostic Artificialisation</w:t>
      </w:r>
      <w:r>
        <w:rPr>
          <w:rStyle w:val="Aucun"/>
          <w:rtl w:val="0"/>
          <w:lang w:val="fr-FR"/>
        </w:rPr>
        <w:t xml:space="preserve"> vous permet de comparer votre territoire avec les territoires similaires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niveau administratif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communes similaires, communes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EPCI, EPCI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</w:t>
      </w:r>
      <w:r>
        <w:rPr>
          <w:rStyle w:val="Aucun"/>
          <w:rtl w:val="0"/>
          <w:lang w:val="fr-FR"/>
        </w:rPr>
        <w:t>…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Pour initier ces comparaisons avec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territoires, y compris de niveaux administratifs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rents, il est possible de modifier le graphique sur la plateforme.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les boutons permettent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ajouter un territoire de comparaison ou donnent des astuces sur comment retirer des territoires de comparaison existants.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 xml:space="preserve">Le graphique et le tableau qui suivent donnent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annuelles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de ces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territoires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3.3.2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>La consommation relative aux surfaces des territoires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analyser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au regard de la surface totale du territoire. Cette approche proportionnelle permet de comparer les territoires selon le pourcentage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consomm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rapport au volume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total du territoire.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{{ comparison_relative_chart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 Bilan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heading 1"/>
      </w:pPr>
      <w:r>
        <w:rPr>
          <w:rStyle w:val="Aucun"/>
          <w:rtl w:val="0"/>
          <w:lang w:val="fr-FR"/>
        </w:rPr>
        <w:t>4.1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finitions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article 192 modifie le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Style w:val="Aucun"/>
          <w:rtl w:val="0"/>
          <w:lang w:val="es-ES_tradnl"/>
        </w:rPr>
        <w:t xml:space="preserve"> telle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elle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 et de planification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Au sein des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urbanisme, lorsque la loi ou le r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glement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voit des objectifs de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duction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des sols ou de son rythme, ces objectifs sont fix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rant comme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a)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dont les sols sont soit imperm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raison du b</w:t>
      </w:r>
      <w:r>
        <w:rPr>
          <w:rStyle w:val="Aucun"/>
          <w:rtl w:val="0"/>
          <w:lang w:val="es-ES_tradnl"/>
        </w:rPr>
        <w:t>â</w:t>
      </w:r>
      <w:r>
        <w:rPr>
          <w:rStyle w:val="Aucun"/>
          <w:rtl w:val="0"/>
          <w:lang w:val="es-ES_tradnl"/>
        </w:rPr>
        <w:t>ti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 rev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tement, soit stabilis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et compact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s, soit constitu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de mat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riaux composites ;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b)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soit naturelle, nue ou couverte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eau, soit v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e, constituant un habitat naturel ou utilis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 xml:space="preserve">usage de cultures.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Un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en Conseil d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>tat fixe les conditions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sent article. Il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tablit notamment une nomenclature des sols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ainsi que l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 xml:space="preserve">chelle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laquelle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artificialisation des sols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appr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urbanisme. </w:t>
      </w:r>
      <w:r>
        <w:rPr>
          <w:rStyle w:val="Aucun"/>
          <w:rtl w:val="0"/>
          <w:lang w:val="es-ES_tradnl"/>
        </w:rPr>
        <w:t>»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Cet article est le premier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finir textuellement ce qui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comme artificialis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et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. Les composantes des espaces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explicitement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une grande finesse de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finition, tant 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ographique que descriptive.</w:t>
      </w:r>
    </w:p>
    <w:p>
      <w:pPr>
        <w:pStyle w:val="Corps A"/>
      </w:pPr>
      <w:r>
        <w:rPr>
          <w:rStyle w:val="Aucun"/>
          <w:rtl w:val="0"/>
          <w:lang w:val="es-ES_tradnl"/>
        </w:rPr>
        <w:t>Le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29 avril 2022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cise encore la notion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au sens de la loi Climat et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silience qui est traduite dans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OCS GE comme la somme des surfaces anthropis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es (CS1.1), sans les carri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res (US1.3), et des surfaces herbac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es (CS2.2)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usage de production secondaire, tertiaire,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sidentielle ou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seaux (US2, US3, US235, US4, US5). </w:t>
      </w:r>
    </w:p>
    <w:p>
      <w:pPr>
        <w:pStyle w:val="Corps A"/>
        <w:rPr>
          <w:rStyle w:val="Aucun"/>
          <w:lang w:val="es-ES_tradnl"/>
        </w:rPr>
      </w:pPr>
      <w:r>
        <w:rPr>
          <w:rStyle w:val="Aucun"/>
          <w:rtl w:val="0"/>
          <w:lang w:val="es-ES_tradnl"/>
        </w:rPr>
        <w:t xml:space="preserve">{% if </w:t>
      </w:r>
      <w:r>
        <w:rPr>
          <w:rStyle w:val="Aucun"/>
          <w:rtl w:val="0"/>
          <w:lang w:val="fr-FR"/>
        </w:rPr>
        <w:t xml:space="preserve">not </w:t>
      </w:r>
      <w:r>
        <w:rPr>
          <w:rStyle w:val="Aucun"/>
          <w:rtl w:val="0"/>
          <w:lang w:val="fr-FR"/>
        </w:rPr>
        <w:t>has_</w:t>
      </w:r>
      <w:r>
        <w:rPr>
          <w:rStyle w:val="Aucun"/>
          <w:rtl w:val="0"/>
          <w:lang w:val="es-ES_tradnl"/>
        </w:rPr>
        <w:t>ocsge %}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OCS GE est en cours de production pour votre territoire, il 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est pas possible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y mesurer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artificialisation pour le moment.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Pour consulter les donn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 OCS GE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j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à 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produites par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IGN, rendez-vous sur la page t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chargement : 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Hyperlink.0"/>
          <w:lang w:val="fr-FR"/>
        </w:rPr>
        <w:fldChar w:fldCharType="begin" w:fldLock="0"/>
      </w:r>
      <w:r>
        <w:rPr>
          <w:rStyle w:val="Hyperlink.0"/>
          <w:lang w:val="fr-FR"/>
        </w:rPr>
        <w:instrText xml:space="preserve"> HYPERLINK "https://geoservices.ign.fr/artificialisation-ocs-ge#telechargement"</w:instrText>
      </w:r>
      <w:r>
        <w:rPr>
          <w:rStyle w:val="Hyperlink.0"/>
          <w:lang w:val="fr-FR"/>
        </w:rPr>
        <w:fldChar w:fldCharType="separate" w:fldLock="0"/>
      </w:r>
      <w:r>
        <w:rPr>
          <w:rStyle w:val="Hyperlink.0"/>
          <w:rtl w:val="0"/>
          <w:lang w:val="fr-FR"/>
        </w:rPr>
        <w:t>https://geoservices.ign.fr/artificialisation-ocs-ge#telechargement</w:t>
      </w:r>
      <w:r>
        <w:rPr>
          <w:lang w:val="fr-FR"/>
        </w:rPr>
        <w:fldChar w:fldCharType="end" w:fldLock="0"/>
      </w:r>
    </w:p>
    <w:p>
      <w:pPr>
        <w:pStyle w:val="Corps A"/>
      </w:pPr>
      <w:r>
        <w:rPr>
          <w:rStyle w:val="Aucun"/>
          <w:rtl w:val="0"/>
          <w:lang w:val="es-ES_tradnl"/>
        </w:rPr>
        <w:t>{% else %}</w:t>
      </w:r>
    </w:p>
    <w:p>
      <w:pPr>
        <w:pStyle w:val="heading 1"/>
      </w:pPr>
      <w:r>
        <w:rPr>
          <w:rStyle w:val="Aucun"/>
          <w:rtl w:val="0"/>
          <w:lang w:val="fr-FR"/>
        </w:rPr>
        <w:t>4.2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Corps A"/>
      </w:pPr>
      <w:r>
        <w:rPr>
          <w:rtl w:val="0"/>
          <w:lang w:val="fr-FR"/>
        </w:rPr>
        <w:t>{% if is_interdepartemental %}</w:t>
      </w:r>
      <w:r>
        <w:br w:type="textWrapping"/>
      </w:r>
      <w:r>
        <w:rPr>
          <w:rtl w:val="0"/>
          <w:lang w:val="fr-FR"/>
        </w:rPr>
        <w:t>Au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last_ocsge_millesime_inde</w:t>
      </w:r>
      <w:r>
        <w:rPr>
          <w:rtl w:val="0"/>
          <w:lang w:val="fr-FR"/>
        </w:rPr>
        <w:t>x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le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flux_artif_previous_index</w:t>
      </w:r>
      <w:r>
        <w:rPr>
          <w:rtl w:val="0"/>
          <w:lang w:val="fr-FR"/>
        </w:rPr>
        <w:t xml:space="preserve">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else %}</w:t>
      </w:r>
      <w:r>
        <w:br w:type="textWrapping"/>
      </w:r>
      <w:r>
        <w:rPr>
          <w:rtl w:val="0"/>
        </w:rPr>
        <w:t xml:space="preserve">En </w:t>
      </w:r>
      <w:r>
        <w:rPr>
          <w:rtl w:val="0"/>
          <w:lang w:val="fr-FR"/>
        </w:rPr>
        <w:t>{{ last_ocsge_millesime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{{ flux_artif_previous_year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disponibles</w:t>
      </w:r>
    </w:p>
    <w:p>
      <w:pPr>
        <w:pStyle w:val="Corps A"/>
      </w:pPr>
      <w:r>
        <w:rPr>
          <w:rtl w:val="0"/>
        </w:rPr>
        <w:t>La mesure de l'artificialisation d'un territoire repose sur la donn</w:t>
      </w:r>
      <w:r>
        <w:rPr>
          <w:rtl w:val="0"/>
        </w:rPr>
        <w:t>é</w:t>
      </w:r>
      <w:r>
        <w:rPr>
          <w:rtl w:val="0"/>
        </w:rPr>
        <w:t xml:space="preserve">e OCS GE (Occupation du Sol </w:t>
      </w:r>
      <w:r>
        <w:rPr>
          <w:rtl w:val="0"/>
        </w:rPr>
        <w:t xml:space="preserve">à </w:t>
      </w:r>
      <w:r>
        <w:rPr>
          <w:rtl w:val="0"/>
        </w:rPr>
        <w:t>Grande Echelle), actuellement en cours de production par l'IGN. Cette donn</w:t>
      </w:r>
      <w:r>
        <w:rPr>
          <w:rtl w:val="0"/>
        </w:rPr>
        <w:t>é</w:t>
      </w:r>
      <w:r>
        <w:rPr>
          <w:rtl w:val="0"/>
        </w:rPr>
        <w:t>e est produite tous les 3 ans par d</w:t>
      </w:r>
      <w:r>
        <w:rPr>
          <w:rtl w:val="0"/>
        </w:rPr>
        <w:t>é</w:t>
      </w:r>
      <w:r>
        <w:rPr>
          <w:rtl w:val="0"/>
        </w:rPr>
        <w:t>partement. Chaque production est appel</w:t>
      </w:r>
      <w:r>
        <w:rPr>
          <w:rtl w:val="0"/>
        </w:rPr>
        <w:t>é</w:t>
      </w:r>
      <w:r>
        <w:rPr>
          <w:rtl w:val="0"/>
        </w:rPr>
        <w:t>e un mill</w:t>
      </w:r>
      <w:r>
        <w:rPr>
          <w:rtl w:val="0"/>
        </w:rPr>
        <w:t>é</w:t>
      </w:r>
      <w:r>
        <w:rPr>
          <w:rtl w:val="0"/>
        </w:rPr>
        <w:t>sime.</w:t>
      </w:r>
    </w:p>
    <w:p>
      <w:pPr>
        <w:pStyle w:val="Corps A"/>
      </w:pPr>
      <w:r>
        <w:rPr>
          <w:rtl w:val="0"/>
          <w:lang w:val="fr-FR"/>
        </w:rPr>
        <w:t>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simes disponibles pour le territoire de {{ nom_territoire }} : {% if not </w:t>
      </w:r>
      <w:r>
        <w:rPr>
          <w:rtl w:val="0"/>
        </w:rPr>
        <w:t>is_interdepartementa</w:t>
      </w:r>
      <w:r>
        <w:rPr>
          <w:rtl w:val="0"/>
          <w:lang w:val="fr-FR"/>
        </w:rPr>
        <w:t xml:space="preserve">l %}{%for millesime in </w:t>
      </w:r>
      <w:r>
        <w:rPr>
          <w:rtl w:val="0"/>
        </w:rPr>
        <w:t>available_ocsge_millesimes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  <w:lang w:val="fr-FR"/>
        </w:rPr>
        <w:t>%} {{millesime.year }} {% endfor %}</w:t>
      </w:r>
      <w:r>
        <w:br w:type="textWrapping"/>
      </w:r>
      <w:r>
        <w:rPr>
          <w:rtl w:val="0"/>
          <w:lang w:val="fr-FR"/>
        </w:rPr>
        <w:t>{% else %}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300"/>
        <w:gridCol w:w="3300"/>
        <w:gridCol w:w="3301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Style w:val="Aucun"/>
                <w:rFonts w:ascii="Marianne" w:cs="Arial Unicode MS" w:hAnsi="Mariann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partement</w:t>
            </w:r>
          </w:p>
        </w:tc>
      </w:tr>
      <w:tr>
        <w:tblPrEx>
          <w:shd w:val="clear" w:color="auto" w:fill="d3cfef"/>
        </w:tblPrEx>
        <w:trPr>
          <w:trHeight w:val="233" w:hRule="atLeast"/>
        </w:trPr>
        <w:tc>
          <w:tcPr>
            <w:tcW w:type="dxa" w:w="990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 xml:space="preserve">{%tr for millesime in </w:t>
            </w:r>
            <w:r>
              <w:rPr>
                <w:rtl w:val="0"/>
              </w:rPr>
              <w:t>available_ocsge_millesimes</w:t>
            </w:r>
            <w:r>
              <w:rPr>
                <w:rStyle w:val="Aucun"/>
                <w:outline w:val="0"/>
                <w:color w:val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tl w:val="0"/>
                <w:lang w:val="fr-FR"/>
              </w:rPr>
              <w:t>%}</w:t>
            </w:r>
          </w:p>
        </w:tc>
      </w:tr>
      <w:tr>
        <w:tblPrEx>
          <w:shd w:val="clear" w:color="auto" w:fill="d3cfef"/>
        </w:tblPrEx>
        <w:trPr>
          <w:trHeight w:val="230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 N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°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millesime.index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millesime.year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Fonts w:ascii="Marianne" w:hAnsi="Marianne"/>
                <w:sz w:val="16"/>
                <w:szCs w:val="16"/>
                <w:rtl w:val="0"/>
                <w:lang w:val="fr-FR"/>
              </w:rPr>
              <w:t>{{ millesime.departement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9901"/>
            <w:gridSpan w:val="3"/>
            <w:tcBorders>
              <w:top w:val="single" w:color="bdb2ec" w:sz="4" w:space="0" w:shadow="0" w:frame="0"/>
              <w:left w:val="nil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partitions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couverture et usage</w:t>
      </w:r>
    </w:p>
    <w:p>
      <w:pPr>
        <w:pStyle w:val="Corps A"/>
      </w:pPr>
      <w:r>
        <w:rPr>
          <w:rtl w:val="0"/>
          <w:lang w:val="fr-FR"/>
        </w:rPr>
        <w:t>{{ artif_couverture_chart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couverture_data_table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artif_couverture_data_table.rows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{{ artif_usage_chart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usage_data_table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artif_usage_data_table.rows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5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Artificialisation des {{ maille_artif_map }}</w:t>
      </w:r>
    </w:p>
    <w:p>
      <w:pPr>
        <w:pStyle w:val="Corps A"/>
      </w:pPr>
      <w:r>
        <w:rPr>
          <w:rtl w:val="0"/>
          <w:lang w:val="fr-FR"/>
        </w:rPr>
        <w:t>{{ artif_map }}</w:t>
      </w: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85"/>
        <w:gridCol w:w="3271"/>
        <w:gridCol w:w="3273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artif_map_data_table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29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artif_map_data_table.rows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29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rtl w:val="0"/>
          <w:lang w:val="es-ES_tradnl"/>
        </w:rPr>
        <w:t>{% endif %}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55987" cy="526459"/>
                  <wp:effectExtent l="0" t="0" r="0" b="0"/>
                  <wp:docPr id="107374183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7" cy="526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3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0578" cy="506273"/>
                  <wp:effectExtent l="0" t="0" r="0" b="0"/>
                  <wp:docPr id="107374183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8" cy="506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3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3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"https://artificialisation.developpement-durable.gouv.fr/fascicules-zan"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70507" cy="1019218"/>
                  <wp:effectExtent l="0" t="0" r="0" b="0"/>
                  <wp:docPr id="107374184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07" cy="1019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108" w:hanging="108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-1222212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Aucun"/>
    <w:next w:val="Hyperlink.1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