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293431" cy="36688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31" cy="3668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216" w:hanging="216"/>
      </w:pPr>
    </w:p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itle"/>
        <w:rPr>
          <w:rStyle w:val="Aucun"/>
        </w:rPr>
      </w:pPr>
      <w:r>
        <w:rPr>
          <w:rStyle w:val="Aucun"/>
          <w:rtl w:val="0"/>
          <w:lang w:val="fr-FR"/>
        </w:rPr>
        <w:t>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Objet du rapport local de suivi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des sols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724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8">
                      <v:oval id="_x0000_s1027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cennie 2011-2021,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espaces NAF (Naturels, Agricoles et Forestiers)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ont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s de 5 terrains de football par heure. Les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216" w:hanging="216"/>
      </w:pPr>
    </w:p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e, dans le cadre de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"https://www.legifrance.gouv.fr/jorf/id/JORFTEXT000043956924"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2021-1104 du 22 ao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û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t 2021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dite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silience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par 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"https://www.legifrance.gouv.fr/jorf/id/JORFTEXT000047866733"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la loi n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2023-630 du 20 juillet 2023</w:t>
      </w:r>
      <w:r>
        <w:rPr/>
        <w:fldChar w:fldCharType="end" w:fldLock="0"/>
      </w:r>
      <w:r>
        <w:rPr>
          <w:rStyle w:val="Aucun"/>
          <w:rtl w:val="0"/>
          <w:lang w:val="fr-FR"/>
        </w:rPr>
        <w:t>,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objectif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atteindre le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es-ES_tradnl"/>
        </w:rPr>
        <w:t>z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 artificialisation nette des sols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en 2050, avec un objectif interm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diaire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espaces naturels, agricoles et forestiers sur 2021-2031 par rapport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it-IT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dente.</w:t>
      </w:r>
      <w:r>
        <w:rPr>
          <w:rStyle w:val="Aucun"/>
          <w:rtl w:val="0"/>
          <w:lang w:val="es-ES_tradnl"/>
        </w:rPr>
        <w:t> 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Cette trajectoire progressive est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cliner territorialement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Cette trajectoire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pour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2021-2031, en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"https://www.legifrance.gouv.fr/jorf/article_jo/JORFARTI000043957223"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194, III, 5</w:t>
      </w:r>
      <w:r>
        <w:rPr>
          <w:rStyle w:val="Aucun"/>
          <w:outline w:val="0"/>
          <w:color w:val="0b94df"/>
          <w:u w:val="single" w:color="0b94df"/>
          <w:rtl w:val="0"/>
          <w:lang w:val="it-IT"/>
          <w14:textFill>
            <w14:solidFill>
              <w14:srgbClr w14:val="0B94DF"/>
            </w14:solidFill>
          </w14:textFill>
        </w:rPr>
        <w:t xml:space="preserve">° 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de la loi Climat et r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n-US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Le bilan de consommation d'espaces NAF</w:t>
      </w:r>
      <w:r>
        <w:rPr>
          <w:rStyle w:val="Aucun"/>
          <w:rtl w:val="0"/>
          <w:lang w:val="fr-FR"/>
        </w:rPr>
        <w:t xml:space="preserve"> (Naturels, Agricoles et Forestiers)</w:t>
      </w:r>
      <w:r>
        <w:rPr>
          <w:rStyle w:val="Aucun"/>
          <w:rtl w:val="0"/>
          <w:lang w:val="es-ES_tradnl"/>
        </w:rPr>
        <w:t xml:space="preserve"> s'effectue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l'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chelle d'un document de planification ou d'urbanisme.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A partir de 2031, cette trajectoire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artificialisation nette des sols,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es-ES_tradnl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rim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"https://www.legifrance.gouv.fr/codes/article_lc/LEGIARTI000043967077/2023-09-04"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L.101-2-1 du code de l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’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urbanisme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 xml:space="preserve">L'artificialisation nette des sols se calcule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l'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chelle d'un document de planification ou d'urbanisme.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Qui doit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Les communes ou les EPCI (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tablissements publics de coop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 intercommunale) dot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un document d'urbanisme</w:t>
      </w:r>
      <w:r>
        <w:rPr>
          <w:rStyle w:val="Aucun"/>
          <w:rtl w:val="0"/>
          <w:lang w:val="es-ES_tradnl"/>
        </w:rPr>
        <w:t xml:space="preserve">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tablissent au minimum tous les 3 ans un rapport sur le rythme de l'artificialisation des sols et le respect des objectifs de sobri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au niveau local </w:t>
      </w:r>
      <w:r>
        <w:rPr>
          <w:rStyle w:val="Aucun"/>
          <w:rtl w:val="0"/>
          <w:lang w:val="es-ES_tradnl"/>
        </w:rPr>
        <w:t>(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"https://www.legifrance.gouv.fr/codes/article_lc/LEGIARTI000043977988"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art. L. 2231-1 du code 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Aucun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es-ES_tradnl"/>
        </w:rPr>
        <w:t>).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>Pour les territoires soumis au r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glement national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urbanisme (RNU)</w:t>
      </w:r>
      <w:r>
        <w:rPr>
          <w:rStyle w:val="Aucun"/>
          <w:rtl w:val="0"/>
          <w:lang w:val="fr-FR"/>
        </w:rPr>
        <w:t xml:space="preserve">, il revient aux </w:t>
      </w:r>
      <w:r>
        <w:rPr>
          <w:rStyle w:val="Aucun"/>
          <w:b w:val="1"/>
          <w:bCs w:val="1"/>
          <w:rtl w:val="0"/>
          <w:lang w:val="fr-FR"/>
        </w:rPr>
        <w:t>services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it-IT"/>
        </w:rPr>
        <w:t>concentr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Etat (DDT) </w:t>
      </w:r>
      <w:r>
        <w:rPr>
          <w:rStyle w:val="Aucun"/>
          <w:rtl w:val="0"/>
          <w:lang w:val="nl-NL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ce rapport.</w:t>
      </w:r>
    </w:p>
    <w:tbl>
      <w:tblPr>
        <w:tblW w:w="10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90"/>
        <w:gridCol w:w="9319"/>
      </w:tblGrid>
      <w:tr>
        <w:tblPrEx>
          <w:shd w:val="clear" w:color="auto" w:fill="d3cfef"/>
        </w:tblPrEx>
        <w:trPr>
          <w:trHeight w:val="473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9" y="50802"/>
                                  <a:ext cx="31327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8">
                      <v:oval id="_x0000_s1030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2;width:31326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31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Le premier rapport doit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3 ans apr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l'entr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en vigueur de la loi, soit en 2024.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enjeu est de mesurer et de </w:t>
      </w:r>
      <w:r>
        <w:rPr>
          <w:rStyle w:val="Aucun"/>
          <w:b w:val="1"/>
          <w:bCs w:val="1"/>
          <w:rtl w:val="0"/>
          <w:lang w:val="fr-FR"/>
        </w:rPr>
        <w:t>communiquer</w:t>
      </w:r>
      <w:r>
        <w:rPr>
          <w:rStyle w:val="Aucun"/>
          <w:rtl w:val="0"/>
          <w:lang w:val="es-ES_tradnl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au sujet du rythme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artificialisation des sols, afin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anticiper et de suivre</w:t>
      </w:r>
      <w:r>
        <w:rPr>
          <w:rStyle w:val="Aucun"/>
          <w:rtl w:val="0"/>
          <w:lang w:val="fr-FR"/>
        </w:rPr>
        <w:t xml:space="preserve"> la trajectoire et sa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duction. Ce rapport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>tre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sent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organe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rant, faire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objet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un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bat</w:t>
      </w:r>
      <w:r>
        <w:rPr>
          <w:rStyle w:val="Aucun"/>
          <w:rtl w:val="0"/>
          <w:lang w:val="fr-FR"/>
        </w:rPr>
        <w:t xml:space="preserve">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lib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ration</w:t>
      </w:r>
      <w:r>
        <w:rPr>
          <w:rStyle w:val="Aucun"/>
          <w:rtl w:val="0"/>
          <w:lang w:val="fr-FR"/>
        </w:rPr>
        <w:t xml:space="preserve"> du conseil municipal ou communautaire, et de mesures de </w:t>
      </w:r>
      <w:r>
        <w:rPr>
          <w:rStyle w:val="Aucun"/>
          <w:b w:val="1"/>
          <w:bCs w:val="1"/>
          <w:rtl w:val="0"/>
          <w:lang w:val="es-ES_tradnl"/>
        </w:rPr>
        <w:t>publicit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 rapport est </w:t>
      </w:r>
      <w:r>
        <w:rPr>
          <w:rStyle w:val="Aucun"/>
          <w:b w:val="1"/>
          <w:bCs w:val="1"/>
          <w:rtl w:val="0"/>
          <w:lang w:val="es-ES_tradnl"/>
        </w:rPr>
        <w:t>transmis</w:t>
      </w:r>
      <w:r>
        <w:rPr>
          <w:rStyle w:val="Aucun"/>
          <w:rtl w:val="0"/>
          <w:lang w:val="fr-FR"/>
        </w:rPr>
        <w:t xml:space="preserve"> dans un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lai de quinze jours suivant sa publication aux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fets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 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du conseil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gional, au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sident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EPCI dont la commune est membre ou aux maires des communes membres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EPCI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tent ainsi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aux observatoires locaux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 et du foncier.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 doit contenir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</w:pPr>
      <w:r>
        <w:rPr>
          <w:rStyle w:val="Aucun"/>
          <w:rtl w:val="0"/>
          <w:lang w:val="fr-FR"/>
        </w:rPr>
        <w:t>Le contenu minimal obligatoire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"https://www.legifrance.gouv.fr/codes/article_lc/LEGIARTI000048470630"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article R. 2231-1 du code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 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g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n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ral des collectivit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é</w:t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s territoriales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 w:hint="default"/>
          <w:rtl w:val="0"/>
          <w:lang w:val="fr-FR"/>
        </w:rPr>
      </w:pPr>
      <w:r>
        <w:rPr>
          <w:rStyle w:val="Aucun"/>
          <w:rFonts w:ascii="Marianne" w:hAnsi="Marianne" w:hint="default"/>
          <w:rtl w:val="0"/>
          <w:lang w:val="fr-FR"/>
        </w:rPr>
        <w:t>«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1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La consommation des espaces naturels, agricoles et forestiers, exprim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 en nombre d'hectares</w:t>
      </w:r>
      <w:r>
        <w:rPr>
          <w:rStyle w:val="Aucun"/>
          <w:rFonts w:ascii="Marianne" w:hAnsi="Marianne"/>
          <w:rtl w:val="0"/>
          <w:lang w:val="fr-FR"/>
        </w:rPr>
        <w:t xml:space="preserve">, le cas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ch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ant en la diff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renciant entre ces types d'espaces, et en pourcentage au regard de la superficie du territoire couvert. Sur le m</w:t>
      </w:r>
      <w:r>
        <w:rPr>
          <w:rStyle w:val="Aucun"/>
          <w:rFonts w:ascii="Marianne" w:hAnsi="Marianne" w:hint="default"/>
          <w:rtl w:val="0"/>
          <w:lang w:val="fr-FR"/>
        </w:rPr>
        <w:t>ê</w:t>
      </w:r>
      <w:r>
        <w:rPr>
          <w:rStyle w:val="Aucun"/>
          <w:rFonts w:ascii="Marianne" w:hAnsi="Marianne"/>
          <w:rtl w:val="0"/>
          <w:lang w:val="fr-FR"/>
        </w:rPr>
        <w:t>me territoire, le rapport peut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ciser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galement la transformation effective d'espaces urbanis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 ou construits en espaces naturels, agricoles et forestiers du fait d'une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sartificialisation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2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solde entre les surfaces 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et les surfaces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</w:t>
      </w:r>
      <w:r>
        <w:rPr>
          <w:rStyle w:val="Aucun"/>
          <w:rFonts w:ascii="Marianne" w:hAnsi="Marianne"/>
          <w:rtl w:val="0"/>
          <w:lang w:val="fr-FR"/>
        </w:rPr>
        <w:t>, telles que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finies dans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3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Les surfaces dont les sols ont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rendus imperm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ables</w:t>
      </w:r>
      <w:r>
        <w:rPr>
          <w:rStyle w:val="Aucun"/>
          <w:rFonts w:ascii="Marianne" w:hAnsi="Marianne"/>
          <w:rtl w:val="0"/>
          <w:lang w:val="fr-FR"/>
        </w:rPr>
        <w:t>, au sens des 1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et 2</w:t>
      </w:r>
      <w:r>
        <w:rPr>
          <w:rStyle w:val="Aucun"/>
          <w:rFonts w:ascii="Marianne" w:hAnsi="Marianne" w:hint="default"/>
          <w:rtl w:val="0"/>
          <w:lang w:val="fr-FR"/>
        </w:rPr>
        <w:t xml:space="preserve">° </w:t>
      </w:r>
      <w:r>
        <w:rPr>
          <w:rStyle w:val="Aucun"/>
          <w:rFonts w:ascii="Marianne" w:hAnsi="Marianne"/>
          <w:rtl w:val="0"/>
          <w:lang w:val="fr-FR"/>
        </w:rPr>
        <w:t>de la nomenclature annex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l'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 xml:space="preserve"> ;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4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°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L'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valuation du respect des objectifs de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 dans les documents de planification et d'urbanisme</w:t>
      </w:r>
      <w:r>
        <w:rPr>
          <w:rStyle w:val="Aucun"/>
          <w:rFonts w:ascii="Marianne" w:hAnsi="Marianne"/>
          <w:rtl w:val="0"/>
          <w:lang w:val="fr-FR"/>
        </w:rPr>
        <w:t xml:space="preserve">. Les documents de planification sont ceux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num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s au </w:t>
      </w:r>
      <w:r>
        <w:rPr>
          <w:rStyle w:val="Hyperlink.1"/>
          <w:rFonts w:ascii="Marianne" w:cs="Marianne" w:hAnsi="Marianne" w:eastAsia="Marianne"/>
        </w:rPr>
        <w:fldChar w:fldCharType="begin" w:fldLock="0"/>
      </w:r>
      <w:r>
        <w:rPr>
          <w:rStyle w:val="Hyperlink.1"/>
          <w:rFonts w:ascii="Marianne" w:cs="Marianne" w:hAnsi="Marianne" w:eastAsia="Marianne"/>
        </w:rPr>
        <w:instrText xml:space="preserve"> HYPERLINK "https://www.legifrance.gouv.fr/affichCodeArticle.do?cidTexte=LEGITEXT000006074075&amp;idArticle=LEGIARTI000045729062&amp;dateTexte=&amp;categorieLien=cid"</w:instrText>
      </w:r>
      <w:r>
        <w:rPr>
          <w:rStyle w:val="Hyperlink.1"/>
          <w:rFonts w:ascii="Marianne" w:cs="Marianne" w:hAnsi="Marianne" w:eastAsia="Marianne"/>
        </w:rPr>
        <w:fldChar w:fldCharType="separate" w:fldLock="0"/>
      </w:r>
      <w:r>
        <w:rPr>
          <w:rStyle w:val="Hyperlink.1"/>
          <w:rFonts w:ascii="Marianne" w:hAnsi="Marianne"/>
          <w:rtl w:val="0"/>
          <w:lang w:val="fr-FR"/>
        </w:rPr>
        <w:t>III de l'article R. 101-1 du code de l'urbanisme</w:t>
      </w:r>
      <w:r>
        <w:rPr>
          <w:rFonts w:ascii="Marianne" w:cs="Marianne" w:hAnsi="Marianne" w:eastAsia="Marianne"/>
        </w:rPr>
        <w:fldChar w:fldCharType="end" w:fldLock="0"/>
      </w:r>
      <w:r>
        <w:rPr>
          <w:rStyle w:val="Aucun"/>
          <w:rFonts w:ascii="Marianne" w:hAnsi="Marianne"/>
          <w:rtl w:val="0"/>
          <w:lang w:val="fr-FR"/>
        </w:rPr>
        <w:t>.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</w:p>
    <w:p>
      <w:pPr>
        <w:pStyle w:val="List Bullet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Le rapport (</w:t>
      </w:r>
      <w:r>
        <w:rPr>
          <w:rStyle w:val="Aucun"/>
          <w:rFonts w:ascii="Marianne" w:hAnsi="Marianne" w:hint="default"/>
          <w:rtl w:val="0"/>
          <w:lang w:val="fr-FR"/>
        </w:rPr>
        <w:t>…</w:t>
      </w:r>
      <w:r>
        <w:rPr>
          <w:rStyle w:val="Aucun"/>
          <w:rFonts w:ascii="Marianne" w:hAnsi="Marianne"/>
          <w:rtl w:val="0"/>
          <w:lang w:val="fr-FR"/>
        </w:rPr>
        <w:t xml:space="preserve">)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explique les raisons des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volutions observ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sur tout ou partie du territoire qu'il couvre, notamment l'impact des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cisions prises en mati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è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 d'am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nagement et d'urbanisme ou des actions de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sartificialisation 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alis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es.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 w:hint="default"/>
          <w:rtl w:val="0"/>
          <w:lang w:val="fr-FR"/>
        </w:rPr>
        <w:t>»</w:t>
      </w: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48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6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4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5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2" style="visibility:visible;width:18.0pt;height:18.0pt;" coordorigin="0,-1" coordsize="228600,228608">
                      <v:oval id="_x0000_s1033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4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Avant 2031, il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est pas obligatoire de renseigner les indicateurs 2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°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, 3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et 4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°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tant que les documents d'urbanisme n'ont pas int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cet objectif.</w:t>
            </w:r>
          </w:p>
        </w:tc>
      </w:tr>
    </w:tbl>
    <w:p>
      <w:pPr>
        <w:pStyle w:val="List Bullet"/>
        <w:widowControl w:val="0"/>
        <w:spacing w:line="240" w:lineRule="auto"/>
        <w:ind w:left="216" w:hanging="216"/>
        <w:rPr>
          <w:rStyle w:val="Aucun"/>
          <w:rFonts w:ascii="Marianne" w:cs="Marianne" w:hAnsi="Marianne" w:eastAsia="Marianne"/>
        </w:rPr>
      </w:pPr>
    </w:p>
    <w:p>
      <w:pPr>
        <w:pStyle w:val="List Bullet"/>
        <w:widowControl w:val="0"/>
        <w:spacing w:line="240" w:lineRule="auto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A noter que c'est le rapport qui est triennal, et non la p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riode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couvrir par le rapport 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 xml:space="preserve">Il faut que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 rapport soit produit a minima tous les 3 ans</w:t>
      </w:r>
      <w:r>
        <w:rPr>
          <w:rStyle w:val="Aucun"/>
          <w:rFonts w:ascii="Marianne" w:hAnsi="Marianne"/>
          <w:rtl w:val="0"/>
          <w:lang w:val="fr-FR"/>
        </w:rPr>
        <w:t>. Il est donc possible pour une collectivit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qui le souhaite, de produire un rapport, par exemple tous les ans ou tous les 2 ans.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rtl w:val="0"/>
          <w:lang w:val="fr-FR"/>
        </w:rPr>
        <w:t>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riode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couvrir n'est pas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dans les textes.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tant donn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que l</w:t>
      </w:r>
      <w:r>
        <w:rPr>
          <w:rStyle w:val="Aucun"/>
          <w:rFonts w:ascii="Marianne" w:hAnsi="Marianne" w:hint="default"/>
          <w:rtl w:val="0"/>
          <w:lang w:val="fr-FR"/>
        </w:rPr>
        <w:t>’É</w:t>
      </w:r>
      <w:r>
        <w:rPr>
          <w:rStyle w:val="Aucun"/>
          <w:rFonts w:ascii="Marianne" w:hAnsi="Marianne"/>
          <w:rtl w:val="0"/>
          <w:lang w:val="fr-FR"/>
        </w:rPr>
        <w:t xml:space="preserve">tat met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disposition les donn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es des fichiers fonciers depuis le 1er janvier 2011 (=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but de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de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f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rence de la loi CR), il est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recommand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de pr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senter la chronique des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du 1er janvier 2011 et jusqu'au dernier mill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sime disponible</w:t>
      </w:r>
      <w:r>
        <w:rPr>
          <w:rStyle w:val="Aucun"/>
          <w:rFonts w:ascii="Marianne" w:hAnsi="Marianne"/>
          <w:rtl w:val="0"/>
          <w:lang w:val="fr-FR"/>
        </w:rPr>
        <w:t>, pour appr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cier la trajectoire du territoire concern</w:t>
      </w:r>
      <w:r>
        <w:rPr>
          <w:rStyle w:val="Aucun"/>
          <w:rFonts w:ascii="Marianne" w:hAnsi="Marianne" w:hint="default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avec le recul n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cessaire (les variations annuelles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tant toujours </w:t>
      </w:r>
      <w:r>
        <w:rPr>
          <w:rStyle w:val="Aucun"/>
          <w:rFonts w:ascii="Marianne" w:hAnsi="Marianne" w:hint="default"/>
          <w:rtl w:val="0"/>
          <w:lang w:val="fr-FR"/>
        </w:rPr>
        <w:t xml:space="preserve">à </w:t>
      </w:r>
      <w:r>
        <w:rPr>
          <w:rStyle w:val="Aucun"/>
          <w:rFonts w:ascii="Marianne" w:hAnsi="Marianne"/>
          <w:rtl w:val="0"/>
          <w:lang w:val="fr-FR"/>
        </w:rPr>
        <w:t>prendre avec prudence).</w:t>
      </w: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>Quelles sont les sources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informations disponibles pour ce rapport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Corps A"/>
        <w:spacing w:before="320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produites par l'</w: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instrText xml:space="preserve"> HYPERLINK "https://artificialisation.developpement-durable.gouv.fr/"</w:instrText>
      </w:r>
      <w:r>
        <w:rPr>
          <w:rStyle w:val="Hyperlink.0"/>
          <w:outline w:val="0"/>
          <w:color w:val="0b94df"/>
          <w:u w:val="single" w:color="0b94df"/>
          <w:lang w:val="fr-FR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b94df"/>
          <w:u w:val="single" w:color="0b94df"/>
          <w:rtl w:val="0"/>
          <w:lang w:val="fr-FR"/>
          <w14:textFill>
            <w14:solidFill>
              <w14:srgbClr w14:val="0B94DF"/>
            </w14:solidFill>
          </w14:textFill>
        </w:rPr>
        <w:t>observatoire national de l'artificialisation</w:t>
      </w:r>
      <w:r>
        <w:rPr>
          <w:lang w:val="fr-FR"/>
        </w:rPr>
        <w:fldChar w:fldCharType="end" w:fldLock="0"/>
      </w:r>
      <w:r>
        <w:rPr>
          <w:rStyle w:val="Aucun"/>
          <w:rtl w:val="0"/>
          <w:lang w:val="fr-FR"/>
        </w:rPr>
        <w:t xml:space="preserve"> sont disponibles gratuitement.</w:t>
      </w:r>
    </w:p>
    <w:p>
      <w:pPr>
        <w:pStyle w:val="Corps A"/>
        <w:spacing w:before="32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es-ES_tradnl"/>
        </w:rPr>
        <w:t>Mon</w:t>
      </w:r>
      <w:r>
        <w:rPr>
          <w:rStyle w:val="Aucun"/>
          <w:b w:val="1"/>
          <w:b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rtl w:val="0"/>
          <w:lang w:val="es-ES_tradnl"/>
        </w:rPr>
        <w:t>Diagnostic</w:t>
      </w:r>
      <w:r>
        <w:rPr>
          <w:rStyle w:val="Aucun"/>
          <w:b w:val="1"/>
          <w:bCs w:val="1"/>
          <w:rtl w:val="0"/>
          <w:lang w:val="fr-FR"/>
        </w:rPr>
        <w:t xml:space="preserve"> Artificialisation vous propose une premi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  <w:lang w:val="fr-FR"/>
        </w:rPr>
        <w:t>re trame de ce rapport local, en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>appuyant sur les donn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es-ES_tradnl"/>
        </w:rPr>
        <w:t>es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observatoire national disponibles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date, soit</w:t>
      </w:r>
      <w:r>
        <w:rPr>
          <w:rStyle w:val="Aucun"/>
          <w:b w:val="1"/>
          <w:bCs w:val="1"/>
          <w:rtl w:val="0"/>
          <w:lang w:val="es-ES_tradnl"/>
        </w:rPr>
        <w:t> </w:t>
      </w:r>
      <w:r>
        <w:rPr>
          <w:rStyle w:val="Aucun"/>
          <w:b w:val="1"/>
          <w:bCs w:val="1"/>
          <w:rtl w:val="0"/>
          <w:lang w:val="es-ES_tradnl"/>
        </w:rPr>
        <w:t>:</w:t>
      </w:r>
    </w:p>
    <w:p>
      <w:pPr>
        <w:pStyle w:val="List Bullet"/>
        <w:numPr>
          <w:ilvl w:val="0"/>
          <w:numId w:val="2"/>
        </w:numPr>
        <w:bidi w:val="0"/>
        <w:ind w:right="0"/>
        <w:jc w:val="left"/>
        <w:rPr>
          <w:rFonts w:ascii="Marianne" w:hAnsi="Marianne"/>
          <w:b w:val="1"/>
          <w:bCs w:val="1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la consommation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espaces NAF (Naturels, Agricoles et Forestiers),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es issues des fichiers fonciers produits annuellement par le Cerema. Ce rapport a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produit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partir des fichiers fonciers fournis par le Cerema au 1er janvier 2023 ;</w:t>
      </w:r>
    </w:p>
    <w:p>
      <w:pPr>
        <w:pStyle w:val="List Bullet"/>
        <w:numPr>
          <w:ilvl w:val="0"/>
          <w:numId w:val="3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concernant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artificialisation nette des sols, les donn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es issues de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occupation des sols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à 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 xml:space="preserve">grande 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chelle (OCS GE) en cours de production par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IGN, qui seront disponibles sur l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ensemble du territoire national d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’</w:t>
      </w:r>
      <w:r>
        <w:rPr>
          <w:rStyle w:val="Aucun"/>
          <w:rFonts w:ascii="Marianne" w:hAnsi="Marianne"/>
          <w:b w:val="1"/>
          <w:bCs w:val="1"/>
          <w:rtl w:val="0"/>
          <w:lang w:val="fr-FR"/>
        </w:rPr>
        <w:t>ici fin 2025.</w:t>
      </w:r>
    </w:p>
    <w:p>
      <w:pPr>
        <w:pStyle w:val="Étiquette Foncée"/>
      </w:pPr>
    </w:p>
    <w:p>
      <w:pPr>
        <w:pStyle w:val="Étiquette Foncée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>Lorsque vous rencontrez une zone de texte de cette couleur, cela indique que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une partie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it-IT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 par votre territoire.</w:t>
      </w:r>
    </w:p>
    <w:p>
      <w:pPr>
        <w:pStyle w:val="Corps B"/>
        <w:rPr>
          <w:rStyle w:val="Aucun"/>
          <w:rFonts w:ascii="Marianne" w:cs="Marianne" w:hAnsi="Marianne" w:eastAsia="Marianne"/>
          <w:lang w:val="es-ES_tradnl"/>
        </w:rPr>
      </w:pPr>
    </w:p>
    <w:tbl>
      <w:tblPr>
        <w:tblW w:w="990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3225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8"/>
                      <wp:effectExtent l="0" t="0" r="0" b="0"/>
                      <wp:docPr id="1073741839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8"/>
                                <a:chOff x="0" y="0"/>
                                <a:chExt cx="228600" cy="228607"/>
                              </a:xfrm>
                            </wpg:grpSpPr>
                            <wps:wsp>
                              <wps:cNvPr id="1073741837" name="Ellipse 9"/>
                              <wps:cNvSpPr/>
                              <wps:spPr>
                                <a:xfrm>
                                  <a:off x="0" y="-1"/>
                                  <a:ext cx="228600" cy="2286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8" name="Forme libre 13"/>
                              <wps:cNvSpPr/>
                              <wps:spPr>
                                <a:xfrm>
                                  <a:off x="98638" y="50802"/>
                                  <a:ext cx="31328" cy="12700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5" style="visibility:visible;width:18.0pt;height:18.0pt;" coordorigin="0,-1" coordsize="228600,228608">
                      <v:oval id="_x0000_s1036" style="position:absolute;left:0;top:-1;width:228600;height:228608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7" style="position:absolute;left:98638;top:50802;width:31327;height:127003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n'est, bien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videmment, pas demand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d'inventer des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non encore disponibles : pour le premier rapport triennal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produire d'ici ao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 2024 il sera possible d'utiliser les fichiers fonciers au 1er janvier 2023, couvrant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l'ann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2022. La consommation d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NAF (Naturels, Agricoles et Forestiers) au titre de l</w:t>
            </w:r>
            <w:r>
              <w:rPr>
                <w:rStyle w:val="Aucun"/>
                <w:rFonts w:ascii="Arial Unicode MS" w:hAnsi="Arial Unicode MS" w:hint="default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2023 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tant pas disponible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 jour.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Style w:val="Aucun"/>
                <w:shd w:val="nil" w:color="auto" w:fill="auto"/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Il est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galement possible d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utiliser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locales, notamment celles des observatoires de l</w:t>
            </w:r>
            <w:r>
              <w:rPr>
                <w:rStyle w:val="Aucun"/>
                <w:i w:val="0"/>
                <w:iCs w:val="0"/>
                <w:shd w:val="nil" w:color="auto" w:fill="auto"/>
                <w:rtl w:val="0"/>
                <w:lang w:val="es-ES_tradnl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habitat et du foncier (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"https://www.legifrance.gouv.fr/affichCodeArticle.do?cidTexte=LEGITEXT000006074096&amp;idArticle=LEGIARTI000006824763&amp;dateTexte=&amp;categorieLien=cid"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302-1 du code de la construction et de l'habitation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s'appuyer sur les analyses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alis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dans le cadre de l'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valuation du sch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es-ES_tradnl"/>
              </w:rPr>
              <w:t>ma de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rence territoriale (ScoT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– 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"https://www.legifrance.gouv.fr/affichCodeArticle.do?cidTexte=LEGITEXT000006074075&amp;idArticle=LEGIARTI000031211077&amp;dateTexte=&amp;categorieLien=cid"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143-28 du code de l'urbanisme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 et de celle du plan local d'urbanisme (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instrText xml:space="preserve"> HYPERLINK "https://www.legifrance.gouv.fr/codes/article_lc/LEGIARTI000043977819"</w:instrTex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lang w:val="fr-FR"/>
                <w14:textFill>
                  <w14:solidFill>
                    <w14:srgbClr w14:val="0B94D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art. L. 153-27 du code de l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’</w:t>
            </w:r>
            <w:r>
              <w:rPr>
                <w:rStyle w:val="Hyperlink.2"/>
                <w:outline w:val="0"/>
                <w:color w:val="0b94df"/>
                <w:u w:val="single" w:color="0b94df"/>
                <w:shd w:val="nil" w:color="auto" w:fill="auto"/>
                <w:rtl w:val="0"/>
                <w:lang w:val="fr-FR"/>
                <w14:textFill>
                  <w14:solidFill>
                    <w14:srgbClr w14:val="0B94DF"/>
                  </w14:solidFill>
                </w14:textFill>
              </w:rPr>
              <w:t>urbanisme</w:t>
            </w:r>
            <w:r>
              <w:rPr/>
              <w:fldChar w:fldCharType="end" w:fldLock="0"/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).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locales doivent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tre conformes aux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finitions l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gales de la consommation d'espaces (et le cas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ant de l'artificialisation nette des sols), homog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nes et coh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rentes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rence de la loi (1er janvier 2011-1er janvier 2021) et sur 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en cours (1er janvier 2021-1er janvier 2031).</w:t>
            </w:r>
          </w:p>
        </w:tc>
      </w:tr>
    </w:tbl>
    <w:p>
      <w:pPr>
        <w:pStyle w:val="Corps B"/>
        <w:widowControl w:val="0"/>
        <w:ind w:left="216" w:hanging="216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B"/>
        <w:widowControl w:val="0"/>
        <w:ind w:left="108" w:hanging="108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Tabl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outline w:val="0"/>
          <w:color w:val="000000"/>
          <w:u w:color="000000"/>
          <w:lang w:val="es-ES_tradnl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line">
                  <wp:posOffset>-571496</wp:posOffset>
                </wp:positionV>
                <wp:extent cx="219075" cy="10876916"/>
                <wp:effectExtent l="0" t="0" r="0" b="0"/>
                <wp:wrapNone/>
                <wp:docPr id="1073741840" name="officeArt object" descr="Rectangle 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8769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100.8pt;margin-top:-45.0pt;width:17.2pt;height:856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6F55D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Aucun"/>
          <w:rtl w:val="0"/>
          <w:lang w:val="fr-FR"/>
        </w:rPr>
        <w:t>1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La consommation des espaces naturels, agricoles et forestiers</w:t>
      </w:r>
    </w:p>
    <w:p>
      <w:pPr>
        <w:pStyle w:val="Corps A"/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obligatoires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</w:pPr>
      <w:r>
        <w:rPr>
          <w:rStyle w:val="Aucun"/>
          <w:rtl w:val="0"/>
          <w:lang w:val="en-US"/>
        </w:rPr>
        <w:t>{% if has_neighbors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{{ carte_consommation }}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value in determinants_data_table.headers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row in determinants_data_table.rows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row.data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</w:pPr>
    </w:p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</w:p>
    <w:p>
      <w:pPr>
        <w:pStyle w:val="Étiquette Foncée"/>
      </w:pPr>
      <w:r>
        <w:rPr>
          <w:rStyle w:val="Aucun"/>
          <w:rtl w:val="0"/>
          <w:lang w:val="fr-FR"/>
        </w:rPr>
        <w:t>Il est obligatoire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expliquer ici les raisons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observ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espaces, notamment l'impact des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cisions prises en mati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d'am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nagement et d'urbanisme ou des actions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Attention,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issues des fichiers fonciers concernent uniquement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et ne prennent pas en compte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par  </w:t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begin" w:fldLock="0"/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instrText xml:space="preserve"> HYPERLINK "https://www.legifrance.gouv.fr/loda/article_lc/LEGIARTI000047870384"</w:instrText>
      </w:r>
      <w:r>
        <w:rPr>
          <w:rStyle w:val="Hyperlink.3"/>
          <w:outline w:val="0"/>
          <w:color w:val="0b94df"/>
          <w:u w:val="single" w:color="0b94df"/>
          <w:lang w:val="es-ES_tradnl"/>
          <w14:textFill>
            <w14:solidFill>
              <w14:srgbClr w14:val="0B94DF"/>
            </w14:solidFill>
          </w14:textFill>
        </w:rPr>
        <w:fldChar w:fldCharType="separate" w:fldLock="0"/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l'article 194 de la loi Climat et r</w:t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é</w:t>
      </w:r>
      <w:r>
        <w:rPr>
          <w:rStyle w:val="Hyperlink.3"/>
          <w:outline w:val="0"/>
          <w:color w:val="0b94df"/>
          <w:u w:val="single" w:color="0b94df"/>
          <w:rtl w:val="0"/>
          <w:lang w:val="es-ES_tradnl"/>
          <w14:textFill>
            <w14:solidFill>
              <w14:srgbClr w14:val="0B94DF"/>
            </w14:solidFill>
          </w14:textFill>
        </w:rPr>
        <w:t>silience</w:t>
      </w:r>
      <w:r>
        <w:rPr/>
        <w:fldChar w:fldCharType="end" w:fldLock="0"/>
      </w:r>
      <w:r>
        <w:rPr>
          <w:rStyle w:val="Aucun"/>
          <w:rtl w:val="0"/>
          <w:lang w:val="fr-FR"/>
        </w:rPr>
        <w:t>, modifi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la loi du 20 juillet 2023, comme "la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sartificialisation")."</w:t>
      </w:r>
    </w:p>
    <w:p>
      <w:pPr>
        <w:pStyle w:val="Étiquette Foncée"/>
      </w:pP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Indicateurs optionnels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renciation de la consommation par types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ici, parmi les espaces NAF (Naturels, Agricoles et Forestiers) consomm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rence, la proportion des espaces agricoles, des espaces naturels, et des espaces forestiers. 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(transformation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espace urbanis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un espace naturel, agricole, ou forestier)</w:t>
      </w:r>
    </w:p>
    <w:p>
      <w:pPr>
        <w:pStyle w:val="Étiquette Foncée"/>
      </w:pPr>
      <w:r>
        <w:rPr>
          <w:rStyle w:val="Aucun"/>
          <w:rtl w:val="0"/>
          <w:lang w:val="nl-NL"/>
        </w:rPr>
        <w:t>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optionnelle, il est possible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indiquer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rence. La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sartificialisation</w:t>
      </w:r>
      <w:r>
        <w:rPr>
          <w:rStyle w:val="Aucun"/>
          <w:rtl w:val="0"/>
          <w:lang w:val="fr-FR"/>
        </w:rPr>
        <w:t xml:space="preserve">  </w:t>
      </w:r>
      <w:r>
        <w:rPr>
          <w:rStyle w:val="Aucun"/>
          <w:rtl w:val="0"/>
          <w:lang w:val="fr-FR"/>
        </w:rPr>
        <w:t xml:space="preserve">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du bilan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Forestiers), au choix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 Toutefois,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 bilan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 avec les bilans de consommation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thode devra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pour la planification de la consommation 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des documents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urbanisme. Les bilans futurs devront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galement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faits en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avec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employ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ensemble, en particulier en ce qui concerne la prise en compte des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sartificialisation.</w:t>
      </w:r>
      <w:r>
        <w:rPr>
          <w:rStyle w:val="Aucun"/>
          <w:rtl w:val="0"/>
          <w:lang w:val="fr-FR"/>
        </w:rPr>
        <w:t>  </w:t>
      </w:r>
    </w:p>
    <w:p>
      <w:pPr>
        <w:pStyle w:val="Étiquette Foncée"/>
      </w:pP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Cet indicateur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disponible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observatoire national.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locales peuvent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 A"/>
        <w:rPr>
          <w:rStyle w:val="Aucun"/>
          <w:shd w:val="clear" w:color="auto" w:fill="5844ac"/>
        </w:rPr>
      </w:pPr>
    </w:p>
    <w:p>
      <w:pPr>
        <w:pStyle w:val="heading 2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 xml:space="preserve"> Autres indicateurs optionnels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{% if not is_commune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en-US"/>
        </w:rPr>
        <w:t>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4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5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216" w:hanging="216"/>
      </w:pPr>
    </w:p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2"/>
      </w:pPr>
      <w:r>
        <w:rPr>
          <w:rStyle w:val="Aucun"/>
          <w:rtl w:val="0"/>
          <w:lang w:val="fr-FR"/>
        </w:rPr>
        <w:t>Comparaison de la consommation annuelle absolue</w:t>
      </w:r>
    </w:p>
    <w:p>
      <w:pPr>
        <w:pStyle w:val="Corps A"/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faut, Mon Diagnostic Artificialisation vous permet de comparer votre territoire avec les territoires similaires de m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fr-FR"/>
        </w:rPr>
        <w:t xml:space="preserve">me niveau administratif,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l'exception des territoires insulaires (notamment les DROM-COM) pour lesquels une comparaison avec d'autres territoires similaires est propos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e.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Comparaison de la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</w:pPr>
      <w:r>
        <w:rPr>
          <w:rStyle w:val="Aucun"/>
          <w:rtl w:val="0"/>
          <w:lang w:val="fr-FR"/>
        </w:rPr>
        <w:t>Cet indicateur permet de mesurer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it-IT"/>
        </w:rPr>
        <w:t>intensit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 la consommation par rapport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fr-FR"/>
        </w:rPr>
        <w:t>la superficie totale du territoire, et de  comparer avec les territoires similaires.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comparison_relative_chart }}</w:t>
      </w:r>
    </w:p>
    <w:p>
      <w:pPr>
        <w:pStyle w:val="Corps A"/>
        <w:rPr>
          <w:rStyle w:val="Aucun"/>
          <w:lang w:val="en-US"/>
        </w:rPr>
      </w:pPr>
    </w:p>
    <w:tbl>
      <w:tblPr>
        <w:tblW w:w="100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6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8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2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lang w:val="en-U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lang w:val="en-US"/>
        </w:rPr>
      </w:pPr>
    </w:p>
    <w:p>
      <w:pPr>
        <w:pStyle w:val="Table"/>
      </w:pP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aux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mographiques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</w:p>
    <w:p>
      <w:pPr>
        <w:pStyle w:val="heading 2"/>
      </w:pPr>
      <w:r>
        <w:rPr>
          <w:rStyle w:val="Aucun"/>
          <w:rtl w:val="0"/>
          <w:lang w:val="fr-FR"/>
        </w:rPr>
        <w:t xml:space="preserve">Consommation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volution des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nages</w:t>
      </w:r>
    </w:p>
    <w:p>
      <w:pPr>
        <w:pStyle w:val="Corps A"/>
        <w:rPr>
          <w:rStyle w:val="Aucun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Bient</w:t>
      </w:r>
      <w:r>
        <w:rPr>
          <w:rStyle w:val="Aucun"/>
          <w:outline w:val="0"/>
          <w:color w:val="a7a7a7"/>
          <w:u w:color="a7a7a7"/>
          <w:rtl w:val="0"/>
          <w:lang w:val="es-ES_tradnl"/>
          <w14:textFill>
            <w14:solidFill>
              <w14:srgbClr w14:val="A7A7A7"/>
            </w14:solidFill>
          </w14:textFill>
        </w:rPr>
        <w:t>ô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 disponible France M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tropolitaine, Corse et DROM (sauf Mayotte).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2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Le solde entre les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les surfaces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 A"/>
      </w:pPr>
      <w:r>
        <w:rPr>
          <w:rStyle w:val="Aucun"/>
          <w:rtl w:val="0"/>
          <w:lang w:val="en-US"/>
        </w:rPr>
        <w:t xml:space="preserve">{% if </w:t>
      </w:r>
      <w:r>
        <w:rPr>
          <w:rStyle w:val="Aucun"/>
          <w:rtl w:val="0"/>
          <w:lang w:val="fr-FR"/>
        </w:rPr>
        <w:t>has_ocsge %}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du bilan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artificialisation nette des sols tel que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vu par la loi, </w:t>
      </w:r>
      <w:r>
        <w:rPr>
          <w:rStyle w:val="Aucun"/>
          <w:b w:val="1"/>
          <w:bCs w:val="1"/>
          <w:rtl w:val="0"/>
          <w:lang w:val="es-ES_tradnl"/>
        </w:rPr>
        <w:t xml:space="preserve">à </w:t>
      </w:r>
      <w:r>
        <w:rPr>
          <w:rStyle w:val="Aucun"/>
          <w:b w:val="1"/>
          <w:bCs w:val="1"/>
          <w:rtl w:val="0"/>
          <w:lang w:val="pt-PT"/>
        </w:rPr>
        <w:t>partir de 2031</w:t>
      </w:r>
      <w:r>
        <w:rPr>
          <w:rStyle w:val="Aucun"/>
          <w:rtl w:val="0"/>
          <w:lang w:val="es-ES_tradnl"/>
        </w:rPr>
        <w:t xml:space="preserve">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urbanisme.</w:t>
      </w:r>
    </w:p>
    <w:p>
      <w:pPr>
        <w:pStyle w:val="Corps A"/>
      </w:pPr>
      <w:r>
        <w:rPr>
          <w:rStyle w:val="Aucun"/>
          <w:rtl w:val="0"/>
          <w:lang w:val="fr-FR"/>
        </w:rPr>
        <w:t>Ce bilan est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la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entre les surfaces nouvellement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entre deux dates, et les surfaces nouvellement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la m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me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riode.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annexe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article R. 101-1 du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urbanisme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 la nomenclature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non-artificialis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</w:rPr>
        <w:drawing xmlns:a="http://schemas.openxmlformats.org/drawingml/2006/main">
          <wp:inline distT="0" distB="0" distL="0" distR="0">
            <wp:extent cx="6368016" cy="4453743"/>
            <wp:effectExtent l="0" t="0" r="0" b="0"/>
            <wp:docPr id="1073741841" name="officeArt object" descr="cnn1tmsStCuisLpYoY_wkS-J_p8C4w4ykj2DSD5fP4KomaDNAe0OR3_25OCb4U1kIocw-Q05d4a1Ll3oalDBHGy9jRnR6X3IBFrEadP4n7vMPLri6vea-1wDl7OfpjLbsAcOQI2F2Lq5oTOkhFy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nn1tmsStCuisLpYoY_wkS-J_p8C4w4ykj2DSD5fP4KomaDNAe0OR3_25OCb4U1kIocw-Q05d4a1Ll3oalDBHGy9jRnR6X3IBFrEadP4n7vMPLri6vea-1wDl7OfpjLbsAcOQI2F2Lq5oTOkhFyV.png" descr="cnn1tmsStCuisLpYoY_wkS-J_p8C4w4ykj2DSD5fP4KomaDNAe0OR3_25OCb4U1kIocw-Q05d4a1Ll3oalDBHGy9jRnR6X3IBFrEadP4n7vMPLri6vea-1wDl7OfpjLbsAcOQI2F2Lq5oTOkhFyV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016" cy="445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couverture_data_table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artif_couverture_data_table.rows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{{ artif_usage_chart }}</w:t>
      </w:r>
    </w:p>
    <w:tbl>
      <w:tblPr>
        <w:tblW w:w="1001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78"/>
        <w:gridCol w:w="3266"/>
        <w:gridCol w:w="3267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</w:t>
            </w:r>
            <w:r>
              <w:rPr>
                <w:sz w:val="16"/>
                <w:szCs w:val="16"/>
                <w:rtl w:val="0"/>
                <w:lang w:val="fr-FR"/>
              </w:rPr>
              <w:t>usage_data_table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artif_usage_data_table.rows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78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66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1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1"/>
      </w:pPr>
      <w:r>
        <w:rPr>
          <w:rtl w:val="0"/>
        </w:rPr>
        <w:t>2</w:t>
      </w:r>
      <w:r>
        <w:rPr>
          <w:rStyle w:val="Aucun"/>
          <w:rtl w:val="0"/>
          <w:lang w:val="fr-FR"/>
        </w:rPr>
        <w:t>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</w:pPr>
      <w:r>
        <w:rPr>
          <w:rtl w:val="0"/>
          <w:lang w:val="fr-FR"/>
        </w:rPr>
        <w:t>{{ artif_map }}</w:t>
      </w:r>
    </w:p>
    <w:tbl>
      <w:tblPr>
        <w:tblW w:w="10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485"/>
        <w:gridCol w:w="3271"/>
        <w:gridCol w:w="3273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{%tc for value in </w:t>
            </w:r>
            <w:r>
              <w:rPr>
                <w:sz w:val="16"/>
                <w:szCs w:val="16"/>
                <w:rtl w:val="0"/>
                <w:lang w:val="en-US"/>
              </w:rPr>
              <w:t>artif_map_data_table</w:t>
            </w:r>
            <w:r>
              <w:rPr>
                <w:rStyle w:val="Aucun"/>
                <w:outline w:val="0"/>
                <w:color w:val="cccccc"/>
                <w:sz w:val="16"/>
                <w:szCs w:val="16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6"/>
                <w:szCs w:val="1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headers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29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artif_map_data_table.rows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348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3271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3272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29"/>
            <w:gridSpan w:val="3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</w:pP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rtl w:val="0"/>
          <w:lang w:val="es-ES_tradnl"/>
        </w:rPr>
        <w:t>{% endif %}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</w:t>
      </w: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a7a7a7"/>
          <w:u w:color="a7a7a7"/>
          <w14:textFill>
            <w14:solidFill>
              <w14:srgbClr w14:val="A7A7A7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Evaluation du respect des objectifs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la consommation d'espaces naturels, agricoles et forestiers et de lutte contre l'artificialisation des sols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et d'urbanisme</w:t>
      </w:r>
    </w:p>
    <w:p>
      <w:pPr>
        <w:pStyle w:val="Corps A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agit ici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indiquer,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pt-PT"/>
        </w:rPr>
        <w:t xml:space="preserve">partir de 2031,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un document de planification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 xml:space="preserve">urbanisme, les surfaces dont les sols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rendus imperm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ables entre deux dates.</w:t>
      </w:r>
    </w:p>
    <w:p>
      <w:pPr>
        <w:pStyle w:val="Étiquette Foncée"/>
      </w:pPr>
      <w:r>
        <w:rPr>
          <w:rStyle w:val="Aucun"/>
          <w:rtl w:val="0"/>
          <w:lang w:val="it-IT"/>
        </w:rPr>
        <w:t>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ici, au vu des objectifs en vigueur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les documents de planification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gionale (SRADDET pour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gions, SDRIF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Ile-de-France, PADDUC pour la Corse, SAR pour la Martinique, Guadeloupe, Guyane,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union et Mayotte), le cas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ant dans le SCoT et le PLU(i) applicable,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la trajectoire de la commune ou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intercommunalit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Étiquette Foncée"/>
      </w:pPr>
      <w:r>
        <w:rPr>
          <w:rStyle w:val="Aucun"/>
          <w:rFonts w:cs="Arial Unicode MS" w:eastAsia="Arial Unicode MS"/>
          <w:rtl w:val="0"/>
          <w:lang w:val="fr-FR"/>
        </w:rPr>
        <w:t>Avant 2031, seule la trajectoire de consommation d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 xml:space="preserve">espaces NAF (Naturels, Agricoles et Forestiers) est </w:t>
      </w:r>
      <w:r>
        <w:rPr>
          <w:rStyle w:val="Aucun"/>
          <w:rFonts w:cs="Arial Unicode MS" w:eastAsia="Arial Unicode MS" w:hint="default"/>
          <w:rtl w:val="0"/>
          <w:lang w:val="fr-FR"/>
        </w:rPr>
        <w:t>à é</w:t>
      </w:r>
      <w:r>
        <w:rPr>
          <w:rStyle w:val="Aucun"/>
          <w:rFonts w:cs="Arial Unicode MS" w:eastAsia="Arial Unicode MS"/>
          <w:rtl w:val="0"/>
          <w:lang w:val="fr-FR"/>
        </w:rPr>
        <w:t>valuer (et non l</w:t>
      </w:r>
      <w:r>
        <w:rPr>
          <w:rStyle w:val="Aucun"/>
          <w:rFonts w:cs="Arial Unicode MS" w:eastAsia="Arial Unicode MS" w:hint="default"/>
          <w:rtl w:val="0"/>
          <w:lang w:val="fr-FR"/>
        </w:rPr>
        <w:t>’</w:t>
      </w:r>
      <w:r>
        <w:rPr>
          <w:rStyle w:val="Aucun"/>
          <w:rFonts w:cs="Arial Unicode MS" w:eastAsia="Arial Unicode MS"/>
          <w:rtl w:val="0"/>
          <w:lang w:val="fr-FR"/>
        </w:rPr>
        <w:t>artificialisation nette des sols).</w:t>
      </w:r>
    </w:p>
    <w:p>
      <w:pPr>
        <w:pStyle w:val="Étiquette Foncée"/>
      </w:pPr>
    </w:p>
    <w:p>
      <w:pPr>
        <w:pStyle w:val="Corps A"/>
      </w:pP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34563" cy="520382"/>
                  <wp:effectExtent l="0" t="0" r="0" b="0"/>
                  <wp:docPr id="1073741842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63" cy="52038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43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rFonts w:ascii="Arial Unicode MS" w:cs="Arial Unicode MS" w:hAnsi="Arial Unicode MS" w:eastAsia="Arial Unicode MS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00631" cy="500404"/>
                  <wp:effectExtent l="0" t="0" r="0" b="0"/>
                  <wp:docPr id="1073741844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631" cy="50040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4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4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216" w:hanging="216"/>
        <w:rPr>
          <w:rStyle w:val="Aucun"/>
          <w:b w:val="1"/>
          <w:bCs w:val="1"/>
        </w:rPr>
      </w:pPr>
    </w:p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  <w:lang w:val="es-ES_tradnl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4"/>
              </w:rPr>
              <w:fldChar w:fldCharType="begin" w:fldLock="0"/>
            </w:r>
            <w:r>
              <w:rPr>
                <w:rStyle w:val="Hyperlink.4"/>
              </w:rPr>
              <w:instrText xml:space="preserve"> HYPERLINK "https://artificialisation.developpement-durable.gouv.fr/fascicules-zan"</w:instrText>
            </w:r>
            <w:r>
              <w:rPr>
                <w:rStyle w:val="Hyperlink.4"/>
              </w:rPr>
              <w:fldChar w:fldCharType="separate" w:fldLock="0"/>
            </w:r>
            <w:r>
              <w:rPr>
                <w:rStyle w:val="Hyperlink.4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59833" cy="1006720"/>
                  <wp:effectExtent l="0" t="0" r="0" b="0"/>
                  <wp:docPr id="107374184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833" cy="10067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216" w:hanging="216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-1222210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outline w:val="0"/>
      <w:color w:val="0b94df"/>
      <w:u w:val="single" w:color="0b94df"/>
      <w:lang w:val="fr-FR"/>
      <w14:textFill>
        <w14:solidFill>
          <w14:srgbClr w14:val="0B94D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character" w:styleId="Hyperlink.1">
    <w:name w:val="Hyperlink.1"/>
    <w:basedOn w:val="Aucun"/>
    <w:next w:val="Hyperlink.1"/>
    <w:rPr>
      <w:outline w:val="0"/>
      <w:color w:val="0b94df"/>
      <w:u w:val="single" w:color="0b94df"/>
      <w14:textFill>
        <w14:solidFill>
          <w14:srgbClr w14:val="0B94DF"/>
        </w14:solidFill>
      </w14:textFill>
    </w:rPr>
  </w:style>
  <w:style w:type="paragraph" w:styleId="Étiquette Foncée">
    <w:name w:val="Étiquette Foncée"/>
    <w:next w:val="Étiquette Foncé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arianne" w:cs="Marianne" w:hAnsi="Marianne" w:eastAsia="Mariann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clear" w:color="auto" w:fill="fae0b8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Aucun"/>
    <w:next w:val="Hyperlink.2"/>
    <w:rPr>
      <w:rFonts w:ascii="Marianne" w:cs="Marianne" w:hAnsi="Marianne" w:eastAsia="Marianne"/>
      <w:outline w:val="0"/>
      <w:color w:val="0b94df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Aucun"/>
    <w:next w:val="Hyperlink.3"/>
    <w:rPr>
      <w:outline w:val="0"/>
      <w:color w:val="0b94df"/>
      <w:u w:val="single" w:color="0b94df"/>
      <w:lang w:val="es-ES_tradnl"/>
      <w14:textFill>
        <w14:solidFill>
          <w14:srgbClr w14:val="0B94DF"/>
        </w14:solidFill>
      </w14:textFill>
    </w:rPr>
  </w:style>
  <w:style w:type="paragraph" w:styleId="Corps D">
    <w:name w:val="Corps D"/>
    <w:next w:val="Corps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character" w:styleId="Hyperlink.4">
    <w:name w:val="Hyperlink.4"/>
    <w:basedOn w:val="Aucun"/>
    <w:next w:val="Hyperlink.4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