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РОЗДІЛ 1. АНАЛІЗ ПРЕДМЕТНОЇ ОБЛАСТІ ТА ПОСТАНОВКА ЗАДАЧІ ДОСЛІДЖЕННЯ</w:t>
      </w:r>
    </w:p>
    <w:p>
      <w:r>
        <w:t>Маргер Богдан Євгенович · група 443А</w:t>
        <w:br/>
        <w:t>Науковий керівник: Дмитращук Кристина Миколаївна</w:t>
        <w:br/>
        <w:t>Технічне документування та презентація програмних рішень · ЛР №4</w:t>
      </w:r>
    </w:p>
    <w:p>
      <w:pPr>
        <w:pStyle w:val="Heading1"/>
      </w:pPr>
      <w:r>
        <w:t>1.1. Актуальність вибраної теми дослідження</w:t>
      </w:r>
    </w:p>
    <w:p>
      <w:r>
        <w:t>Інфраструктурний супровід готового цифрового продукту за моделлю freemium потребує узгодження його розповсюдження, ліцензування та аналітики. Наявна у замовника монолітна система забезпечувала активацію ключів, прив’язку облікових записів Telegram і Discord, видачу VIP-файлу та перегляд статистики продажів через ботів. Розширення цих можливостей вебсайтом, особистим кабінетом, керуванням пристроями й аналітикою використання потребує обґрунтування структури нової платформи. Інженерна проблема полягає у визначенні меж компонентів та забезпеченні узгоджених правил доступу під час взаємодії сервісів і зовнішніх інтеграцій.</w:t>
      </w:r>
    </w:p>
    <w:p>
      <w:r>
        <w:t>Актуальність роботи зумовлена потребою в micro-SaaS-платформі, яка відокремлює облік користувачів, ліцензування, телеметрію та видачу файлів, зберігаючи узгоджені правила доступу. Мікросервісна декомпозиція, окремі реляційні сховища та асинхронна взаємодія дають інструменти для такого розмежування, але потребують обґрунтування меж сервісів, контрактів і поведінки під час збоїв. Тому робота охоплює не лише реалізацію функцій, а й документування архітектури та інструментальну перевірку критичних сценаріїв. Готовий програмний помічник для гравців San Andreas Multiplayer (SA-MP) використовується як приклад інтегрованого цифрового продукту; розроблення самого помічника не входить до меж роботи.</w:t>
      </w:r>
    </w:p>
    <w:p>
      <w:pPr>
        <w:pStyle w:val="Heading2"/>
      </w:pPr>
      <w:r>
        <w:t>Об’єкт дослідження</w:t>
      </w:r>
    </w:p>
    <w:p>
      <w:r>
        <w:t>Процеси розповсюдження готового цифрового програмного продукту, керування правами доступу до його платних можливостей та оброблення даних про його використання і продажі.</w:t>
      </w:r>
    </w:p>
    <w:p>
      <w:pPr>
        <w:pStyle w:val="Heading2"/>
      </w:pPr>
      <w:r>
        <w:t>Мета роботи</w:t>
      </w:r>
    </w:p>
    <w:p>
      <w:r>
        <w:t>Розроблення micro-SaaS-платформи для розповсюдження готового цифрового продукту, керування доступом і аналітики із застосуванням мікросервісної архітектури, реляційних сховищ та асинхронної взаємодії для розмежування відповідальності компонентів, централізованого керування правилами доступу та підвищення перевірюваності критичних сценаріїв за критеріями коректності перевірок доступу і поведінки під час збоїв.</w:t>
      </w:r>
    </w:p>
    <w:p>
      <w:pPr>
        <w:pStyle w:val="Heading2"/>
      </w:pPr>
      <w:r>
        <w:t>Завдання проєкту</w:t>
      </w:r>
    </w:p>
    <w:p>
      <w:pPr>
        <w:pStyle w:val="ListNumber"/>
      </w:pPr>
      <w:r>
        <w:t>Проаналізувати предметну область, функції попередньої монолітної системи та аналоги платформ розповсюдження і ліцензування цифрових продуктів; сформувати функціональні й нефункціональні вимоги та технічне завдання з посиланнями на джерела за вимогами кафедри.</w:t>
      </w:r>
    </w:p>
    <w:p>
      <w:pPr>
        <w:pStyle w:val="ListNumber"/>
      </w:pPr>
      <w:r>
        <w:t>Обґрунтувати вибір архітектурного підходу, мов Python і TypeScript, фреймворків FastAPI та React, PostgreSQL і RabbitMQ з урахуванням вимог до керування доступом, оброблення телеметрії та інтеграцій.</w:t>
      </w:r>
    </w:p>
    <w:p>
      <w:pPr>
        <w:pStyle w:val="ListNumber"/>
      </w:pPr>
      <w:r>
        <w:t>Спроєктувати та задокументувати архітектуру платформи за допомогою UML і C4, визначити межі сервісів, контракти взаємодії та структуру окремих баз даних.</w:t>
      </w:r>
    </w:p>
    <w:p>
      <w:pPr>
        <w:pStyle w:val="ListNumber"/>
      </w:pPr>
      <w:r>
        <w:t>Розробити алгоритми активації ліцензій, перевірки строку підписки й лімітів пристроїв, асинхронної видачі платного файлу та агрегування статистики; реалізувати серверні компоненти платформи та їхню міжсервісну взаємодію.</w:t>
      </w:r>
    </w:p>
    <w:p>
      <w:pPr>
        <w:pStyle w:val="ListNumber"/>
      </w:pPr>
      <w:r>
        <w:t>Спроєктувати та реалізувати вебінтерфейс, автентифікацію через Telegram і Discord та інтеграцію із зовнішніми каналами придбання; розробити схему й налаштувати контейнерне розгортання платформи з Docker Compose і nginx.</w:t>
      </w:r>
    </w:p>
    <w:p>
      <w:pPr>
        <w:pStyle w:val="ListNumber"/>
      </w:pPr>
      <w:r>
        <w:t>Провести інструментальний аудит коду через тестування критичних сценаріїв платформи, перевірити поведінку під час затримок і збоїв міжсервісної взаємодії, виміряти продуктивність API та перевірити розмежування доступу; задокументувати результати й обмеження.</w:t>
      </w:r>
    </w:p>
    <w:p>
      <w:pPr>
        <w:pStyle w:val="ListNumber"/>
      </w:pPr>
      <w:r>
        <w:t>Підготувати наукову статтю або тези для науково-практичної апробації архітектурних рішень і результатів перевірки платформи.</w:t>
      </w:r>
    </w:p>
    <w:p>
      <w:r>
        <w:t>Науковий апарат визначає межі наступного огляду: порівнюються способи організації інфраструктури доступу та аналітики, а не функції самого ігрового продукту.</w:t>
      </w:r>
    </w:p>
    <w:p>
      <w:pPr>
        <w:pStyle w:val="Heading1"/>
      </w:pPr>
      <w:r>
        <w:t>1.2. Огляд сучасних підходів до вирішення відповідних завдань в межах обраного дослідження</w:t>
      </w:r>
    </w:p>
    <w:p>
      <w:pPr>
        <w:pStyle w:val="Heading2"/>
      </w:pPr>
      <w:r>
        <w:t>Предмет дослідження та інженерні підходи</w:t>
      </w:r>
    </w:p>
    <w:p>
      <w:r>
        <w:t>Методи та засоби реалізації цих процесів у micro-SaaS-платформі: мікросервісна декомпозиція, взаємодія через REST API та AMQP/RabbitMQ, розділення даних у PostgreSQL, механізми автентифікації через Telegram і Discord, алгоритми перевірки ліцензій, строків підписок та ідентифікаторів пристроїв, а також агрегування телеметрії.</w:t>
      </w:r>
    </w:p>
    <w:p>
      <w:r>
        <w:t>Для інфраструктури одного цифрового продукту розглядаються три підходи: розширення наявного моноліту, інтеграція універсальної SaaS-платформи ліцензування та побудова спеціалізованої платформи з розмежованими компонентами. Моноліт забезпечує локальність операцій і меншу кількість мережевих залежностей, тому не визначається як застарілий лише за архітектурною ознакою. Водночас поєднання правил доступу з бот-обробниками ускладнює їх повторне використання у вебкабінеті та інших клієнтах. SaaS-провайдер знімає частину операцій супроводу, але його модель даних і доступу потребує перевірки на сумісність із вимогами конкретного продукту.</w:t>
      </w:r>
    </w:p>
    <w:p>
      <w:r>
        <w:t xml:space="preserve">Мікросервісний підхід розмежовує облік користувачів, ліцензування, телеметрію й підготовку файлів. Окремі PostgreSQL-сховища визначають локальні транзакційні межі; вони не утворюють глобальної ACID-транзакції. Для операцій читання профілю та перевірки ліцензії застосовується REST/JSON, а для команд підготовки файлів — AMQP/RabbitMQ з request/reply. Офіційний опис RabbitMQ RPC передбачає reply queue та correlation ID і застерігає щодо поведінки повторних відповідей. Відповідно, брокер є засобом розподілу роботи, а не автоматичною гарантією ідемпотентності або відсутності затримок. </w:t>
      </w:r>
      <w:hyperlink r:id="rId9">
        <w:r>
          <w:rPr>
            <w:color w:val="1F4E79"/>
          </w:rPr>
          <w:t>RabbitMQ RPC</w:t>
        </w:r>
      </w:hyperlink>
      <w:r>
        <w:t>.</w:t>
      </w:r>
    </w:p>
    <w:p>
      <w:r>
        <w:t>Для аналітики розглядається відокремлення первинного запису подій від повторної видачі агрегатів. У межах обраного масштабу передбачено PostgreSQL та Redis із stale-while-revalidate, а не окремий data warehouse. Такий кеш зменшує кількість повторних обчислень, проте вводить визначений інтервал несвіжості та залежність від механізму lock. Досвід Freemius із фоновим індексуванням аналітики використовується як аргумент розмежування навантажень, а не як вимога відтворити масштаб його інфраструктури.</w:t>
      </w:r>
    </w:p>
    <w:p>
      <w:r>
        <w:t>Для автентифікації розмежовуються перевірка даних Telegram Login або Mini App, Discord OAuth2 та внутрішні access/refresh-сесії. Підписаний JWT підтверджує прийнятну для платформи сесію, але не замінює перевірку власника ліцензії й строку доступу. Вимоги до таких перевірок спираються на контракти провайдерів та ризик object-level authorization в OWASP API Security. Вибір архітектури тому оцінюється за відповідністю сценаріям і перевірюваністю правил, а не за кількістю використаних технологій. Далі ці підходи зіставлено з трьома готовими рішеннями.</w:t>
      </w:r>
    </w:p>
    <w:p>
      <w:pPr>
        <w:pStyle w:val="Heading1"/>
      </w:pPr>
      <w:r>
        <w:t>1.3. Аналіз та порівняння існуючих рішень на ринку готових програмних продуктів</w:t>
      </w:r>
    </w:p>
    <w:p>
      <w:r>
        <w:t>Для інженерного порівняння обрано OldSkool ProMod, WOTInspector і Freemius. ProMod розглянуто як тематичний аналог інфраструктури розповсюдження ігрового freemium-продукту; WOTInspector — як аналог керування доступом до ігрових інструментів та оброблення статистичних даних; Freemius — як функціональний аналог платформи ліцензування й супроводу цифрового програмного продукту. Повного збігу предметних областей не передбачено: кваліфікаційний проєкт охоплює інфраструктуру одного готового продукту, а не розроблення ігрового помічника, модифікацій або універсального платіжного сервісу.</w:t>
      </w:r>
    </w:p>
    <w:p>
      <w:r>
        <w:t>Конкурентний аналіз підготовлено за офіційними джерелами у ЛР №3; підтверджені архітектурні факти використано для формування вимог ЛР №4. Відокремлено документовані властивості від інженерних висновків про залежності та обмеження. Відомості про непублічні компоненти позначено як нерозкриті. Числових результатів Latency/RPS, тестування конкурентів або підтверджених вразливостей не отримано; їх не підмінено припущеннями. Опис запропонованої платформи відображає проєктні рішення з ЛР №2, а не результати навантажувальних вимірювань.</w:t>
      </w:r>
    </w:p>
    <w:p>
      <w:pPr>
        <w:pStyle w:val="Heading2"/>
      </w:pPr>
      <w:r>
        <w:t>1.3.1 OldSkool ProMod</w:t>
      </w:r>
    </w:p>
    <w:p>
      <w:r/>
      <w:r>
        <w:rPr>
          <w:b/>
        </w:rPr>
        <w:t>Архітектура та масштабування.</w:t>
      </w:r>
      <w:r>
        <w:t xml:space="preserve"> У публічному описі автора наведено клієнтський інсталятор на .NET 8, власні сервери контенту та запуск оновлень перед стартом Wargaming Game Center. Отже, на рівні спостережуваної взаємодії встановлено модель client–server для доставки модифікацій. Поділу серверного застосунку на мікросервіси, кількості вузлів і механізмів горизонтального масштабування не розкрито. Наявність окремого клієнта та контентних серверів не доводить мікросервісної будови backend. </w:t>
      </w:r>
      <w:hyperlink r:id="rId10">
        <w:r>
          <w:rPr>
            <w:color w:val="1F4E79"/>
          </w:rPr>
          <w:t>Опис автора у WGMods</w:t>
        </w:r>
      </w:hyperlink>
      <w:r>
        <w:t>.</w:t>
      </w:r>
    </w:p>
    <w:p>
      <w:r/>
      <w:r>
        <w:rPr>
          <w:b/>
        </w:rPr>
        <w:t>Протоколи та доступ.</w:t>
      </w:r>
      <w:r>
        <w:t xml:space="preserve"> Вебсторінки й точки завантаження доступні через HTTPS. За правилами Premium доступ пов’язано з Wargaming ID та ігровим ім’ям; після його надання передбачено перезапуск гри. Публічного контракту REST API, gRPC, GraphQL або брокера повідомлень для сервісу перевірки Premium у використаних джерелах не виявлено. Протокол між клієнтом оновлень і сервером контенту окремо не специфіковано. </w:t>
      </w:r>
      <w:hyperlink r:id="rId11">
        <w:r>
          <w:rPr>
            <w:color w:val="1F4E79"/>
          </w:rPr>
          <w:t>Premium</w:t>
        </w:r>
      </w:hyperlink>
      <w:r>
        <w:t xml:space="preserve">, </w:t>
      </w:r>
      <w:hyperlink r:id="rId12">
        <w:r>
          <w:rPr>
            <w:color w:val="1F4E79"/>
          </w:rPr>
          <w:t>розповсюдження</w:t>
        </w:r>
      </w:hyperlink>
      <w:r>
        <w:t>.</w:t>
      </w:r>
    </w:p>
    <w:p>
      <w:r/>
      <w:r>
        <w:rPr>
          <w:b/>
        </w:rPr>
        <w:t>Дані та консистентність.</w:t>
      </w:r>
      <w:r>
        <w:t xml:space="preserve"> За описом автора вибір модифікацій зберігається для кожної інсталяції гри. Це підтверджує локальний стан клієнта, але не визначає серверну СУБД. Тип SQL/NoSQL, транзакційність, реплікація та спосіб узгодження стану Premium між клієнтом і сервером не розкриті. Доступ за Wargaming ID не прирівняно до активації ліцензійним ключем або до контролю апаратних ідентифікаторів пристроїв.</w:t>
      </w:r>
    </w:p>
    <w:p>
      <w:r/>
      <w:r>
        <w:rPr>
          <w:b/>
        </w:rPr>
        <w:t>Інженерні обмеження.</w:t>
      </w:r>
      <w:r>
        <w:t xml:space="preserve"> Пакети модифікацій пов’язані з версією гри; у картці автора окремо вказано підтримувану версію та журнал сумісності. З цього випливає потреба узгоджувати реліз клієнтського продукту й доступний пакет. Залежність завантаження від сервера контенту та перевірки ідентичності від зовнішнього провайдера є інженерним висновком про точки відмови, а не повідомленням про фактичний збій. Вебсторінка Premium називає повністю автоматичний updater запланованим, тоді як картка WGMods уже описує автоматичне оновлення для Premium; тому ці описи не використано як єдиний доказ поточної поведінки всіх версій клієнта. Публічних SLA та резервування не наведено. </w:t>
      </w:r>
      <w:hyperlink r:id="rId11">
        <w:r>
          <w:rPr>
            <w:color w:val="1F4E79"/>
          </w:rPr>
          <w:t>Premium</w:t>
        </w:r>
      </w:hyperlink>
      <w:r>
        <w:t xml:space="preserve">, </w:t>
      </w:r>
      <w:hyperlink r:id="rId10">
        <w:r>
          <w:rPr>
            <w:color w:val="1F4E79"/>
          </w:rPr>
          <w:t>журнал автора</w:t>
        </w:r>
      </w:hyperlink>
      <w:r>
        <w:t>.</w:t>
      </w:r>
    </w:p>
    <w:p>
      <w:pPr>
        <w:pStyle w:val="Heading2"/>
      </w:pPr>
      <w:r>
        <w:t>1.3.2 WOTInspector</w:t>
      </w:r>
    </w:p>
    <w:p>
      <w:r/>
      <w:r>
        <w:rPr>
          <w:b/>
        </w:rPr>
        <w:t>Архітектура та масштабування.</w:t>
      </w:r>
      <w:r>
        <w:t xml:space="preserve"> Документовано вебсервіси та застосунки для аналізу броні, карт і записів боїв World of Tanks. На зовнішній межі встановлено client–server-взаємодію через версіонований API. Внутрішній патерн backend, сервісну декомпозицію та розподіл обчислень між вузлами не розкрито; окремі вебадреси сервісів не є доказом мікросервісної архітектури. </w:t>
      </w:r>
      <w:hyperlink r:id="rId13">
        <w:r>
          <w:rPr>
            <w:color w:val="1F4E79"/>
          </w:rPr>
          <w:t>Документація API</w:t>
        </w:r>
      </w:hyperlink>
      <w:r>
        <w:t>.</w:t>
      </w:r>
    </w:p>
    <w:p>
      <w:r/>
      <w:r>
        <w:rPr>
          <w:b/>
        </w:rPr>
        <w:t>Протоколи та доступ.</w:t>
      </w:r>
      <w:r>
        <w:t xml:space="preserve"> Офіційна специфікація OpenAPI 3.0.3 описує HTTP API v2: GET і POST </w:t>
      </w:r>
      <w:r>
        <w:rPr>
          <w:rFonts w:ascii="Consolas" w:hAnsi="Consolas"/>
          <w:sz w:val="20"/>
        </w:rPr>
        <w:t>/v2/replays/</w:t>
      </w:r>
      <w:r>
        <w:t xml:space="preserve">, GET </w:t>
      </w:r>
      <w:r>
        <w:rPr>
          <w:rFonts w:ascii="Consolas" w:hAnsi="Consolas"/>
          <w:sz w:val="20"/>
        </w:rPr>
        <w:t>/v2/replays/{id}/</w:t>
      </w:r>
      <w:r>
        <w:t xml:space="preserve">, </w:t>
      </w:r>
      <w:r>
        <w:rPr>
          <w:rFonts w:ascii="Consolas" w:hAnsi="Consolas"/>
          <w:sz w:val="20"/>
        </w:rPr>
        <w:t>/v2/heatmaps/</w:t>
      </w:r>
      <w:r>
        <w:t xml:space="preserve"> та інші ресурси. Для записів боїв визначено JSON-відповіді, пагінацію через </w:t>
      </w:r>
      <w:r>
        <w:rPr>
          <w:rFonts w:ascii="Consolas" w:hAnsi="Consolas"/>
          <w:sz w:val="20"/>
        </w:rPr>
        <w:t>page</w:t>
      </w:r>
      <w:r>
        <w:t xml:space="preserve">, фільтри й завантаження через </w:t>
      </w:r>
      <w:r>
        <w:rPr>
          <w:rFonts w:ascii="Consolas" w:hAnsi="Consolas"/>
          <w:sz w:val="20"/>
        </w:rPr>
        <w:t>multipart/form-data</w:t>
      </w:r>
      <w:r>
        <w:t xml:space="preserve">. Для відповідних операцій наведено </w:t>
      </w:r>
      <w:r>
        <w:rPr>
          <w:rFonts w:ascii="Consolas" w:hAnsi="Consolas"/>
          <w:sz w:val="20"/>
        </w:rPr>
        <w:t>cookieAuth</w:t>
      </w:r>
      <w:r>
        <w:t xml:space="preserve"> та </w:t>
      </w:r>
      <w:r>
        <w:rPr>
          <w:rFonts w:ascii="Consolas" w:hAnsi="Consolas"/>
          <w:sz w:val="20"/>
        </w:rPr>
        <w:t>ApiKeyAuth</w:t>
      </w:r>
      <w:r>
        <w:t xml:space="preserve">; схема також містить OAuth2 authorization code flow. Наявність схеми OAuth2 не означає її застосування до кожного endpoint. Обліковий запис використовується для придбаних можливостей, а для Patreon наведено зв’язування з Wargaming ID. </w:t>
      </w:r>
      <w:hyperlink r:id="rId14">
        <w:r>
          <w:rPr>
            <w:color w:val="1F4E79"/>
          </w:rPr>
          <w:t>OpenAPI</w:t>
        </w:r>
      </w:hyperlink>
      <w:r>
        <w:t xml:space="preserve">, </w:t>
      </w:r>
      <w:hyperlink r:id="rId15">
        <w:r>
          <w:rPr>
            <w:color w:val="1F4E79"/>
          </w:rPr>
          <w:t>обліковий доступ</w:t>
        </w:r>
      </w:hyperlink>
      <w:r>
        <w:t xml:space="preserve">, </w:t>
      </w:r>
      <w:hyperlink r:id="rId16">
        <w:r>
          <w:rPr>
            <w:color w:val="1F4E79"/>
          </w:rPr>
          <w:t>Patreon</w:t>
        </w:r>
      </w:hyperlink>
      <w:r>
        <w:t>.</w:t>
      </w:r>
    </w:p>
    <w:p>
      <w:r/>
      <w:r>
        <w:rPr>
          <w:b/>
        </w:rPr>
        <w:t>Дані та консистентність.</w:t>
      </w:r>
      <w:r>
        <w:t xml:space="preserve"> Контрактом описано записи боїв, набори теплових карт, версії ігрових ресурсів і продукти. Наявність JSON у відповіді API не визначає тип сховища. СУБД, транзакційні межі, реплікація та модель консистентності агрегатів не оприлюднені у використаних джерелах. Відомостей про апаратне прив’язування ліцензійних ключів також не отримано. </w:t>
      </w:r>
      <w:hyperlink r:id="rId14">
        <w:r>
          <w:rPr>
            <w:color w:val="1F4E79"/>
          </w:rPr>
          <w:t>OpenAPI</w:t>
        </w:r>
      </w:hyperlink>
      <w:r>
        <w:t>.</w:t>
      </w:r>
    </w:p>
    <w:p>
      <w:r/>
      <w:r>
        <w:rPr>
          <w:b/>
        </w:rPr>
        <w:t>Інженерні обмеження.</w:t>
      </w:r>
      <w:r>
        <w:t xml:space="preserve"> Версіоновані пакети ігрових ресурсів і фільтри записів боїв відображають залежність аналізу від платформи та версії даних. В інженерному проєктуванні аналогічної системи потрібно розмежовувати приймання даних, їх агрегування і видачу результатів: це висновок із характеру операцій, а не твердження про наявний bottleneck WOTInspector. Пагінація обмежує розмір окремої відповіді, але не підтверджує певний RPS або горизонтальне масштабування. У магазині наведено різні межі доступу до історії статистики; вони є правилами entitlement, а не доказом браку продуктивності. Retry, резервування, числові rate limits і SLA у розглянутому API не встановлено. </w:t>
      </w:r>
      <w:hyperlink r:id="rId14">
        <w:r>
          <w:rPr>
            <w:color w:val="1F4E79"/>
          </w:rPr>
          <w:t>OpenAPI</w:t>
        </w:r>
      </w:hyperlink>
      <w:r>
        <w:t xml:space="preserve">, </w:t>
      </w:r>
      <w:hyperlink r:id="rId15">
        <w:r>
          <w:rPr>
            <w:color w:val="1F4E79"/>
          </w:rPr>
          <w:t>правила доступу</w:t>
        </w:r>
      </w:hyperlink>
      <w:r>
        <w:t>.</w:t>
      </w:r>
    </w:p>
    <w:p>
      <w:pPr>
        <w:pStyle w:val="Heading2"/>
      </w:pPr>
      <w:r>
        <w:t>1.3.3 Freemius</w:t>
      </w:r>
    </w:p>
    <w:p>
      <w:r/>
      <w:r>
        <w:rPr>
          <w:b/>
        </w:rPr>
        <w:t>Архітектура та масштабування.</w:t>
      </w:r>
      <w:r>
        <w:t xml:space="preserve"> Freemius надає зовнішню SaaS-інфраструктуру для ліцензування, підписок, розповсюдження та інтеграції цифрових продуктів. Документовано REST API та передачу подій у backend продукту через webhooks. На межі інтеграції підтверджено поєднання синхронних запитів із подієвою взаємодією; повну сервісну декомпозицію Freemius не розкрито. В описі оновлення від 30.12.2022 документовано окремий аналітичний шар із фоновим індексуванням сирих даних у data warehouses. Це підтверджує розмежування аналітичного оброблення, але не встановлює мікросервісної будови всієї платформи. </w:t>
      </w:r>
      <w:hyperlink r:id="rId17">
        <w:r>
          <w:rPr>
            <w:color w:val="1F4E79"/>
          </w:rPr>
          <w:t>Архітектурні зміни аналітики</w:t>
        </w:r>
      </w:hyperlink>
      <w:r>
        <w:t xml:space="preserve">. </w:t>
      </w:r>
      <w:hyperlink r:id="rId18">
        <w:r>
          <w:rPr>
            <w:color w:val="1F4E79"/>
          </w:rPr>
          <w:t>SaaS integration</w:t>
        </w:r>
      </w:hyperlink>
      <w:r>
        <w:t>.</w:t>
      </w:r>
    </w:p>
    <w:p>
      <w:r/>
      <w:r>
        <w:rPr>
          <w:b/>
        </w:rPr>
        <w:t>Протоколи та доступ.</w:t>
      </w:r>
      <w:r>
        <w:t xml:space="preserve"> Для активації наведено POST </w:t>
      </w:r>
      <w:r>
        <w:rPr>
          <w:rFonts w:ascii="Consolas" w:hAnsi="Consolas"/>
          <w:sz w:val="20"/>
        </w:rPr>
        <w:t>/v1/products/{product_id}/licenses/activate.json</w:t>
      </w:r>
      <w:r>
        <w:t xml:space="preserve"> з ліцензійним ключем та </w:t>
      </w:r>
      <w:r>
        <w:rPr>
          <w:rFonts w:ascii="Consolas" w:hAnsi="Consolas"/>
          <w:sz w:val="20"/>
        </w:rPr>
        <w:t>uid</w:t>
      </w:r>
      <w:r>
        <w:t xml:space="preserve"> інсталяції. Початкова активація не потребує заголовка Authorization; отриманий </w:t>
      </w:r>
      <w:r>
        <w:rPr>
          <w:rFonts w:ascii="Consolas" w:hAnsi="Consolas"/>
          <w:sz w:val="20"/>
        </w:rPr>
        <w:t>install_api_token</w:t>
      </w:r>
      <w:r>
        <w:t xml:space="preserve"> використовується як Bearer token у наступних автентифікованих запитах. </w:t>
      </w:r>
      <w:r>
        <w:rPr>
          <w:rFonts w:ascii="Consolas" w:hAnsi="Consolas"/>
          <w:sz w:val="20"/>
        </w:rPr>
        <w:t>uid</w:t>
      </w:r>
      <w:r>
        <w:t xml:space="preserve"> формується клієнтом і сам по собі не доводить апаратного HWID-контролю. Події ліцензій передаються через HTTP POST; для перевірки джерела документовано </w:t>
      </w:r>
      <w:r>
        <w:rPr>
          <w:rFonts w:ascii="Consolas" w:hAnsi="Consolas"/>
          <w:sz w:val="20"/>
        </w:rPr>
        <w:t>x-signature</w:t>
      </w:r>
      <w:r>
        <w:t xml:space="preserve"> та HMAC SHA256 за вихідним тілом запиту. </w:t>
      </w:r>
      <w:hyperlink r:id="rId19">
        <w:r>
          <w:rPr>
            <w:color w:val="1F4E79"/>
          </w:rPr>
          <w:t>Активація</w:t>
        </w:r>
      </w:hyperlink>
      <w:r>
        <w:t xml:space="preserve">, </w:t>
      </w:r>
      <w:hyperlink r:id="rId20">
        <w:r>
          <w:rPr>
            <w:color w:val="1F4E79"/>
          </w:rPr>
          <w:t>webhooks</w:t>
        </w:r>
      </w:hyperlink>
      <w:r>
        <w:t>.</w:t>
      </w:r>
    </w:p>
    <w:p>
      <w:r/>
      <w:r>
        <w:rPr>
          <w:b/>
        </w:rPr>
        <w:t>Дані та консистентність.</w:t>
      </w:r>
      <w:r>
        <w:t xml:space="preserve"> Через API доступні ліцензії, інсталяції, користувачі й підписки. Для Staged Rollouts документовано записи ліцензованих інсталяцій, таблицю релізів і поля </w:t>
      </w:r>
      <w:r>
        <w:rPr>
          <w:rFonts w:ascii="Consolas" w:hAnsi="Consolas"/>
          <w:sz w:val="20"/>
        </w:rPr>
        <w:t>last_served_update_version</w:t>
      </w:r>
      <w:r>
        <w:t xml:space="preserve">, </w:t>
      </w:r>
      <w:r>
        <w:rPr>
          <w:rFonts w:ascii="Consolas" w:hAnsi="Consolas"/>
          <w:sz w:val="20"/>
        </w:rPr>
        <w:t>limit</w:t>
      </w:r>
      <w:r>
        <w:t xml:space="preserve">, </w:t>
      </w:r>
      <w:r>
        <w:rPr>
          <w:rFonts w:ascii="Consolas" w:hAnsi="Consolas"/>
          <w:sz w:val="20"/>
        </w:rPr>
        <w:t>uniques</w:t>
      </w:r>
      <w:r>
        <w:t xml:space="preserve">, за якими керується поступова видача оновлень. Це характеризує модель даних розповсюдження, але не визначає конкретну СУБД. Основну СУБД, технологію data warehouses, реплікацію та рівні ізоляції транзакцій не названо. </w:t>
      </w:r>
      <w:hyperlink r:id="rId21">
        <w:r>
          <w:rPr>
            <w:color w:val="1F4E79"/>
          </w:rPr>
          <w:t>Модель даних Staged Rollouts</w:t>
        </w:r>
      </w:hyperlink>
      <w:r>
        <w:t xml:space="preserve">. Для SaaS інтеграції рекомендовано після події отримати актуальний стан через API й оновити entitlement у власній БД; для видаленої ліцензії — прибрати доступ. Така синхронізація створює залежність між двома станами, тому потрібні перевірка повторних подій та звіряння після переривання доставки; це вимоги до інтегратора, а не підтвердження глобальної ACID-транзакції. </w:t>
      </w:r>
      <w:hyperlink r:id="rId22">
        <w:r>
          <w:rPr>
            <w:color w:val="1F4E79"/>
          </w:rPr>
          <w:t>Ліцензії</w:t>
        </w:r>
      </w:hyperlink>
      <w:r>
        <w:t xml:space="preserve">, </w:t>
      </w:r>
      <w:hyperlink r:id="rId18">
        <w:r>
          <w:rPr>
            <w:color w:val="1F4E79"/>
          </w:rPr>
          <w:t>синхронізація SaaS</w:t>
        </w:r>
      </w:hyperlink>
      <w:r>
        <w:t>.</w:t>
      </w:r>
    </w:p>
    <w:p>
      <w:r/>
      <w:r>
        <w:rPr>
          <w:b/>
        </w:rPr>
        <w:t>Інженерні обмеження.</w:t>
      </w:r>
      <w:r>
        <w:t xml:space="preserve"> Для попередньої реалізації аналітики команда Freemius задокументувала зростання навантаження від прямих запитів до БД, збої dashboard та API timeouts. Перехід до фонового індексування в окремому аналітичному шарі описано як усунення цієї проблеми; її не подано як чинний дефект платформи. </w:t>
      </w:r>
      <w:hyperlink r:id="rId17">
        <w:r>
          <w:rPr>
            <w:color w:val="1F4E79"/>
          </w:rPr>
          <w:t>Попередній bottleneck і його усунення</w:t>
        </w:r>
      </w:hyperlink>
      <w:r>
        <w:t xml:space="preserve">. У документації активації визначено помилки простроченого ключа, вичерпаної квоти та вже активованої інсталяції; остання може сигналізувати про розсинхронізацію клієнта. У журналі від 30.12.2025 задокументовано автоматичне вимкнення webhook listener після понад 100 невдалих доставок і виправлення помилки скидання лічильника відмов. Виправлену помилку не подано як чинну вразливість. Для інтегратора зберігається ризик пропуску змін доступу під час вимкнення listener, тому потрібне відновлення синхронізації. Файли зберігаються в Amazon S3 та видаються через захищений API; це не встановлює стек бази даних або SLA всієї платформи. </w:t>
      </w:r>
      <w:hyperlink r:id="rId19">
        <w:r>
          <w:rPr>
            <w:color w:val="1F4E79"/>
          </w:rPr>
          <w:t>Оброблення помилок активації</w:t>
        </w:r>
      </w:hyperlink>
      <w:r>
        <w:t xml:space="preserve">, </w:t>
      </w:r>
      <w:hyperlink r:id="rId23">
        <w:r>
          <w:rPr>
            <w:color w:val="1F4E79"/>
          </w:rPr>
          <w:t>webhook recovery</w:t>
        </w:r>
      </w:hyperlink>
      <w:r>
        <w:t xml:space="preserve">, </w:t>
      </w:r>
      <w:hyperlink r:id="rId24">
        <w:r>
          <w:rPr>
            <w:color w:val="1F4E79"/>
          </w:rPr>
          <w:t>розповсюдження файлів</w:t>
        </w:r>
      </w:hyperlink>
      <w:r>
        <w:t>.</w:t>
      </w:r>
    </w:p>
    <w:p>
      <w:pPr>
        <w:pStyle w:val="Heading2"/>
      </w:pPr>
      <w:r>
        <w:t>1.3.4 Порівняльна інженерна матриця</w:t>
      </w:r>
    </w:p>
    <w:p>
      <w:pPr>
        <w:sectPr>
          <w:footerReference w:type="default" r:id="rId30"/>
          <w:pgSz w:w="12240" w:h="15840"/>
          <w:pgMar w:top="1008" w:right="1008" w:bottom="1008" w:left="1008" w:header="720" w:footer="720" w:gutter="0"/>
          <w:cols w:space="720"/>
          <w:docGrid w:linePitch="360"/>
        </w:sectPr>
      </w:pPr>
    </w:p>
    <w:p>
      <w:pPr>
        <w:keepNext/>
      </w:pPr>
      <w:r>
        <w:t>Таблиця 1.1 — Порівняння аналогів за системними критеріями</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592"/>
        <w:gridCol w:w="2592"/>
        <w:gridCol w:w="2592"/>
        <w:gridCol w:w="4392"/>
      </w:tblGrid>
      <w:tr>
        <w:trPr>
          <w:tblHeader/>
        </w:trPr>
        <w:tc>
          <w:tcPr>
            <w:tcW w:type="dxa" w:w="1800"/>
            <w:shd w:fill="DFE7EF"/>
            <w:tcMar>
              <w:top w:w="85" w:type="dxa"/>
              <w:left w:w="85" w:type="dxa"/>
              <w:bottom w:w="85" w:type="dxa"/>
              <w:right w:w="85" w:type="dxa"/>
            </w:tcMar>
            <w:vAlign w:val="center"/>
          </w:tcPr>
          <w:p>
            <w:pPr>
              <w:spacing w:after="40" w:line="252" w:lineRule="auto"/>
            </w:pPr>
            <w:r>
              <w:rPr>
                <w:b/>
                <w:sz w:val="20"/>
              </w:rPr>
              <w:t>Інженерний критерій</w:t>
            </w:r>
          </w:p>
        </w:tc>
        <w:tc>
          <w:tcPr>
            <w:tcW w:type="dxa" w:w="2592"/>
            <w:shd w:fill="DFE7EF"/>
            <w:tcMar>
              <w:top w:w="85" w:type="dxa"/>
              <w:left w:w="85" w:type="dxa"/>
              <w:bottom w:w="85" w:type="dxa"/>
              <w:right w:w="85" w:type="dxa"/>
            </w:tcMar>
            <w:vAlign w:val="center"/>
          </w:tcPr>
          <w:p>
            <w:pPr>
              <w:spacing w:after="40" w:line="252" w:lineRule="auto"/>
            </w:pPr>
            <w:r>
              <w:rPr>
                <w:b/>
                <w:sz w:val="20"/>
              </w:rPr>
              <w:t>OldSkool ProMod</w:t>
            </w:r>
          </w:p>
        </w:tc>
        <w:tc>
          <w:tcPr>
            <w:tcW w:type="dxa" w:w="2592"/>
            <w:shd w:fill="DFE7EF"/>
            <w:tcMar>
              <w:top w:w="85" w:type="dxa"/>
              <w:left w:w="85" w:type="dxa"/>
              <w:bottom w:w="85" w:type="dxa"/>
              <w:right w:w="85" w:type="dxa"/>
            </w:tcMar>
            <w:vAlign w:val="center"/>
          </w:tcPr>
          <w:p>
            <w:pPr>
              <w:spacing w:after="40" w:line="252" w:lineRule="auto"/>
            </w:pPr>
            <w:r>
              <w:rPr>
                <w:b/>
                <w:sz w:val="20"/>
              </w:rPr>
              <w:t>WOTInspector</w:t>
            </w:r>
          </w:p>
        </w:tc>
        <w:tc>
          <w:tcPr>
            <w:tcW w:type="dxa" w:w="2592"/>
            <w:shd w:fill="DFE7EF"/>
            <w:tcMar>
              <w:top w:w="85" w:type="dxa"/>
              <w:left w:w="85" w:type="dxa"/>
              <w:bottom w:w="85" w:type="dxa"/>
              <w:right w:w="85" w:type="dxa"/>
            </w:tcMar>
            <w:vAlign w:val="center"/>
          </w:tcPr>
          <w:p>
            <w:pPr>
              <w:spacing w:after="40" w:line="252" w:lineRule="auto"/>
            </w:pPr>
            <w:r>
              <w:rPr>
                <w:b/>
                <w:sz w:val="20"/>
              </w:rPr>
              <w:t>Freemius</w:t>
            </w:r>
          </w:p>
        </w:tc>
        <w:tc>
          <w:tcPr>
            <w:tcW w:type="dxa" w:w="4392"/>
            <w:shd w:fill="DFE7EF"/>
            <w:tcMar>
              <w:top w:w="85" w:type="dxa"/>
              <w:left w:w="85" w:type="dxa"/>
              <w:bottom w:w="85" w:type="dxa"/>
              <w:right w:w="85" w:type="dxa"/>
            </w:tcMar>
            <w:vAlign w:val="center"/>
          </w:tcPr>
          <w:p>
            <w:pPr>
              <w:spacing w:after="40" w:line="252" w:lineRule="auto"/>
            </w:pPr>
            <w:r>
              <w:rPr>
                <w:b/>
                <w:sz w:val="20"/>
              </w:rPr>
              <w:t>Запропонована micro-SaaS-платформа</w:t>
            </w:r>
          </w:p>
        </w:tc>
      </w:tr>
      <w:tr>
        <w:trPr/>
        <w:tc>
          <w:tcPr>
            <w:tcW w:type="dxa" w:w="1800"/>
            <w:shd w:fill="FFFFFF"/>
            <w:tcMar>
              <w:top w:w="85" w:type="dxa"/>
              <w:left w:w="85" w:type="dxa"/>
              <w:bottom w:w="85" w:type="dxa"/>
              <w:right w:w="85" w:type="dxa"/>
            </w:tcMar>
            <w:vAlign w:val="center"/>
          </w:tcPr>
          <w:p>
            <w:pPr>
              <w:spacing w:after="40" w:line="252" w:lineRule="auto"/>
            </w:pPr>
            <w:r>
              <w:rPr>
                <w:b w:val="0"/>
                <w:sz w:val="20"/>
              </w:rPr>
              <w:t>Архітектура й межі компонентів</w:t>
            </w:r>
          </w:p>
        </w:tc>
        <w:tc>
          <w:tcPr>
            <w:tcW w:type="dxa" w:w="2592"/>
            <w:shd w:fill="FFFFFF"/>
            <w:tcMar>
              <w:top w:w="85" w:type="dxa"/>
              <w:left w:w="85" w:type="dxa"/>
              <w:bottom w:w="85" w:type="dxa"/>
              <w:right w:w="85" w:type="dxa"/>
            </w:tcMar>
            <w:vAlign w:val="center"/>
          </w:tcPr>
          <w:p>
            <w:pPr>
              <w:spacing w:after="40" w:line="252" w:lineRule="auto"/>
            </w:pPr>
            <w:r>
              <w:rPr>
                <w:b w:val="0"/>
                <w:sz w:val="20"/>
              </w:rPr>
              <w:t>Клієнт .NET 8 та сервери контенту; внутрішній backend нерозкритий</w:t>
            </w:r>
          </w:p>
        </w:tc>
        <w:tc>
          <w:tcPr>
            <w:tcW w:type="dxa" w:w="2592"/>
            <w:shd w:fill="FFFFFF"/>
            <w:tcMar>
              <w:top w:w="85" w:type="dxa"/>
              <w:left w:w="85" w:type="dxa"/>
              <w:bottom w:w="85" w:type="dxa"/>
              <w:right w:w="85" w:type="dxa"/>
            </w:tcMar>
            <w:vAlign w:val="center"/>
          </w:tcPr>
          <w:p>
            <w:pPr>
              <w:spacing w:after="40" w:line="252" w:lineRule="auto"/>
            </w:pPr>
            <w:r>
              <w:rPr>
                <w:b w:val="0"/>
                <w:sz w:val="20"/>
              </w:rPr>
              <w:t>Client–server з API v2; внутрішня декомпозиція нерозкрита</w:t>
            </w:r>
          </w:p>
        </w:tc>
        <w:tc>
          <w:tcPr>
            <w:tcW w:type="dxa" w:w="2592"/>
            <w:shd w:fill="FFFFFF"/>
            <w:tcMar>
              <w:top w:w="85" w:type="dxa"/>
              <w:left w:w="85" w:type="dxa"/>
              <w:bottom w:w="85" w:type="dxa"/>
              <w:right w:w="85" w:type="dxa"/>
            </w:tcMar>
            <w:vAlign w:val="center"/>
          </w:tcPr>
          <w:p>
            <w:pPr>
              <w:spacing w:after="40" w:line="252" w:lineRule="auto"/>
            </w:pPr>
            <w:r>
              <w:rPr>
                <w:b w:val="0"/>
                <w:sz w:val="20"/>
              </w:rPr>
              <w:t>SaaS; REST і події; окремий аналітичний шар із фоновим індексуванням; повна декомпозиція нерозкрита</w:t>
            </w:r>
          </w:p>
        </w:tc>
        <w:tc>
          <w:tcPr>
            <w:tcW w:type="dxa" w:w="4392"/>
            <w:shd w:fill="FFFFFF"/>
            <w:tcMar>
              <w:top w:w="85" w:type="dxa"/>
              <w:left w:w="85" w:type="dxa"/>
              <w:bottom w:w="85" w:type="dxa"/>
              <w:right w:w="85" w:type="dxa"/>
            </w:tcMar>
            <w:vAlign w:val="center"/>
          </w:tcPr>
          <w:p>
            <w:pPr>
              <w:spacing w:after="40" w:line="252" w:lineRule="auto"/>
            </w:pPr>
            <w:r>
              <w:rPr>
                <w:b w:val="0"/>
                <w:sz w:val="20"/>
              </w:rPr>
              <w:t>FastAPI-сервіси користувачів, ліцензій, телеметрії та видачі файлів; окремий React-клієнт</w:t>
            </w:r>
          </w:p>
        </w:tc>
      </w:tr>
      <w:tr>
        <w:trPr/>
        <w:tc>
          <w:tcPr>
            <w:tcW w:type="dxa" w:w="1800"/>
            <w:shd w:fill="F5F7F9"/>
            <w:tcMar>
              <w:top w:w="85" w:type="dxa"/>
              <w:left w:w="85" w:type="dxa"/>
              <w:bottom w:w="85" w:type="dxa"/>
              <w:right w:w="85" w:type="dxa"/>
            </w:tcMar>
            <w:vAlign w:val="center"/>
          </w:tcPr>
          <w:p>
            <w:pPr>
              <w:spacing w:after="40" w:line="252" w:lineRule="auto"/>
            </w:pPr>
            <w:r>
              <w:rPr>
                <w:b w:val="0"/>
                <w:sz w:val="20"/>
              </w:rPr>
              <w:t>Протоколи та контракти</w:t>
            </w:r>
          </w:p>
        </w:tc>
        <w:tc>
          <w:tcPr>
            <w:tcW w:type="dxa" w:w="2592"/>
            <w:shd w:fill="F5F7F9"/>
            <w:tcMar>
              <w:top w:w="85" w:type="dxa"/>
              <w:left w:w="85" w:type="dxa"/>
              <w:bottom w:w="85" w:type="dxa"/>
              <w:right w:w="85" w:type="dxa"/>
            </w:tcMar>
            <w:vAlign w:val="center"/>
          </w:tcPr>
          <w:p>
            <w:pPr>
              <w:spacing w:after="40" w:line="252" w:lineRule="auto"/>
            </w:pPr>
            <w:r>
              <w:rPr>
                <w:b w:val="0"/>
                <w:sz w:val="20"/>
              </w:rPr>
              <w:t>HTTPS для вебресурсів; контракт updater/Premium API не оприлюднений</w:t>
            </w:r>
          </w:p>
        </w:tc>
        <w:tc>
          <w:tcPr>
            <w:tcW w:type="dxa" w:w="2592"/>
            <w:shd w:fill="F5F7F9"/>
            <w:tcMar>
              <w:top w:w="85" w:type="dxa"/>
              <w:left w:w="85" w:type="dxa"/>
              <w:bottom w:w="85" w:type="dxa"/>
              <w:right w:w="85" w:type="dxa"/>
            </w:tcMar>
            <w:vAlign w:val="center"/>
          </w:tcPr>
          <w:p>
            <w:pPr>
              <w:spacing w:after="40" w:line="252" w:lineRule="auto"/>
            </w:pPr>
            <w:r>
              <w:rPr>
                <w:b w:val="0"/>
                <w:sz w:val="20"/>
              </w:rPr>
              <w:t>HTTP REST, JSON, OpenAPI 3.0.3, пагінація, multipart upload</w:t>
            </w:r>
          </w:p>
        </w:tc>
        <w:tc>
          <w:tcPr>
            <w:tcW w:type="dxa" w:w="2592"/>
            <w:shd w:fill="F5F7F9"/>
            <w:tcMar>
              <w:top w:w="85" w:type="dxa"/>
              <w:left w:w="85" w:type="dxa"/>
              <w:bottom w:w="85" w:type="dxa"/>
              <w:right w:w="85" w:type="dxa"/>
            </w:tcMar>
            <w:vAlign w:val="center"/>
          </w:tcPr>
          <w:p>
            <w:pPr>
              <w:spacing w:after="40" w:line="252" w:lineRule="auto"/>
            </w:pPr>
            <w:r>
              <w:rPr>
                <w:b w:val="0"/>
                <w:sz w:val="20"/>
              </w:rPr>
              <w:t>HTTP REST/JSON, версія v1; HTTP POST webhooks</w:t>
            </w:r>
          </w:p>
        </w:tc>
        <w:tc>
          <w:tcPr>
            <w:tcW w:type="dxa" w:w="4392"/>
            <w:shd w:fill="F5F7F9"/>
            <w:tcMar>
              <w:top w:w="85" w:type="dxa"/>
              <w:left w:w="85" w:type="dxa"/>
              <w:bottom w:w="85" w:type="dxa"/>
              <w:right w:w="85" w:type="dxa"/>
            </w:tcMar>
            <w:vAlign w:val="center"/>
          </w:tcPr>
          <w:p>
            <w:pPr>
              <w:spacing w:after="40" w:line="252" w:lineRule="auto"/>
            </w:pPr>
            <w:r>
              <w:rPr>
                <w:b w:val="0"/>
                <w:sz w:val="20"/>
              </w:rPr>
              <w:t>REST/JSON та AMQP/RabbitMQ для команд і request/reply; контракти потребують документування</w:t>
            </w:r>
          </w:p>
        </w:tc>
      </w:tr>
      <w:tr>
        <w:trPr/>
        <w:tc>
          <w:tcPr>
            <w:tcW w:type="dxa" w:w="1800"/>
            <w:shd w:fill="FFFFFF"/>
            <w:tcMar>
              <w:top w:w="85" w:type="dxa"/>
              <w:left w:w="85" w:type="dxa"/>
              <w:bottom w:w="85" w:type="dxa"/>
              <w:right w:w="85" w:type="dxa"/>
            </w:tcMar>
            <w:vAlign w:val="center"/>
          </w:tcPr>
          <w:p>
            <w:pPr>
              <w:spacing w:after="40" w:line="252" w:lineRule="auto"/>
            </w:pPr>
            <w:r>
              <w:rPr>
                <w:b w:val="0"/>
                <w:sz w:val="20"/>
              </w:rPr>
              <w:t>Сховища та консистентність</w:t>
            </w:r>
          </w:p>
        </w:tc>
        <w:tc>
          <w:tcPr>
            <w:tcW w:type="dxa" w:w="2592"/>
            <w:shd w:fill="FFFFFF"/>
            <w:tcMar>
              <w:top w:w="85" w:type="dxa"/>
              <w:left w:w="85" w:type="dxa"/>
              <w:bottom w:w="85" w:type="dxa"/>
              <w:right w:w="85" w:type="dxa"/>
            </w:tcMar>
            <w:vAlign w:val="center"/>
          </w:tcPr>
          <w:p>
            <w:pPr>
              <w:spacing w:after="40" w:line="252" w:lineRule="auto"/>
            </w:pPr>
            <w:r>
              <w:rPr>
                <w:b w:val="0"/>
                <w:sz w:val="20"/>
              </w:rPr>
              <w:t>Локальні налаштування інсталяції; серверна СУБД й транзакційна модель нерозкриті</w:t>
            </w:r>
          </w:p>
        </w:tc>
        <w:tc>
          <w:tcPr>
            <w:tcW w:type="dxa" w:w="2592"/>
            <w:shd w:fill="FFFFFF"/>
            <w:tcMar>
              <w:top w:w="85" w:type="dxa"/>
              <w:left w:w="85" w:type="dxa"/>
              <w:bottom w:w="85" w:type="dxa"/>
              <w:right w:w="85" w:type="dxa"/>
            </w:tcMar>
            <w:vAlign w:val="center"/>
          </w:tcPr>
          <w:p>
            <w:pPr>
              <w:spacing w:after="40" w:line="252" w:lineRule="auto"/>
            </w:pPr>
            <w:r>
              <w:rPr>
                <w:b w:val="0"/>
                <w:sz w:val="20"/>
              </w:rPr>
              <w:t>Структуровані записи боїв та агрегати; СУБД й консистентність нерозкриті</w:t>
            </w:r>
          </w:p>
        </w:tc>
        <w:tc>
          <w:tcPr>
            <w:tcW w:type="dxa" w:w="2592"/>
            <w:shd w:fill="FFFFFF"/>
            <w:tcMar>
              <w:top w:w="85" w:type="dxa"/>
              <w:left w:w="85" w:type="dxa"/>
              <w:bottom w:w="85" w:type="dxa"/>
              <w:right w:w="85" w:type="dxa"/>
            </w:tcMar>
            <w:vAlign w:val="center"/>
          </w:tcPr>
          <w:p>
            <w:pPr>
              <w:spacing w:after="40" w:line="252" w:lineRule="auto"/>
            </w:pPr>
            <w:r>
              <w:rPr>
                <w:b w:val="0"/>
                <w:sz w:val="20"/>
              </w:rPr>
              <w:t>Таблиця релізів і записи інсталяцій; data warehouses для аналітики; конкретні СУБД нерозкриті; API-звіряння entitlement</w:t>
            </w:r>
          </w:p>
        </w:tc>
        <w:tc>
          <w:tcPr>
            <w:tcW w:type="dxa" w:w="4392"/>
            <w:shd w:fill="FFFFFF"/>
            <w:tcMar>
              <w:top w:w="85" w:type="dxa"/>
              <w:left w:w="85" w:type="dxa"/>
              <w:bottom w:w="85" w:type="dxa"/>
              <w:right w:w="85" w:type="dxa"/>
            </w:tcMar>
            <w:vAlign w:val="center"/>
          </w:tcPr>
          <w:p>
            <w:pPr>
              <w:spacing w:after="40" w:line="252" w:lineRule="auto"/>
            </w:pPr>
            <w:r>
              <w:rPr>
                <w:b w:val="0"/>
                <w:sz w:val="20"/>
              </w:rPr>
              <w:t>Окремі PostgreSQL 16 для користувачів, ліцензій і телеметрії; локальні транзакції без спільної ACID-транзакції між сервісами</w:t>
            </w:r>
          </w:p>
        </w:tc>
      </w:tr>
      <w:tr>
        <w:trPr/>
        <w:tc>
          <w:tcPr>
            <w:tcW w:type="dxa" w:w="1800"/>
            <w:shd w:fill="F5F7F9"/>
            <w:tcMar>
              <w:top w:w="85" w:type="dxa"/>
              <w:left w:w="85" w:type="dxa"/>
              <w:bottom w:w="85" w:type="dxa"/>
              <w:right w:w="85" w:type="dxa"/>
            </w:tcMar>
            <w:vAlign w:val="center"/>
          </w:tcPr>
          <w:p>
            <w:pPr>
              <w:spacing w:after="40" w:line="252" w:lineRule="auto"/>
            </w:pPr>
            <w:r>
              <w:rPr>
                <w:b w:val="0"/>
                <w:sz w:val="20"/>
              </w:rPr>
              <w:t>Автентифікація та контроль доступу</w:t>
            </w:r>
          </w:p>
        </w:tc>
        <w:tc>
          <w:tcPr>
            <w:tcW w:type="dxa" w:w="2592"/>
            <w:shd w:fill="F5F7F9"/>
            <w:tcMar>
              <w:top w:w="85" w:type="dxa"/>
              <w:left w:w="85" w:type="dxa"/>
              <w:bottom w:w="85" w:type="dxa"/>
              <w:right w:w="85" w:type="dxa"/>
            </w:tcMar>
            <w:vAlign w:val="center"/>
          </w:tcPr>
          <w:p>
            <w:pPr>
              <w:spacing w:after="40" w:line="252" w:lineRule="auto"/>
            </w:pPr>
            <w:r>
              <w:rPr>
                <w:b w:val="0"/>
                <w:sz w:val="20"/>
              </w:rPr>
              <w:t>Premium пов’язано з Wargaming ID; HWID і ключовий контракт не підтверджені</w:t>
            </w:r>
          </w:p>
        </w:tc>
        <w:tc>
          <w:tcPr>
            <w:tcW w:type="dxa" w:w="2592"/>
            <w:shd w:fill="F5F7F9"/>
            <w:tcMar>
              <w:top w:w="85" w:type="dxa"/>
              <w:left w:w="85" w:type="dxa"/>
              <w:bottom w:w="85" w:type="dxa"/>
              <w:right w:w="85" w:type="dxa"/>
            </w:tcMar>
            <w:vAlign w:val="center"/>
          </w:tcPr>
          <w:p>
            <w:pPr>
              <w:spacing w:after="40" w:line="252" w:lineRule="auto"/>
            </w:pPr>
            <w:r>
              <w:rPr>
                <w:b w:val="0"/>
                <w:sz w:val="20"/>
              </w:rPr>
              <w:t>Cookie/API key у контракті; схема OAuth2; обліковий доступ до платних інструментів</w:t>
            </w:r>
          </w:p>
        </w:tc>
        <w:tc>
          <w:tcPr>
            <w:tcW w:type="dxa" w:w="2592"/>
            <w:shd w:fill="F5F7F9"/>
            <w:tcMar>
              <w:top w:w="85" w:type="dxa"/>
              <w:left w:w="85" w:type="dxa"/>
              <w:bottom w:w="85" w:type="dxa"/>
              <w:right w:w="85" w:type="dxa"/>
            </w:tcMar>
            <w:vAlign w:val="center"/>
          </w:tcPr>
          <w:p>
            <w:pPr>
              <w:spacing w:after="40" w:line="252" w:lineRule="auto"/>
            </w:pPr>
            <w:r>
              <w:rPr>
                <w:b w:val="0"/>
                <w:sz w:val="20"/>
              </w:rPr>
              <w:t>Ключ та uid інсталяції, Bearer token; HMAC SHA256 для webhooks</w:t>
            </w:r>
          </w:p>
        </w:tc>
        <w:tc>
          <w:tcPr>
            <w:tcW w:type="dxa" w:w="4392"/>
            <w:shd w:fill="F5F7F9"/>
            <w:tcMar>
              <w:top w:w="85" w:type="dxa"/>
              <w:left w:w="85" w:type="dxa"/>
              <w:bottom w:w="85" w:type="dxa"/>
              <w:right w:w="85" w:type="dxa"/>
            </w:tcMar>
            <w:vAlign w:val="center"/>
          </w:tcPr>
          <w:p>
            <w:pPr>
              <w:spacing w:after="40" w:line="252" w:lineRule="auto"/>
            </w:pPr>
            <w:r>
              <w:rPr>
                <w:b w:val="0"/>
                <w:sz w:val="20"/>
              </w:rPr>
              <w:t>Telegram/Discord; єдиний користувач із пов’язаними ідентичностями; ключ, строк підписки та ліміти пристроїв</w:t>
            </w:r>
          </w:p>
        </w:tc>
      </w:tr>
      <w:tr>
        <w:trPr/>
        <w:tc>
          <w:tcPr>
            <w:tcW w:type="dxa" w:w="1800"/>
            <w:shd w:fill="FFFFFF"/>
            <w:tcMar>
              <w:top w:w="85" w:type="dxa"/>
              <w:left w:w="85" w:type="dxa"/>
              <w:bottom w:w="85" w:type="dxa"/>
              <w:right w:w="85" w:type="dxa"/>
            </w:tcMar>
            <w:vAlign w:val="center"/>
          </w:tcPr>
          <w:p>
            <w:pPr>
              <w:spacing w:after="40" w:line="252" w:lineRule="auto"/>
            </w:pPr>
            <w:r>
              <w:rPr>
                <w:b w:val="0"/>
                <w:sz w:val="20"/>
              </w:rPr>
              <w:t>Відмовостійкість і відновлення стану</w:t>
            </w:r>
          </w:p>
        </w:tc>
        <w:tc>
          <w:tcPr>
            <w:tcW w:type="dxa" w:w="2592"/>
            <w:shd w:fill="FFFFFF"/>
            <w:tcMar>
              <w:top w:w="85" w:type="dxa"/>
              <w:left w:w="85" w:type="dxa"/>
              <w:bottom w:w="85" w:type="dxa"/>
              <w:right w:w="85" w:type="dxa"/>
            </w:tcMar>
            <w:vAlign w:val="center"/>
          </w:tcPr>
          <w:p>
            <w:pPr>
              <w:spacing w:after="40" w:line="252" w:lineRule="auto"/>
            </w:pPr>
            <w:r>
              <w:rPr>
                <w:b w:val="0"/>
                <w:sz w:val="20"/>
              </w:rPr>
              <w:t>Резервування, Retry і SLA не розкриті; залежність доставки від контентного сервера</w:t>
            </w:r>
          </w:p>
        </w:tc>
        <w:tc>
          <w:tcPr>
            <w:tcW w:type="dxa" w:w="2592"/>
            <w:shd w:fill="FFFFFF"/>
            <w:tcMar>
              <w:top w:w="85" w:type="dxa"/>
              <w:left w:w="85" w:type="dxa"/>
              <w:bottom w:w="85" w:type="dxa"/>
              <w:right w:w="85" w:type="dxa"/>
            </w:tcMar>
            <w:vAlign w:val="center"/>
          </w:tcPr>
          <w:p>
            <w:pPr>
              <w:spacing w:after="40" w:line="252" w:lineRule="auto"/>
            </w:pPr>
            <w:r>
              <w:rPr>
                <w:b w:val="0"/>
                <w:sz w:val="20"/>
              </w:rPr>
              <w:t>Retry, резервування і SLA не встановлено за доступними джерелами</w:t>
            </w:r>
          </w:p>
        </w:tc>
        <w:tc>
          <w:tcPr>
            <w:tcW w:type="dxa" w:w="2592"/>
            <w:shd w:fill="FFFFFF"/>
            <w:tcMar>
              <w:top w:w="85" w:type="dxa"/>
              <w:left w:w="85" w:type="dxa"/>
              <w:bottom w:w="85" w:type="dxa"/>
              <w:right w:w="85" w:type="dxa"/>
            </w:tcMar>
            <w:vAlign w:val="center"/>
          </w:tcPr>
          <w:p>
            <w:pPr>
              <w:spacing w:after="40" w:line="252" w:lineRule="auto"/>
            </w:pPr>
            <w:r>
              <w:rPr>
                <w:b w:val="0"/>
                <w:sz w:val="20"/>
              </w:rPr>
              <w:t>Webhooks та API-звіряння; після серії невдач listener може бути вимкнений</w:t>
            </w:r>
          </w:p>
        </w:tc>
        <w:tc>
          <w:tcPr>
            <w:tcW w:type="dxa" w:w="4392"/>
            <w:shd w:fill="FFFFFF"/>
            <w:tcMar>
              <w:top w:w="85" w:type="dxa"/>
              <w:left w:w="85" w:type="dxa"/>
              <w:bottom w:w="85" w:type="dxa"/>
              <w:right w:w="85" w:type="dxa"/>
            </w:tcMar>
            <w:vAlign w:val="center"/>
          </w:tcPr>
          <w:p>
            <w:pPr>
              <w:spacing w:after="40" w:line="252" w:lineRule="auto"/>
            </w:pPr>
            <w:r>
              <w:rPr>
                <w:b w:val="0"/>
                <w:sz w:val="20"/>
              </w:rPr>
              <w:t>RabbitMQ відокремлює оброблення команд від HTTP; для request/reply потрібні timeout і кореляція; повтори не гарантують ідемпотентності без окремого контролю</w:t>
            </w:r>
          </w:p>
        </w:tc>
      </w:tr>
      <w:tr>
        <w:trPr/>
        <w:tc>
          <w:tcPr>
            <w:tcW w:type="dxa" w:w="1800"/>
            <w:shd w:fill="F5F7F9"/>
            <w:tcMar>
              <w:top w:w="85" w:type="dxa"/>
              <w:left w:w="85" w:type="dxa"/>
              <w:bottom w:w="85" w:type="dxa"/>
              <w:right w:w="85" w:type="dxa"/>
            </w:tcMar>
            <w:vAlign w:val="center"/>
          </w:tcPr>
          <w:p>
            <w:pPr>
              <w:spacing w:after="40" w:line="252" w:lineRule="auto"/>
            </w:pPr>
            <w:r>
              <w:rPr>
                <w:b w:val="0"/>
                <w:sz w:val="20"/>
              </w:rPr>
              <w:t>Інфраструктура й межі масштабування</w:t>
            </w:r>
          </w:p>
        </w:tc>
        <w:tc>
          <w:tcPr>
            <w:tcW w:type="dxa" w:w="2592"/>
            <w:shd w:fill="F5F7F9"/>
            <w:tcMar>
              <w:top w:w="85" w:type="dxa"/>
              <w:left w:w="85" w:type="dxa"/>
              <w:bottom w:w="85" w:type="dxa"/>
              <w:right w:w="85" w:type="dxa"/>
            </w:tcMar>
            <w:vAlign w:val="center"/>
          </w:tcPr>
          <w:p>
            <w:pPr>
              <w:spacing w:after="40" w:line="252" w:lineRule="auto"/>
            </w:pPr>
            <w:r>
              <w:rPr>
                <w:b w:val="0"/>
                <w:sz w:val="20"/>
              </w:rPr>
              <w:t>Контентні сервери; топологія та виміряні Latency/RPS нерозкриті</w:t>
            </w:r>
          </w:p>
        </w:tc>
        <w:tc>
          <w:tcPr>
            <w:tcW w:type="dxa" w:w="2592"/>
            <w:shd w:fill="F5F7F9"/>
            <w:tcMar>
              <w:top w:w="85" w:type="dxa"/>
              <w:left w:w="85" w:type="dxa"/>
              <w:bottom w:w="85" w:type="dxa"/>
              <w:right w:w="85" w:type="dxa"/>
            </w:tcMar>
            <w:vAlign w:val="center"/>
          </w:tcPr>
          <w:p>
            <w:pPr>
              <w:spacing w:after="40" w:line="252" w:lineRule="auto"/>
            </w:pPr>
            <w:r>
              <w:rPr>
                <w:b w:val="0"/>
                <w:sz w:val="20"/>
              </w:rPr>
              <w:t>Пагінація API; внутрішня топологія та Latency/RPS нерозкриті</w:t>
            </w:r>
          </w:p>
        </w:tc>
        <w:tc>
          <w:tcPr>
            <w:tcW w:type="dxa" w:w="2592"/>
            <w:shd w:fill="F5F7F9"/>
            <w:tcMar>
              <w:top w:w="85" w:type="dxa"/>
              <w:left w:w="85" w:type="dxa"/>
              <w:bottom w:w="85" w:type="dxa"/>
              <w:right w:w="85" w:type="dxa"/>
            </w:tcMar>
            <w:vAlign w:val="center"/>
          </w:tcPr>
          <w:p>
            <w:pPr>
              <w:spacing w:after="40" w:line="252" w:lineRule="auto"/>
            </w:pPr>
            <w:r>
              <w:rPr>
                <w:b w:val="0"/>
                <w:sz w:val="20"/>
              </w:rPr>
              <w:t>S3 для файлів; фонове індексування аналітики після попередніх API timeouts; кількісні Latency/RPS нерозкриті</w:t>
            </w:r>
          </w:p>
        </w:tc>
        <w:tc>
          <w:tcPr>
            <w:tcW w:type="dxa" w:w="4392"/>
            <w:shd w:fill="F5F7F9"/>
            <w:tcMar>
              <w:top w:w="85" w:type="dxa"/>
              <w:left w:w="85" w:type="dxa"/>
              <w:bottom w:w="85" w:type="dxa"/>
              <w:right w:w="85" w:type="dxa"/>
            </w:tcMar>
            <w:vAlign w:val="center"/>
          </w:tcPr>
          <w:p>
            <w:pPr>
              <w:spacing w:after="40" w:line="252" w:lineRule="auto"/>
            </w:pPr>
            <w:r>
              <w:rPr>
                <w:b w:val="0"/>
                <w:sz w:val="20"/>
              </w:rPr>
              <w:t>Docker Compose/nginx; незалежне розгортання компонентів; видача тимчасових файлів без власної БД; однохостове розгортання саме по собі не забезпечує High Availability</w:t>
            </w:r>
          </w:p>
        </w:tc>
      </w:tr>
    </w:tbl>
    <w:p>
      <w:pPr>
        <w:sectPr>
          <w:pgSz w:w="15840" w:h="12240" w:orient="landscape"/>
          <w:pgMar w:top="936" w:right="936" w:bottom="936" w:left="936" w:header="720" w:footer="720" w:gutter="0"/>
          <w:cols w:space="720"/>
          <w:docGrid w:linePitch="360"/>
        </w:sectPr>
      </w:pPr>
    </w:p>
    <w:p>
      <w:pPr>
        <w:pStyle w:val="Heading3"/>
      </w:pPr>
      <w:r>
        <w:t>Аналітичний висновок підрозділу</w:t>
      </w:r>
    </w:p>
    <w:p>
      <w:r>
        <w:t>За результатами порівняння встановлено, що в ProMod інфраструктуру орієнтовано на доставку ігрових модифікацій та обліковий Premium-доступ, а у WOTInspector — на API ігрових даних та доступ до аналітичних інструментів. Для запропонованої платформи доцільно використати принцип відокремлення клієнтського продукту від сервера розповсюдження та версіонованих контрактів оброблення статистики. У Freemius документовано керування entitlement через API й події та винесення аналітики в окремий шар після API timeouts від прямих запитів до БД. Для власної платформи враховано принцип відокремлення статистичного оброблення від критичних операцій доступу; реалізація універсального data warehouse не передбачається. Водночас наявність відкритого API або зовнішньої ідентичності не підтверджує підтримки необхідного поєднання Telegram/Discord, збереження формату ключів замовника та правил прив’язування пристроїв. Внутрішні архітектури аналогів не класифіковано як застарілі без доказів.</w:t>
      </w:r>
    </w:p>
    <w:p>
      <w:r>
        <w:t>Для цих вимог обґрунтовано декомпозицію на FastAPI-сервіси з окремими PostgreSQL-сховищами: правила доступу зосереджуються в сервісі ліцензій, а приймання телеметрії та підготовка файлів відокремлюються від обліку користувачів. Реляційні обмеження й локальні транзакції застосовуються для перевірки стану активацій і підписок; RabbitMQ використовується для передавання команд між компонентами, зокрема підготовки платного файлу. Це дає можливість пристосувати контракти та дані до одного готового продукту без перенесення правил доступу в клієнтський інтерфейс або підпорядкування їх універсальній моделі SaaS-провайдера. Перевагу такого стеку визначено відповідністю спеціалізованим вимогам та контролем над станом ліцензій, а не непідтвердженою перевагою Latency/RPS. Вбудоване приймання платежів не передбачається: придбання відбувається через зовнішні канали.</w:t>
      </w:r>
    </w:p>
    <w:p>
      <w:r>
        <w:t>Компромісом обраної архітектури є збільшення кількості процесів, мережевих залежностей і операцій супроводу. Брокер повідомлень не усуває затримок request/reply, повторного виконання команд або втрати узгодженості між окремими БД; контейнеризація не замінює резервування. Тому для проєктування визначено потребу в timeout, кореляції запитів, контролі повторної активації, перевірках доступу перед видачею файлу та відновленні після збоїв. Механізми повторного оброблення й навантажувальні характеристики мають бути підтверджені тестуванням. Виявлені обмеження використано для аналізу вихідних процесів замовника та формування моделі To-Be у наступних підрозділах.</w:t>
      </w:r>
    </w:p>
    <w:p>
      <w:pPr>
        <w:pStyle w:val="Heading1"/>
      </w:pPr>
      <w:r>
        <w:t>1.4. Аналіз обраної предметної області в межах дослідження (модель As-Is)</w:t>
      </w:r>
    </w:p>
    <w:p>
      <w:pPr>
        <w:pStyle w:val="Heading2"/>
      </w:pPr>
      <w:r>
        <w:t>Характеристика та межі предметної області</w:t>
      </w:r>
    </w:p>
    <w:p>
      <w:r>
        <w:t>Предметною областю визначено інфраструктурний супровід одного готового цифрового програмного продукту за моделлю freemium: його представлення, розповсюдження, керування правом платного доступу та оброблення даних використання і продажів. Прикладом інтеграції є програмний помічник для гравців San Andreas Multiplayer (SA-MP). Ігрові функції помічника, його Lua-код і створення модифікацій не входять до меж розроблення платформи. Вихідним станом у проєктному сценарії є надана замовником діюча монолітна VIP-система; її функції та правила сумісності використовуються як джерело вимог.</w:t>
      </w:r>
    </w:p>
    <w:p>
      <w:r>
        <w:t>Для цього домену станом на 2026 рік характерне поєднання облікового доступу, ліцензійних API та зовнішніх каналів придбання. Розглянуті аналоги демонструють різні межі автоматизації: ProMod зосереджується на доставці модифікацій, WOTInspector — на ігрових даних, Freemius — на ліцензуванні та комерційній інфраструктурі. Для заданого продукту не обґрунтовано потреби в AI/ML, Kubernetes або універсальному marketplace. Інженерний фокус зосереджено на узгодженості ідентичностей, станів ліцензії та видачі файлу, а також на відокремленні аналітичного навантаження від перевірок доступу.</w:t>
      </w:r>
    </w:p>
    <w:p>
      <w:pPr>
        <w:pStyle w:val="Heading2"/>
      </w:pPr>
      <w:r>
        <w:t>Актори та інформаційні сутності</w:t>
      </w:r>
    </w:p>
    <w:p>
      <w:r>
        <w:t>Основними акторами є власник продукту як замовник, адміністратор VIP-системи, користувач платної версії та відвідувач, якому потрібна інформація про безкоштовний продукт. У вихідній VIP-системі відвідувач Free-версії не має окремого вебсценарію; адміністратор обслуговує придбання та випускає ключі, а користувач взаємодіє через Telegram- або Discord-бота. Зовнішніми учасниками є провайдери Telegram/Discord та канали придбання, які не слід ототожнювати з внутрішніми сервісами платформи.</w:t>
      </w:r>
    </w:p>
    <w:p>
      <w:r>
        <w:t>Ключовими сутностями As-Is є ліцензійний ключ, запис VIP-доступу, Telegram ID, Discord ID, тривалість і дата активації, відомості про спосіб та суму придбання, шаблон платного файлу та запит на його видачу. У таблиці ключів SQLite поєднано стан доступу та пов’язані соціальні ідентифікатори. Окремі технічні записи перевірок не становлять реєстру керованих пристроїв: вони не застосовуються до квот або автоматичного блокування. У межах аналізу розмежовано операційні дані доступу, комерційні записи продажів та телеметрію запусків.</w:t>
      </w:r>
    </w:p>
    <w:p>
      <w:pPr>
        <w:pStyle w:val="Heading2"/>
      </w:pPr>
      <w:r>
        <w:t>Процес A1 — придбання, випуск та активація ключа</w:t>
      </w:r>
    </w:p>
    <w:p>
      <w:r>
        <w:t>Оплата або домовленість про придбання надходить через зовнішній канал. Адміністратор перевіряє її та генерує ключ із параметрами доступу. Запис ключа зберігається в SQLite; користувач передає ключ командою Telegram- або Discord-бота. Обробник звертається до спільної БД, перевіряє стан ключа та фіксує активацію й пов’язані ідентифікатори. На основі цього запису надається доступ до платного файлу та відповідної спільноти.</w:t>
      </w:r>
    </w:p>
    <w:p>
      <w:r>
        <w:t>Вузьке місце A1 полягає в ручному переході між підтвердженням придбання та випуском ключа, а також у поєднанні правил активації з обробниками ботів і спільними операціями БД. Для зміни правила потрібна узгоджена поведінка двох каналів. Наявність моноліту сама по собі не означає помилки або низької швидкодії: кількісні Latency/RPS старої системи не вимірювалися. Потреба оптимізації зумовлена розширенням сценаріїв і перевірюваністю єдиних правил, а не доведеним перевищенням пропускної здатності.</w:t>
      </w:r>
    </w:p>
    <w:p>
      <w:pPr>
        <w:pStyle w:val="Heading2"/>
      </w:pPr>
      <w:r>
        <w:t>Процес A2 — перевірка VIP-стану та видача файлу</w:t>
      </w:r>
    </w:p>
    <w:p>
      <w:r>
        <w:t>Користувач запитує стан доступу або файл через бота. Обробник читає запис ключа й перевіряє його активність; за дозволеного стану видається VIP-файл. Допоміжний HTTP endpoint перевіряє наявність та активний стан ключа. Відомості про IP, User-Agent і тип пристрою можуть записуватися в таблицю технічних перевірок, однак ці записи не запускають правил квот або автоматичного керування пристроями. Завершення строку VIP-доступу обробляється фоновим циклом із повідомленнями та зміною доступу до чату або ролі.</w:t>
      </w:r>
    </w:p>
    <w:p>
      <w:r>
        <w:t>Вузьке місце A2 — відсутність вебкабінету та єдиного сценарію самостійного керування прив’язаними пристроями. Технічний запис перевірки не можна використати як доказ реалізованої політики пристроїв. Зберегти необхідно формат ключів і зв’язування Telegram, Discord або обох ідентичностей, тоді як нові ліміти пристроїв мають бути явно визначені у правилах цільової системи. Наявні сценарії видачі працюють, але їхнього обсягу недостатньо для майбутнього вебінтерфейсу й захищених тимчасових завантажень.</w:t>
      </w:r>
    </w:p>
    <w:p>
      <w:pPr>
        <w:pStyle w:val="Heading2"/>
      </w:pPr>
      <w:r>
        <w:t>Процес A3 — отримання статистики</w:t>
      </w:r>
    </w:p>
    <w:p>
      <w:r>
        <w:t xml:space="preserve">Статистика продажів обчислюється за записами ліцензій та повертається повідомленням бота за командою </w:t>
      </w:r>
      <w:r>
        <w:rPr>
          <w:rFonts w:ascii="Consolas" w:hAnsi="Consolas"/>
          <w:sz w:val="20"/>
        </w:rPr>
        <w:t>/stats</w:t>
      </w:r>
      <w:r>
        <w:t>. Загальнодоступних вебсторінок статистики та окремого сервісу аналітики використання немає. Допоміжний endpoint запуску продукту лише виводить отримані відомості в серверний лог; він не утворює стійкого контуру зберігання, агрегування та публікації телеметрії. Отже, робочі підсумки продажів не слід прирівнювати до системи аналітики використання.</w:t>
      </w:r>
    </w:p>
    <w:p>
      <w:r>
        <w:t>Вузьке місце A3 — відсутність відокремленого пайплайна «подія запуску → валідація → збереження → агрегування → публічний API». У новій платформі потрібно одночасно забезпечити цей пайплайн та обмежити навантаження від повторних аналітичних запитів. Досвід Freemius із попередніми API timeouts показує значущість розмежування аналітичного й операційного оброблення; він не є доказом такого збою в системі замовника.</w:t>
      </w:r>
    </w:p>
    <w:p>
      <w:pPr>
        <w:pStyle w:val="Heading2"/>
      </w:pPr>
      <w:r>
        <w:t>Технологічні та нормативні обмеження</w:t>
      </w:r>
    </w:p>
    <w:p>
      <w:r>
        <w:t>Ідентичність провайдера не є самостійним доказом чинної ліцензії. Дані Telegram мають перевірятися відповідно до використаного механізму входу, а Discord — через узгоджений OAuth2 flow; правила Telegram Login, Mini App та Discord не можна механічно ототожнювати. Для кожної операції з ліцензією потрібна перевірка власника ресурсу, що відповідає характеру ризику Broken Object Level Authorization в OWASP API Security. Зовнішні API можуть бути недоступними або обмежувати запити; це впливає на сценарії входу та бот-інтеграцій.</w:t>
      </w:r>
    </w:p>
    <w:p>
      <w:r>
        <w:t>Особисті ідентифікатори, ключі й дані пристроїв мають бути відокремлені від публічних агрегатів. HWID характеризує пристрій, а не підтверджену фізичну особу. Застосовність законодавчих вимог до персональних даних, зокрема GDPR, залежить від території, суб’єктів та обставин оброблення; відповідність не може заявлятися лише через наявність TLS або JWT. У вимогах до платформи тому фіксуються конкретні перевірки доступу та непублікації ідентифікаторів без заяв про сертифікацію. Ці обмеження разом із процесами A1–A3 визначають цільову модель наступного підрозділу.</w:t>
      </w:r>
    </w:p>
    <w:p>
      <w:pPr>
        <w:pStyle w:val="Heading1"/>
      </w:pPr>
      <w:r>
        <w:t>1.5. Постановка задачі та формування вимог (модель To-Be, Core Features, NFRs)</w:t>
      </w:r>
    </w:p>
    <w:p>
      <w:pPr>
        <w:pStyle w:val="Heading2"/>
      </w:pPr>
      <w:r>
        <w:t>Концептуальна модель To-Be</w:t>
      </w:r>
    </w:p>
    <w:p>
      <w:r>
        <w:t>Для A1 передбачено відокремити облікові записи від ліцензій. Відвідувач отримує інформацію про один продукт, Free-файли, інструкції, тарифи та публічні агрегати без входу. Для персональних операцій User Service перевіряє вхід через Telegram/Discord, формує єдиний обліковий запис і видає access/refresh-сесію. Після придбання користувач активує ключ у кабінеті; License Service перевіряє власника, стан та правила активації у своїй PostgreSQL. Формат ключів та зв’язування соціальних ідентичностей зберігаються як вимоги сумісності. Зовнішні канали придбання й Telegram Stars у боті не підміняються прямим картковим еквайрингом на сайті.</w:t>
      </w:r>
    </w:p>
    <w:p>
      <w:r>
        <w:t>Для A2 передбачено перевіряти строк підписки, стан ліцензії та правила пристроїв в одному доменному сервісі. Перед платним завантаженням License Service перевіряє доступ і передає команду в RabbitMQ з correlation ID та reply queue. Distribution Service формує персоналізований файл і повертає тимчасову URL-адресу. Брокер відокремлює виконання збірки, однак HTTP-сценарій продовжує очікувати request/reply до 30 секунд; називати його повністю неблокувальним для користувача некоректно. Видача Free-інсталятора залишається статичною операцією nginx, яка не потребує персоналізованої збірки або RabbitMQ.</w:t>
      </w:r>
    </w:p>
    <w:p>
      <w:r>
        <w:t>Для A3 передбачено пайплайн «клієнт продукту → HTTP API Usage Service → валідація → PostgreSQL → агрегування → Redis → публічний API → вебсторінка». Дані продажів формуються License Service окремо від даних використання. Кеш статистики використовує stale-while-revalidate та блокування конкурентного оновлення: свіжість становить 300 секунд, граничне збереження кешованого результату — 86400 секунд. Оновлення запускається запитом, а не таймером. Redis є відновлюваним кешем; первинні записи зберігаються у PostgreSQL. У публічних відповідях не повинні розкриватися ключі, соціальні ID або HWID.</w:t>
      </w:r>
    </w:p>
    <w:p>
      <w:pPr>
        <w:pStyle w:val="Heading2"/>
      </w:pPr>
      <w:r>
        <w:t>Функціональні вимоги</w:t>
      </w:r>
    </w:p>
    <w:p>
      <w:pPr>
        <w:pStyle w:val="ListBullet"/>
      </w:pPr>
      <w:r/>
      <w:r>
        <w:rPr>
          <w:b/>
        </w:rPr>
        <w:t>FR-01 — публічний вебмодуль.</w:t>
      </w:r>
      <w:r>
        <w:t xml:space="preserve"> Представляти готовий продукт, надавати інструкції та Free-завантаження без автентифікації; відображати тарифи й способи придбання платного доступу.</w:t>
      </w:r>
    </w:p>
    <w:p>
      <w:pPr>
        <w:pStyle w:val="ListBullet"/>
      </w:pPr>
      <w:r/>
      <w:r>
        <w:rPr>
          <w:b/>
        </w:rPr>
        <w:t>FR-02 — User Service.</w:t>
      </w:r>
      <w:r>
        <w:t xml:space="preserve"> Автентифікувати користувача через Telegram або Discord, зв’язувати одну чи обидві ідентичності з єдиним обліковим записом, оновлювати й завершувати access/refresh-сесію; підтримувати вхід із Telegram Mini App.</w:t>
      </w:r>
    </w:p>
    <w:p>
      <w:pPr>
        <w:pStyle w:val="ListBullet"/>
      </w:pPr>
      <w:r/>
      <w:r>
        <w:rPr>
          <w:b/>
        </w:rPr>
        <w:t>FR-03 — License Service.</w:t>
      </w:r>
      <w:r>
        <w:t xml:space="preserve"> Випускати та активувати ключі, зберігати сумісний формат, перевіряти власника, чинність, блокування і строк підписки та надавати персональний стан у кабінеті.</w:t>
      </w:r>
    </w:p>
    <w:p>
      <w:pPr>
        <w:pStyle w:val="ListBullet"/>
      </w:pPr>
      <w:r/>
      <w:r>
        <w:rPr>
          <w:b/>
        </w:rPr>
        <w:t>FR-04 — керування пристроями.</w:t>
      </w:r>
      <w:r>
        <w:t xml:space="preserve"> Реєструвати та перевіряти прив’язані пристрої, застосовувати тарифні ліміти й квоти скидання та дозволяти власнику виконувати доступні операції зі своїми пристроями.</w:t>
      </w:r>
    </w:p>
    <w:p>
      <w:pPr>
        <w:pStyle w:val="ListBullet"/>
      </w:pPr>
      <w:r/>
      <w:r>
        <w:rPr>
          <w:b/>
        </w:rPr>
        <w:t>FR-05 — Distribution Service.</w:t>
      </w:r>
      <w:r>
        <w:t xml:space="preserve"> Після дозволу License Service формувати персоналізований VIP Lua-файл або інсталятор, повертати тимчасове посилання та очищати створені файли за визначеним життєвим циклом.</w:t>
      </w:r>
    </w:p>
    <w:p>
      <w:pPr>
        <w:pStyle w:val="ListBullet"/>
      </w:pPr>
      <w:r/>
      <w:r>
        <w:rPr>
          <w:b/>
        </w:rPr>
        <w:t>FR-06 — Usage Service.</w:t>
      </w:r>
      <w:r>
        <w:t xml:space="preserve"> Приймати й валідувати події запуску продукту, зберігати їх і формувати відкриті агрегати за платформами, версіями та іншими підтримуваними вимірами; рахувати унікальні HWID як пристрої.</w:t>
      </w:r>
    </w:p>
    <w:p>
      <w:pPr>
        <w:pStyle w:val="ListBullet"/>
      </w:pPr>
      <w:r/>
      <w:r>
        <w:rPr>
          <w:b/>
        </w:rPr>
        <w:t>FR-07 — облік придбання та продажів.</w:t>
      </w:r>
      <w:r>
        <w:t xml:space="preserve"> Враховувати придбання із зовнішніх каналів і підтверджених Telegram Stars-платежів у боті, формувати публічні агрегати продажів із відокремленням строкових підписок і попередніх lifetime-ліцензій.</w:t>
      </w:r>
    </w:p>
    <w:p>
      <w:pPr>
        <w:pStyle w:val="ListBullet"/>
      </w:pPr>
      <w:r/>
      <w:r>
        <w:rPr>
          <w:b/>
        </w:rPr>
        <w:t>FR-08 — адміністрування й бот-інтеграції.</w:t>
      </w:r>
      <w:r>
        <w:t xml:space="preserve"> Обмежувати адміністративні операції відповідною роллю та синхронізувати завершення підписки з повідомленнями, VIP-чатом Telegram і Discord-ролями.</w:t>
      </w:r>
    </w:p>
    <w:p>
      <w:pPr>
        <w:pStyle w:val="Heading2"/>
      </w:pPr>
      <w:r>
        <w:t>Нефункціональні вимоги та методи приймання</w:t>
      </w:r>
    </w:p>
    <w:p>
      <w:r>
        <w:t>Наведені NFR є цільовими критеріями приймання, а не звітом про досягнуту продуктивність чи доступність. Межі 50 RPS протягом 10 хвилин, p95 ≤300 мс для прогрітого кешу, p95 ≤500 мс для внутрішніх операцій API та 30 секунд для сценарію генерації погоджено під час рев’ю вимог. Вимірювання передбачено на ізольованому стенді: один Linux-хост із 4 vCPU, 8 GiB RAM та SSD, Docker Compose, окремий генератор навантаження, тестові PostgreSQL-дані та прогрітий Redis. Це профіль тестування, а не твердження про конфігурацію production.</w:t>
      </w:r>
    </w:p>
    <w:p>
      <w:r>
        <w:t>Для NFR-01/02 використовується відкрита модель навантаження 50 запитів за секунду протягом 600 секунд після прогріву, тобто 30000 запланованих запитів для кожного профілю. Окремо фіксуються незапущені запити, помилки та p95; відкидання повільних запитів зі звіту не допускається. Час вимірюється генератором до отримання повної HTTP-відповіді. Зовнішній OAuth, платежі, передавання файлів і холодне обчислення статистики мають окремі сценарії та не включаються до цих меж.</w:t>
      </w:r>
    </w:p>
    <w:p>
      <w:pPr>
        <w:sectPr>
          <w:pgSz w:w="12240" w:h="15840"/>
          <w:pgMar w:top="936" w:right="936" w:bottom="936" w:left="936" w:header="720" w:footer="720" w:gutter="0"/>
          <w:cols w:space="720"/>
          <w:docGrid w:linePitch="360"/>
        </w:sectPr>
      </w:pPr>
    </w:p>
    <w:p>
      <w:pPr>
        <w:keepNext/>
      </w:pPr>
      <w:r>
        <w:t>Таблиця 1.2 — Нефункціональні вимоги та способи перевірки</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160"/>
        <w:gridCol w:w="5040"/>
        <w:gridCol w:w="5616"/>
      </w:tblGrid>
      <w:tr>
        <w:trPr>
          <w:tblHeader/>
        </w:trPr>
        <w:tc>
          <w:tcPr>
            <w:tcW w:type="dxa" w:w="1152"/>
            <w:shd w:fill="DFE7EF"/>
            <w:tcMar>
              <w:top w:w="85" w:type="dxa"/>
              <w:left w:w="85" w:type="dxa"/>
              <w:bottom w:w="85" w:type="dxa"/>
              <w:right w:w="85" w:type="dxa"/>
            </w:tcMar>
            <w:vAlign w:val="center"/>
          </w:tcPr>
          <w:p>
            <w:pPr>
              <w:spacing w:after="40" w:line="252" w:lineRule="auto"/>
            </w:pPr>
            <w:r>
              <w:rPr>
                <w:b/>
                <w:sz w:val="20"/>
              </w:rPr>
              <w:t>ID</w:t>
            </w:r>
          </w:p>
        </w:tc>
        <w:tc>
          <w:tcPr>
            <w:tcW w:type="dxa" w:w="2160"/>
            <w:shd w:fill="DFE7EF"/>
            <w:tcMar>
              <w:top w:w="85" w:type="dxa"/>
              <w:left w:w="85" w:type="dxa"/>
              <w:bottom w:w="85" w:type="dxa"/>
              <w:right w:w="85" w:type="dxa"/>
            </w:tcMar>
            <w:vAlign w:val="center"/>
          </w:tcPr>
          <w:p>
            <w:pPr>
              <w:spacing w:after="40" w:line="252" w:lineRule="auto"/>
            </w:pPr>
            <w:r>
              <w:rPr>
                <w:b/>
                <w:sz w:val="20"/>
              </w:rPr>
              <w:t>Категорія</w:t>
            </w:r>
          </w:p>
        </w:tc>
        <w:tc>
          <w:tcPr>
            <w:tcW w:type="dxa" w:w="5040"/>
            <w:shd w:fill="DFE7EF"/>
            <w:tcMar>
              <w:top w:w="85" w:type="dxa"/>
              <w:left w:w="85" w:type="dxa"/>
              <w:bottom w:w="85" w:type="dxa"/>
              <w:right w:w="85" w:type="dxa"/>
            </w:tcMar>
            <w:vAlign w:val="center"/>
          </w:tcPr>
          <w:p>
            <w:pPr>
              <w:spacing w:after="40" w:line="252" w:lineRule="auto"/>
            </w:pPr>
            <w:r>
              <w:rPr>
                <w:b/>
                <w:sz w:val="20"/>
              </w:rPr>
              <w:t>Критерій приймання</w:t>
            </w:r>
          </w:p>
        </w:tc>
        <w:tc>
          <w:tcPr>
            <w:tcW w:type="dxa" w:w="5616"/>
            <w:shd w:fill="DFE7EF"/>
            <w:tcMar>
              <w:top w:w="85" w:type="dxa"/>
              <w:left w:w="85" w:type="dxa"/>
              <w:bottom w:w="85" w:type="dxa"/>
              <w:right w:w="85" w:type="dxa"/>
            </w:tcMar>
            <w:vAlign w:val="center"/>
          </w:tcPr>
          <w:p>
            <w:pPr>
              <w:spacing w:after="40" w:line="252" w:lineRule="auto"/>
            </w:pPr>
            <w:r>
              <w:rPr>
                <w:b/>
                <w:sz w:val="20"/>
              </w:rPr>
              <w:t>Спосіб перевірки</w:t>
            </w:r>
          </w:p>
        </w:tc>
      </w:tr>
      <w:tr>
        <w:trPr/>
        <w:tc>
          <w:tcPr>
            <w:tcW w:type="dxa" w:w="1152"/>
            <w:shd w:fill="FFFFFF"/>
            <w:tcMar>
              <w:top w:w="85" w:type="dxa"/>
              <w:left w:w="85" w:type="dxa"/>
              <w:bottom w:w="85" w:type="dxa"/>
              <w:right w:w="85" w:type="dxa"/>
            </w:tcMar>
            <w:vAlign w:val="center"/>
          </w:tcPr>
          <w:p>
            <w:pPr>
              <w:spacing w:after="40" w:line="252" w:lineRule="auto"/>
            </w:pPr>
            <w:r>
              <w:rPr>
                <w:b w:val="0"/>
                <w:sz w:val="20"/>
              </w:rPr>
              <w:t>NFR-01</w:t>
            </w:r>
          </w:p>
        </w:tc>
        <w:tc>
          <w:tcPr>
            <w:tcW w:type="dxa" w:w="2160"/>
            <w:shd w:fill="FFFFFF"/>
            <w:tcMar>
              <w:top w:w="85" w:type="dxa"/>
              <w:left w:w="85" w:type="dxa"/>
              <w:bottom w:w="85" w:type="dxa"/>
              <w:right w:w="85" w:type="dxa"/>
            </w:tcMar>
            <w:vAlign w:val="center"/>
          </w:tcPr>
          <w:p>
            <w:pPr>
              <w:spacing w:after="40" w:line="252" w:lineRule="auto"/>
            </w:pPr>
            <w:r>
              <w:rPr>
                <w:b w:val="0"/>
                <w:sz w:val="20"/>
              </w:rPr>
              <w:t>Публічна статистика</w:t>
            </w:r>
          </w:p>
        </w:tc>
        <w:tc>
          <w:tcPr>
            <w:tcW w:type="dxa" w:w="5040"/>
            <w:shd w:fill="FFFFFF"/>
            <w:tcMar>
              <w:top w:w="85" w:type="dxa"/>
              <w:left w:w="85" w:type="dxa"/>
              <w:bottom w:w="85" w:type="dxa"/>
              <w:right w:w="85" w:type="dxa"/>
            </w:tcMar>
            <w:vAlign w:val="center"/>
          </w:tcPr>
          <w:p>
            <w:pPr>
              <w:spacing w:after="40" w:line="252" w:lineRule="auto"/>
            </w:pPr>
            <w:r>
              <w:rPr>
                <w:b w:val="0"/>
                <w:sz w:val="20"/>
              </w:rPr>
              <w:t>50 RPS протягом 600 с; p95 ≤300 мс для прогрітого кешу; не більше 1% помилок; 0 незапущених запитів</w:t>
            </w:r>
          </w:p>
        </w:tc>
        <w:tc>
          <w:tcPr>
            <w:tcW w:type="dxa" w:w="5616"/>
            <w:shd w:fill="FFFFFF"/>
            <w:tcMar>
              <w:top w:w="85" w:type="dxa"/>
              <w:left w:w="85" w:type="dxa"/>
              <w:bottom w:w="85" w:type="dxa"/>
              <w:right w:w="85" w:type="dxa"/>
            </w:tcMar>
            <w:vAlign w:val="center"/>
          </w:tcPr>
          <w:p>
            <w:pPr>
              <w:spacing w:after="40" w:line="252" w:lineRule="auto"/>
            </w:pPr>
            <w:r>
              <w:rPr>
                <w:b w:val="0"/>
                <w:sz w:val="20"/>
              </w:rPr>
              <w:t>Окремий навантажувальний прогін публічних API usage і sales; звіт із p95 та часткою помилок</w:t>
            </w:r>
          </w:p>
        </w:tc>
      </w:tr>
      <w:tr>
        <w:trPr/>
        <w:tc>
          <w:tcPr>
            <w:tcW w:type="dxa" w:w="1152"/>
            <w:shd w:fill="F5F7F9"/>
            <w:tcMar>
              <w:top w:w="85" w:type="dxa"/>
              <w:left w:w="85" w:type="dxa"/>
              <w:bottom w:w="85" w:type="dxa"/>
              <w:right w:w="85" w:type="dxa"/>
            </w:tcMar>
            <w:vAlign w:val="center"/>
          </w:tcPr>
          <w:p>
            <w:pPr>
              <w:spacing w:after="40" w:line="252" w:lineRule="auto"/>
            </w:pPr>
            <w:r>
              <w:rPr>
                <w:b w:val="0"/>
                <w:sz w:val="20"/>
              </w:rPr>
              <w:t>NFR-02</w:t>
            </w:r>
          </w:p>
        </w:tc>
        <w:tc>
          <w:tcPr>
            <w:tcW w:type="dxa" w:w="2160"/>
            <w:shd w:fill="F5F7F9"/>
            <w:tcMar>
              <w:top w:w="85" w:type="dxa"/>
              <w:left w:w="85" w:type="dxa"/>
              <w:bottom w:w="85" w:type="dxa"/>
              <w:right w:w="85" w:type="dxa"/>
            </w:tcMar>
            <w:vAlign w:val="center"/>
          </w:tcPr>
          <w:p>
            <w:pPr>
              <w:spacing w:after="40" w:line="252" w:lineRule="auto"/>
            </w:pPr>
            <w:r>
              <w:rPr>
                <w:b w:val="0"/>
                <w:sz w:val="20"/>
              </w:rPr>
              <w:t>Внутрішні операції API</w:t>
            </w:r>
          </w:p>
        </w:tc>
        <w:tc>
          <w:tcPr>
            <w:tcW w:type="dxa" w:w="5040"/>
            <w:shd w:fill="F5F7F9"/>
            <w:tcMar>
              <w:top w:w="85" w:type="dxa"/>
              <w:left w:w="85" w:type="dxa"/>
              <w:bottom w:w="85" w:type="dxa"/>
              <w:right w:w="85" w:type="dxa"/>
            </w:tcMar>
            <w:vAlign w:val="center"/>
          </w:tcPr>
          <w:p>
            <w:pPr>
              <w:spacing w:after="40" w:line="252" w:lineRule="auto"/>
            </w:pPr>
            <w:r>
              <w:rPr>
                <w:b w:val="0"/>
                <w:sz w:val="20"/>
              </w:rPr>
              <w:t>50 RPS протягом 600 с; p95 ≤500 мс; не більше 1% помилок; 0 незапущених запитів</w:t>
            </w:r>
          </w:p>
        </w:tc>
        <w:tc>
          <w:tcPr>
            <w:tcW w:type="dxa" w:w="5616"/>
            <w:shd w:fill="F5F7F9"/>
            <w:tcMar>
              <w:top w:w="85" w:type="dxa"/>
              <w:left w:w="85" w:type="dxa"/>
              <w:bottom w:w="85" w:type="dxa"/>
              <w:right w:w="85" w:type="dxa"/>
            </w:tcMar>
            <w:vAlign w:val="center"/>
          </w:tcPr>
          <w:p>
            <w:pPr>
              <w:spacing w:after="40" w:line="252" w:lineRule="auto"/>
            </w:pPr>
            <w:r>
              <w:rPr>
                <w:b w:val="0"/>
                <w:sz w:val="20"/>
              </w:rPr>
              <w:t>Профіль читання особистого стану й перевірки ліцензії на синтетичних облікових записах; зовнішні провайдери виключені</w:t>
            </w:r>
          </w:p>
        </w:tc>
      </w:tr>
      <w:tr>
        <w:trPr/>
        <w:tc>
          <w:tcPr>
            <w:tcW w:type="dxa" w:w="1152"/>
            <w:shd w:fill="FFFFFF"/>
            <w:tcMar>
              <w:top w:w="85" w:type="dxa"/>
              <w:left w:w="85" w:type="dxa"/>
              <w:bottom w:w="85" w:type="dxa"/>
              <w:right w:w="85" w:type="dxa"/>
            </w:tcMar>
            <w:vAlign w:val="center"/>
          </w:tcPr>
          <w:p>
            <w:pPr>
              <w:spacing w:after="40" w:line="252" w:lineRule="auto"/>
            </w:pPr>
            <w:r>
              <w:rPr>
                <w:b w:val="0"/>
                <w:sz w:val="20"/>
              </w:rPr>
              <w:t>NFR-03</w:t>
            </w:r>
          </w:p>
        </w:tc>
        <w:tc>
          <w:tcPr>
            <w:tcW w:type="dxa" w:w="2160"/>
            <w:shd w:fill="FFFFFF"/>
            <w:tcMar>
              <w:top w:w="85" w:type="dxa"/>
              <w:left w:w="85" w:type="dxa"/>
              <w:bottom w:w="85" w:type="dxa"/>
              <w:right w:w="85" w:type="dxa"/>
            </w:tcMar>
            <w:vAlign w:val="center"/>
          </w:tcPr>
          <w:p>
            <w:pPr>
              <w:spacing w:after="40" w:line="252" w:lineRule="auto"/>
            </w:pPr>
            <w:r>
              <w:rPr>
                <w:b w:val="0"/>
                <w:sz w:val="20"/>
              </w:rPr>
              <w:t>Генерація файлу</w:t>
            </w:r>
          </w:p>
        </w:tc>
        <w:tc>
          <w:tcPr>
            <w:tcW w:type="dxa" w:w="5040"/>
            <w:shd w:fill="FFFFFF"/>
            <w:tcMar>
              <w:top w:w="85" w:type="dxa"/>
              <w:left w:w="85" w:type="dxa"/>
              <w:bottom w:w="85" w:type="dxa"/>
              <w:right w:w="85" w:type="dxa"/>
            </w:tcMar>
            <w:vAlign w:val="center"/>
          </w:tcPr>
          <w:p>
            <w:pPr>
              <w:spacing w:after="40" w:line="252" w:lineRule="auto"/>
            </w:pPr>
            <w:r>
              <w:rPr>
                <w:b w:val="0"/>
                <w:sz w:val="20"/>
              </w:rPr>
              <w:t>p95 часу отримання посилання ≤30 с для 20 послідовних тестових збірок; очікування reply від брокера обмежене 30 с</w:t>
            </w:r>
          </w:p>
        </w:tc>
        <w:tc>
          <w:tcPr>
            <w:tcW w:type="dxa" w:w="5616"/>
            <w:shd w:fill="FFFFFF"/>
            <w:tcMar>
              <w:top w:w="85" w:type="dxa"/>
              <w:left w:w="85" w:type="dxa"/>
              <w:bottom w:w="85" w:type="dxa"/>
              <w:right w:w="85" w:type="dxa"/>
            </w:tcMar>
            <w:vAlign w:val="center"/>
          </w:tcPr>
          <w:p>
            <w:pPr>
              <w:spacing w:after="40" w:line="252" w:lineRule="auto"/>
            </w:pPr>
            <w:r>
              <w:rPr>
                <w:b w:val="0"/>
                <w:sz w:val="20"/>
              </w:rPr>
              <w:t>Вимірювання штатних збірок окремо від навантаження API; вимкнення consumer має завершувати очікування контрольованою помилкою</w:t>
            </w:r>
          </w:p>
        </w:tc>
      </w:tr>
      <w:tr>
        <w:trPr/>
        <w:tc>
          <w:tcPr>
            <w:tcW w:type="dxa" w:w="1152"/>
            <w:shd w:fill="F5F7F9"/>
            <w:tcMar>
              <w:top w:w="85" w:type="dxa"/>
              <w:left w:w="85" w:type="dxa"/>
              <w:bottom w:w="85" w:type="dxa"/>
              <w:right w:w="85" w:type="dxa"/>
            </w:tcMar>
            <w:vAlign w:val="center"/>
          </w:tcPr>
          <w:p>
            <w:pPr>
              <w:spacing w:after="40" w:line="252" w:lineRule="auto"/>
            </w:pPr>
            <w:r>
              <w:rPr>
                <w:b w:val="0"/>
                <w:sz w:val="20"/>
              </w:rPr>
              <w:t>NFR-04</w:t>
            </w:r>
          </w:p>
        </w:tc>
        <w:tc>
          <w:tcPr>
            <w:tcW w:type="dxa" w:w="2160"/>
            <w:shd w:fill="F5F7F9"/>
            <w:tcMar>
              <w:top w:w="85" w:type="dxa"/>
              <w:left w:w="85" w:type="dxa"/>
              <w:bottom w:w="85" w:type="dxa"/>
              <w:right w:w="85" w:type="dxa"/>
            </w:tcMar>
            <w:vAlign w:val="center"/>
          </w:tcPr>
          <w:p>
            <w:pPr>
              <w:spacing w:after="40" w:line="252" w:lineRule="auto"/>
            </w:pPr>
            <w:r>
              <w:rPr>
                <w:b w:val="0"/>
                <w:sz w:val="20"/>
              </w:rPr>
              <w:t>Кеш та масштабування читання</w:t>
            </w:r>
          </w:p>
        </w:tc>
        <w:tc>
          <w:tcPr>
            <w:tcW w:type="dxa" w:w="5040"/>
            <w:shd w:fill="F5F7F9"/>
            <w:tcMar>
              <w:top w:w="85" w:type="dxa"/>
              <w:left w:w="85" w:type="dxa"/>
              <w:bottom w:w="85" w:type="dxa"/>
              <w:right w:w="85" w:type="dxa"/>
            </w:tcMar>
            <w:vAlign w:val="center"/>
          </w:tcPr>
          <w:p>
            <w:pPr>
              <w:spacing w:after="40" w:line="252" w:lineRule="auto"/>
            </w:pPr>
            <w:r>
              <w:rPr>
                <w:b w:val="0"/>
                <w:sz w:val="20"/>
              </w:rPr>
              <w:t>Свіжість 300 с, граничний кеш 86400 с; не більше 1 одночасного оновлення набору при 20 конкурентних зверненнях</w:t>
            </w:r>
          </w:p>
        </w:tc>
        <w:tc>
          <w:tcPr>
            <w:tcW w:type="dxa" w:w="5616"/>
            <w:shd w:fill="F5F7F9"/>
            <w:tcMar>
              <w:top w:w="85" w:type="dxa"/>
              <w:left w:w="85" w:type="dxa"/>
              <w:bottom w:w="85" w:type="dxa"/>
              <w:right w:w="85" w:type="dxa"/>
            </w:tcMar>
            <w:vAlign w:val="center"/>
          </w:tcPr>
          <w:p>
            <w:pPr>
              <w:spacing w:after="40" w:line="252" w:lineRule="auto"/>
            </w:pPr>
            <w:r>
              <w:rPr>
                <w:b w:val="0"/>
                <w:sz w:val="20"/>
              </w:rPr>
              <w:t>Перевірка fresh/stale/cold, блокування та звільнення lock; за холодного кешу очікування конкурентного запиту ≤4 с, потім 503 з Retry-After: 2</w:t>
            </w:r>
          </w:p>
        </w:tc>
      </w:tr>
      <w:tr>
        <w:trPr/>
        <w:tc>
          <w:tcPr>
            <w:tcW w:type="dxa" w:w="1152"/>
            <w:shd w:fill="FFFFFF"/>
            <w:tcMar>
              <w:top w:w="85" w:type="dxa"/>
              <w:left w:w="85" w:type="dxa"/>
              <w:bottom w:w="85" w:type="dxa"/>
              <w:right w:w="85" w:type="dxa"/>
            </w:tcMar>
            <w:vAlign w:val="center"/>
          </w:tcPr>
          <w:p>
            <w:pPr>
              <w:spacing w:after="40" w:line="252" w:lineRule="auto"/>
            </w:pPr>
            <w:r>
              <w:rPr>
                <w:b w:val="0"/>
                <w:sz w:val="20"/>
              </w:rPr>
              <w:t>NFR-05</w:t>
            </w:r>
          </w:p>
        </w:tc>
        <w:tc>
          <w:tcPr>
            <w:tcW w:type="dxa" w:w="2160"/>
            <w:shd w:fill="FFFFFF"/>
            <w:tcMar>
              <w:top w:w="85" w:type="dxa"/>
              <w:left w:w="85" w:type="dxa"/>
              <w:bottom w:w="85" w:type="dxa"/>
              <w:right w:w="85" w:type="dxa"/>
            </w:tcMar>
            <w:vAlign w:val="center"/>
          </w:tcPr>
          <w:p>
            <w:pPr>
              <w:spacing w:after="40" w:line="252" w:lineRule="auto"/>
            </w:pPr>
            <w:r>
              <w:rPr>
                <w:b w:val="0"/>
                <w:sz w:val="20"/>
              </w:rPr>
              <w:t>Автентифікація та доступ</w:t>
            </w:r>
          </w:p>
        </w:tc>
        <w:tc>
          <w:tcPr>
            <w:tcW w:type="dxa" w:w="5040"/>
            <w:shd w:fill="FFFFFF"/>
            <w:tcMar>
              <w:top w:w="85" w:type="dxa"/>
              <w:left w:w="85" w:type="dxa"/>
              <w:bottom w:w="85" w:type="dxa"/>
              <w:right w:w="85" w:type="dxa"/>
            </w:tcMar>
            <w:vAlign w:val="center"/>
          </w:tcPr>
          <w:p>
            <w:pPr>
              <w:spacing w:after="40" w:line="252" w:lineRule="auto"/>
            </w:pPr>
            <w:r>
              <w:rPr>
                <w:b w:val="0"/>
                <w:sz w:val="20"/>
              </w:rPr>
              <w:t>TLS ≥1.2 на публічній межі; перевірка підписаного access JWT; 0 успішних доступів до чужих ліцензій/пристроїв у 100 негативних перевірках</w:t>
            </w:r>
          </w:p>
        </w:tc>
        <w:tc>
          <w:tcPr>
            <w:tcW w:type="dxa" w:w="5616"/>
            <w:shd w:fill="FFFFFF"/>
            <w:tcMar>
              <w:top w:w="85" w:type="dxa"/>
              <w:left w:w="85" w:type="dxa"/>
              <w:bottom w:w="85" w:type="dxa"/>
              <w:right w:w="85" w:type="dxa"/>
            </w:tcMar>
            <w:vAlign w:val="center"/>
          </w:tcPr>
          <w:p>
            <w:pPr>
              <w:spacing w:after="40" w:line="252" w:lineRule="auto"/>
            </w:pPr>
            <w:r>
              <w:rPr>
                <w:b w:val="0"/>
                <w:sz w:val="20"/>
              </w:rPr>
              <w:t>Перевірка Telegram-підпису або Mini App initData, Discord OAuth2, підробленого/простроченого JWT та object ownership; повтор refresh після ротації відхиляється</w:t>
            </w:r>
          </w:p>
        </w:tc>
      </w:tr>
      <w:tr>
        <w:trPr/>
        <w:tc>
          <w:tcPr>
            <w:tcW w:type="dxa" w:w="1152"/>
            <w:shd w:fill="F5F7F9"/>
            <w:tcMar>
              <w:top w:w="85" w:type="dxa"/>
              <w:left w:w="85" w:type="dxa"/>
              <w:bottom w:w="85" w:type="dxa"/>
              <w:right w:w="85" w:type="dxa"/>
            </w:tcMar>
            <w:vAlign w:val="center"/>
          </w:tcPr>
          <w:p>
            <w:pPr>
              <w:spacing w:after="40" w:line="252" w:lineRule="auto"/>
            </w:pPr>
            <w:r>
              <w:rPr>
                <w:b w:val="0"/>
                <w:sz w:val="20"/>
              </w:rPr>
              <w:t>NFR-06</w:t>
            </w:r>
          </w:p>
        </w:tc>
        <w:tc>
          <w:tcPr>
            <w:tcW w:type="dxa" w:w="2160"/>
            <w:shd w:fill="F5F7F9"/>
            <w:tcMar>
              <w:top w:w="85" w:type="dxa"/>
              <w:left w:w="85" w:type="dxa"/>
              <w:bottom w:w="85" w:type="dxa"/>
              <w:right w:w="85" w:type="dxa"/>
            </w:tcMar>
            <w:vAlign w:val="center"/>
          </w:tcPr>
          <w:p>
            <w:pPr>
              <w:spacing w:after="40" w:line="252" w:lineRule="auto"/>
            </w:pPr>
            <w:r>
              <w:rPr>
                <w:b w:val="0"/>
                <w:sz w:val="20"/>
              </w:rPr>
              <w:t>Захист публічних даних</w:t>
            </w:r>
          </w:p>
        </w:tc>
        <w:tc>
          <w:tcPr>
            <w:tcW w:type="dxa" w:w="5040"/>
            <w:shd w:fill="F5F7F9"/>
            <w:tcMar>
              <w:top w:w="85" w:type="dxa"/>
              <w:left w:w="85" w:type="dxa"/>
              <w:bottom w:w="85" w:type="dxa"/>
              <w:right w:w="85" w:type="dxa"/>
            </w:tcMar>
            <w:vAlign w:val="center"/>
          </w:tcPr>
          <w:p>
            <w:pPr>
              <w:spacing w:after="40" w:line="252" w:lineRule="auto"/>
            </w:pPr>
            <w:r>
              <w:rPr>
                <w:b w:val="0"/>
                <w:sz w:val="20"/>
              </w:rPr>
              <w:t>0 сирих ліцензійних ключів, Telegram/Discord ID і HWID у 100 вибіркових відповідях публічної статистики</w:t>
            </w:r>
          </w:p>
        </w:tc>
        <w:tc>
          <w:tcPr>
            <w:tcW w:type="dxa" w:w="5616"/>
            <w:shd w:fill="F5F7F9"/>
            <w:tcMar>
              <w:top w:w="85" w:type="dxa"/>
              <w:left w:w="85" w:type="dxa"/>
              <w:bottom w:w="85" w:type="dxa"/>
              <w:right w:w="85" w:type="dxa"/>
            </w:tcMar>
            <w:vAlign w:val="center"/>
          </w:tcPr>
          <w:p>
            <w:pPr>
              <w:spacing w:after="40" w:line="252" w:lineRule="auto"/>
            </w:pPr>
            <w:r>
              <w:rPr>
                <w:b w:val="0"/>
                <w:sz w:val="20"/>
              </w:rPr>
              <w:t>Контрактні перевірки JSON і вибірки наборів даних; журналювання не повинно містити access/refresh-токенів або секретів інтеграцій</w:t>
            </w:r>
          </w:p>
        </w:tc>
      </w:tr>
      <w:tr>
        <w:trPr/>
        <w:tc>
          <w:tcPr>
            <w:tcW w:type="dxa" w:w="1152"/>
            <w:shd w:fill="FFFFFF"/>
            <w:tcMar>
              <w:top w:w="85" w:type="dxa"/>
              <w:left w:w="85" w:type="dxa"/>
              <w:bottom w:w="85" w:type="dxa"/>
              <w:right w:w="85" w:type="dxa"/>
            </w:tcMar>
            <w:vAlign w:val="center"/>
          </w:tcPr>
          <w:p>
            <w:pPr>
              <w:spacing w:after="40" w:line="252" w:lineRule="auto"/>
            </w:pPr>
            <w:r>
              <w:rPr>
                <w:b w:val="0"/>
                <w:sz w:val="20"/>
              </w:rPr>
              <w:t>NFR-07</w:t>
            </w:r>
          </w:p>
        </w:tc>
        <w:tc>
          <w:tcPr>
            <w:tcW w:type="dxa" w:w="2160"/>
            <w:shd w:fill="FFFFFF"/>
            <w:tcMar>
              <w:top w:w="85" w:type="dxa"/>
              <w:left w:w="85" w:type="dxa"/>
              <w:bottom w:w="85" w:type="dxa"/>
              <w:right w:w="85" w:type="dxa"/>
            </w:tcMar>
            <w:vAlign w:val="center"/>
          </w:tcPr>
          <w:p>
            <w:pPr>
              <w:spacing w:after="40" w:line="252" w:lineRule="auto"/>
            </w:pPr>
            <w:r>
              <w:rPr>
                <w:b w:val="0"/>
                <w:sz w:val="20"/>
              </w:rPr>
              <w:t>Узгодженість правил</w:t>
            </w:r>
          </w:p>
        </w:tc>
        <w:tc>
          <w:tcPr>
            <w:tcW w:type="dxa" w:w="5040"/>
            <w:shd w:fill="FFFFFF"/>
            <w:tcMar>
              <w:top w:w="85" w:type="dxa"/>
              <w:left w:w="85" w:type="dxa"/>
              <w:bottom w:w="85" w:type="dxa"/>
              <w:right w:w="85" w:type="dxa"/>
            </w:tcMar>
            <w:vAlign w:val="center"/>
          </w:tcPr>
          <w:p>
            <w:pPr>
              <w:spacing w:after="40" w:line="252" w:lineRule="auto"/>
            </w:pPr>
            <w:r>
              <w:rPr>
                <w:b w:val="0"/>
                <w:sz w:val="20"/>
              </w:rPr>
              <w:t>0 подвійних активацій одного ключа на різних власників у 20 конкурентних спробах; 0 перевищень налаштованого ліміту пристроїв</w:t>
            </w:r>
          </w:p>
        </w:tc>
        <w:tc>
          <w:tcPr>
            <w:tcW w:type="dxa" w:w="5616"/>
            <w:shd w:fill="FFFFFF"/>
            <w:tcMar>
              <w:top w:w="85" w:type="dxa"/>
              <w:left w:w="85" w:type="dxa"/>
              <w:bottom w:w="85" w:type="dxa"/>
              <w:right w:w="85" w:type="dxa"/>
            </w:tcMar>
            <w:vAlign w:val="center"/>
          </w:tcPr>
          <w:p>
            <w:pPr>
              <w:spacing w:after="40" w:line="252" w:lineRule="auto"/>
            </w:pPr>
            <w:r>
              <w:rPr>
                <w:b w:val="0"/>
                <w:sz w:val="20"/>
              </w:rPr>
              <w:t>Інтеграційний тест із PostgreSQL, а не лише SQLite; перевірка стану БД після одночасних операцій та повторних запитів</w:t>
            </w:r>
          </w:p>
        </w:tc>
      </w:tr>
      <w:tr>
        <w:trPr/>
        <w:tc>
          <w:tcPr>
            <w:tcW w:type="dxa" w:w="1152"/>
            <w:shd w:fill="F5F7F9"/>
            <w:tcMar>
              <w:top w:w="85" w:type="dxa"/>
              <w:left w:w="85" w:type="dxa"/>
              <w:bottom w:w="85" w:type="dxa"/>
              <w:right w:w="85" w:type="dxa"/>
            </w:tcMar>
            <w:vAlign w:val="center"/>
          </w:tcPr>
          <w:p>
            <w:pPr>
              <w:spacing w:after="40" w:line="252" w:lineRule="auto"/>
            </w:pPr>
            <w:r>
              <w:rPr>
                <w:b w:val="0"/>
                <w:sz w:val="20"/>
              </w:rPr>
              <w:t>NFR-08</w:t>
            </w:r>
          </w:p>
        </w:tc>
        <w:tc>
          <w:tcPr>
            <w:tcW w:type="dxa" w:w="2160"/>
            <w:shd w:fill="F5F7F9"/>
            <w:tcMar>
              <w:top w:w="85" w:type="dxa"/>
              <w:left w:w="85" w:type="dxa"/>
              <w:bottom w:w="85" w:type="dxa"/>
              <w:right w:w="85" w:type="dxa"/>
            </w:tcMar>
            <w:vAlign w:val="center"/>
          </w:tcPr>
          <w:p>
            <w:pPr>
              <w:spacing w:after="40" w:line="252" w:lineRule="auto"/>
            </w:pPr>
            <w:r>
              <w:rPr>
                <w:b w:val="0"/>
                <w:sz w:val="20"/>
              </w:rPr>
              <w:t>Відмови залежностей</w:t>
            </w:r>
          </w:p>
        </w:tc>
        <w:tc>
          <w:tcPr>
            <w:tcW w:type="dxa" w:w="5040"/>
            <w:shd w:fill="F5F7F9"/>
            <w:tcMar>
              <w:top w:w="85" w:type="dxa"/>
              <w:left w:w="85" w:type="dxa"/>
              <w:bottom w:w="85" w:type="dxa"/>
              <w:right w:w="85" w:type="dxa"/>
            </w:tcMar>
            <w:vAlign w:val="center"/>
          </w:tcPr>
          <w:p>
            <w:pPr>
              <w:spacing w:after="40" w:line="252" w:lineRule="auto"/>
            </w:pPr>
            <w:r>
              <w:rPr>
                <w:b w:val="0"/>
                <w:sz w:val="20"/>
              </w:rPr>
              <w:t>0 виданих VIP-посилань при забороненій ліцензії; 0 безмежних очікувань у сценаріях відмов RabbitMQ, Redis і зовнішнього провайдера</w:t>
            </w:r>
          </w:p>
        </w:tc>
        <w:tc>
          <w:tcPr>
            <w:tcW w:type="dxa" w:w="5616"/>
            <w:shd w:fill="F5F7F9"/>
            <w:tcMar>
              <w:top w:w="85" w:type="dxa"/>
              <w:left w:w="85" w:type="dxa"/>
              <w:bottom w:w="85" w:type="dxa"/>
              <w:right w:w="85" w:type="dxa"/>
            </w:tcMar>
            <w:vAlign w:val="center"/>
          </w:tcPr>
          <w:p>
            <w:pPr>
              <w:spacing w:after="40" w:line="252" w:lineRule="auto"/>
            </w:pPr>
            <w:r>
              <w:rPr>
                <w:b w:val="0"/>
                <w:sz w:val="20"/>
              </w:rPr>
              <w:t>Fault injection: недоступний broker/consumer, помилка кешу та відмова входу; при втраті Redis допускається fallback у БД, але не заявляється збереження NFR-01</w:t>
            </w:r>
          </w:p>
        </w:tc>
      </w:tr>
      <w:tr>
        <w:trPr/>
        <w:tc>
          <w:tcPr>
            <w:tcW w:type="dxa" w:w="1152"/>
            <w:shd w:fill="FFFFFF"/>
            <w:tcMar>
              <w:top w:w="85" w:type="dxa"/>
              <w:left w:w="85" w:type="dxa"/>
              <w:bottom w:w="85" w:type="dxa"/>
              <w:right w:w="85" w:type="dxa"/>
            </w:tcMar>
            <w:vAlign w:val="center"/>
          </w:tcPr>
          <w:p>
            <w:pPr>
              <w:spacing w:after="40" w:line="252" w:lineRule="auto"/>
            </w:pPr>
            <w:r>
              <w:rPr>
                <w:b w:val="0"/>
                <w:sz w:val="20"/>
              </w:rPr>
              <w:t>NFR-09</w:t>
            </w:r>
          </w:p>
        </w:tc>
        <w:tc>
          <w:tcPr>
            <w:tcW w:type="dxa" w:w="2160"/>
            <w:shd w:fill="FFFFFF"/>
            <w:tcMar>
              <w:top w:w="85" w:type="dxa"/>
              <w:left w:w="85" w:type="dxa"/>
              <w:bottom w:w="85" w:type="dxa"/>
              <w:right w:w="85" w:type="dxa"/>
            </w:tcMar>
            <w:vAlign w:val="center"/>
          </w:tcPr>
          <w:p>
            <w:pPr>
              <w:spacing w:after="40" w:line="252" w:lineRule="auto"/>
            </w:pPr>
            <w:r>
              <w:rPr>
                <w:b w:val="0"/>
                <w:sz w:val="20"/>
              </w:rPr>
              <w:t>Життєвий цикл файлів</w:t>
            </w:r>
          </w:p>
        </w:tc>
        <w:tc>
          <w:tcPr>
            <w:tcW w:type="dxa" w:w="5040"/>
            <w:shd w:fill="FFFFFF"/>
            <w:tcMar>
              <w:top w:w="85" w:type="dxa"/>
              <w:left w:w="85" w:type="dxa"/>
              <w:bottom w:w="85" w:type="dxa"/>
              <w:right w:w="85" w:type="dxa"/>
            </w:tcMar>
            <w:vAlign w:val="center"/>
          </w:tcPr>
          <w:p>
            <w:pPr>
              <w:spacing w:after="40" w:line="252" w:lineRule="auto"/>
            </w:pPr>
            <w:r>
              <w:rPr>
                <w:b w:val="0"/>
                <w:sz w:val="20"/>
              </w:rPr>
              <w:t>Очищення після відповіді згідно з типом завантаження; фоновий sweep кожні 3600 с видаляє покинуті файли віком понад 3600 с</w:t>
            </w:r>
          </w:p>
        </w:tc>
        <w:tc>
          <w:tcPr>
            <w:tcW w:type="dxa" w:w="5616"/>
            <w:shd w:fill="FFFFFF"/>
            <w:tcMar>
              <w:top w:w="85" w:type="dxa"/>
              <w:left w:w="85" w:type="dxa"/>
              <w:bottom w:w="85" w:type="dxa"/>
              <w:right w:w="85" w:type="dxa"/>
            </w:tcMar>
            <w:vAlign w:val="center"/>
          </w:tcPr>
          <w:p>
            <w:pPr>
              <w:spacing w:after="40" w:line="252" w:lineRule="auto"/>
            </w:pPr>
            <w:r>
              <w:rPr>
                <w:b w:val="0"/>
                <w:sz w:val="20"/>
              </w:rPr>
              <w:t>Тести Lua/EXE/marker-файлів; за працюючого worker граничний вік покинутого файлу &lt;7200 с плюс час одного sweep; шаблони не видаляються</w:t>
            </w:r>
          </w:p>
        </w:tc>
      </w:tr>
      <w:tr>
        <w:trPr/>
        <w:tc>
          <w:tcPr>
            <w:tcW w:type="dxa" w:w="1152"/>
            <w:shd w:fill="F5F7F9"/>
            <w:tcMar>
              <w:top w:w="85" w:type="dxa"/>
              <w:left w:w="85" w:type="dxa"/>
              <w:bottom w:w="85" w:type="dxa"/>
              <w:right w:w="85" w:type="dxa"/>
            </w:tcMar>
            <w:vAlign w:val="center"/>
          </w:tcPr>
          <w:p>
            <w:pPr>
              <w:spacing w:after="40" w:line="252" w:lineRule="auto"/>
            </w:pPr>
            <w:r>
              <w:rPr>
                <w:b w:val="0"/>
                <w:sz w:val="20"/>
              </w:rPr>
              <w:t>NFR-10</w:t>
            </w:r>
          </w:p>
        </w:tc>
        <w:tc>
          <w:tcPr>
            <w:tcW w:type="dxa" w:w="2160"/>
            <w:shd w:fill="F5F7F9"/>
            <w:tcMar>
              <w:top w:w="85" w:type="dxa"/>
              <w:left w:w="85" w:type="dxa"/>
              <w:bottom w:w="85" w:type="dxa"/>
              <w:right w:w="85" w:type="dxa"/>
            </w:tcMar>
            <w:vAlign w:val="center"/>
          </w:tcPr>
          <w:p>
            <w:pPr>
              <w:spacing w:after="40" w:line="252" w:lineRule="auto"/>
            </w:pPr>
            <w:r>
              <w:rPr>
                <w:b w:val="0"/>
                <w:sz w:val="20"/>
              </w:rPr>
              <w:t>Відновлення й розгортання</w:t>
            </w:r>
          </w:p>
        </w:tc>
        <w:tc>
          <w:tcPr>
            <w:tcW w:type="dxa" w:w="5040"/>
            <w:shd w:fill="F5F7F9"/>
            <w:tcMar>
              <w:top w:w="85" w:type="dxa"/>
              <w:left w:w="85" w:type="dxa"/>
              <w:bottom w:w="85" w:type="dxa"/>
              <w:right w:w="85" w:type="dxa"/>
            </w:tcMar>
            <w:vAlign w:val="center"/>
          </w:tcPr>
          <w:p>
            <w:pPr>
              <w:spacing w:after="40" w:line="252" w:lineRule="auto"/>
            </w:pPr>
            <w:r>
              <w:rPr>
                <w:b w:val="0"/>
                <w:sz w:val="20"/>
              </w:rPr>
              <w:t>Відтворюваний Compose-запуск; резервна копія 3 PostgreSQL-БД не рідше 1 разу на 24 год; цільові RPO ≤24 год, RTO ≤4 год</w:t>
            </w:r>
          </w:p>
        </w:tc>
        <w:tc>
          <w:tcPr>
            <w:tcW w:type="dxa" w:w="5616"/>
            <w:shd w:fill="F5F7F9"/>
            <w:tcMar>
              <w:top w:w="85" w:type="dxa"/>
              <w:left w:w="85" w:type="dxa"/>
              <w:bottom w:w="85" w:type="dxa"/>
              <w:right w:w="85" w:type="dxa"/>
            </w:tcMar>
            <w:vAlign w:val="center"/>
          </w:tcPr>
          <w:p>
            <w:pPr>
              <w:spacing w:after="40" w:line="252" w:lineRule="auto"/>
            </w:pPr>
            <w:r>
              <w:rPr>
                <w:b w:val="0"/>
                <w:sz w:val="20"/>
              </w:rPr>
              <w:t>Протокол контрольованого backup/restore на тестовому стенді; Redis відновлюється як кеш; однохостова схема не заявляється як High Availability</w:t>
            </w:r>
          </w:p>
        </w:tc>
      </w:tr>
    </w:tbl>
    <w:p>
      <w:pPr>
        <w:sectPr>
          <w:pgSz w:w="15840" w:h="12240" w:orient="landscape"/>
          <w:pgMar w:top="936" w:right="936" w:bottom="936" w:left="936" w:header="720" w:footer="720" w:gutter="0"/>
          <w:cols w:space="720"/>
          <w:docGrid w:linePitch="360"/>
        </w:sectPr>
      </w:pPr>
    </w:p>
    <w:p>
      <w:r>
        <w:t>Показники резервування NFR-10 визначають ціль організації експлуатації: налаштування та перевірка backup/restore мають бути задокументовані окремо; наявність Docker volume не є резервною копією. Масштабування у цій роботі обмежується розмежуванням компонентів і зниженням повторного аналітичного навантаження через кеш. Кластер PostgreSQL, Kubernetes, Kafka, глобальна ACID-транзакція між сервісами та SLA 99.99% до вимог не включаються. Відсутність вимірювань або незавершений тест не дозволяє позначати NFR як виконану.</w:t>
      </w:r>
    </w:p>
    <w:p>
      <w:pPr>
        <w:pStyle w:val="Heading2"/>
      </w:pPr>
      <w:r>
        <w:t>Постановка задачі</w:t>
      </w:r>
    </w:p>
    <w:p>
      <w:r>
        <w:t>Таким чином, метою кваліфікаційної роботи є проєктування та розробка micro-SaaS-платформи на основі мікросервісної архітектури для вирішення задачі представлення, розповсюдження, ліцензування та аналітики готового цифрового freemium-продукту. Передбачено вебінтерфейс, єдині облікові записи Telegram/Discord, керування ключами, підписками й пристроями, персоналізовану видачу файлів через REST/AMQP та відкриті агрегати використання і продажів. Рішення має зберігати погоджені правила попередньої VIP-системи, розмежовувати дані сервісів у PostgreSQL та відповідати визначеним критеріям продуктивності, доступу й відновлення без включення розроблення самого ігрового помічника до меж проєкту.</w:t>
      </w:r>
    </w:p>
    <w:p>
      <w:pPr>
        <w:pStyle w:val="Heading1"/>
      </w:pPr>
      <w:r>
        <w:t>Висновки до розділу 1</w:t>
      </w:r>
    </w:p>
    <w:p>
      <w:r>
        <w:t>У результаті аналізу предметної області та готових рішень встановлено потребу в окремій інфраструктурі одного цифрового freemium-продукту. ProMod підтверджує застосування клієнт-серверної доставки модифікацій, WOTInspector — версіонованого API ігрових даних, а Freemius — керування ліцензіями через API й події та відокремленого аналітичного оброблення. Задокументовані попередні API timeouts Freemius пов’язано з прямими запитами до БД, а не з універсальною неефективністю REST чи моноліту. Для системи замовника обмеження визначено відсутністю вебкабінету, автоматизованих правил пристроїв і контуру аналітики використання; непідтверджених показників продуктивності не наведено.</w:t>
      </w:r>
    </w:p>
    <w:p>
      <w:r>
        <w:t>Для цільової моделі обґрунтовано розмежування обліку користувачів, ліцензування, телеметрії та підготовки файлів у FastAPI-сервісах із власними PostgreSQL-сховищами для перших трьох компонентів. RabbitMQ передбачено для команд і request/reply, Redis — для відновлюваного кешу агрегатів, React — для публічних сценаріїв та персонального кабінету. Збереження формату ключів і пов’язаних Telegram/Discord-ідентичностей забезпечує функціональну сумісність із вихідними правилами; пряме перенесення всього коду моноліту не є вимогою. Компромісом є потреба контролювати мережеві відмови, повторні запити та узгодженість локальних станів.</w:t>
      </w:r>
    </w:p>
    <w:p>
      <w:r>
        <w:t>Сформовано вісім функціональних вимог і десять NFR з визначеними способами перевірки. Для профілів API погоджено навантаження 50 RPS протягом 600 секунд та межі p95 300/500 мс із явно визначеними виключеннями; окремо задано 30-секундний сценарій генерації файлу. Також зафіксовано критерії контролю власника, квот пристроїв, публічних даних, конкурентного оновлення кешу й backup/restore. Ці значення становлять план приймання, а не свідчення завершених вимірювань. Вимоги утворюють простежуваний перехід від процесів As-Is до перевірюваного стану To-Be без введення непотрібних кластерних технологій.</w:t>
      </w:r>
    </w:p>
    <w:p>
      <w:r>
        <w:t>Отримані результати визначають зміст наступних етапів: у Розділі 2 належить обґрунтувати межі сервісів, структуру даних, контракти REST/AMQP та послідовності активації, перевірки доступу й доставки файлів; у Розділі 3 — описати реалізацію та перевірити вимоги на відтворюваному стенді. Підсумком перевірки мають стати протоколи штатних, негативних, конкурентних і аварійних сценаріїв із зазначенням отриманих значень та обмежень. Таким чином аналітичний розділ задає вхідні умови для проєктування й оцінювання платформи, не підмінюючи результати її подальшої реалізації.</w:t>
      </w:r>
    </w:p>
    <w:p>
      <w:pPr>
        <w:pStyle w:val="Heading1"/>
      </w:pPr>
      <w:r>
        <w:t>Джерела до розділу 1</w:t>
      </w:r>
    </w:p>
    <w:p>
      <w:r>
        <w:t>У підрозділі 1.3 наведено посилання на первинні матеріали аналогів безпосередньо біля відповідних тверджень. Для формалізації вимог також використано:</w:t>
      </w:r>
    </w:p>
    <w:p>
      <w:pPr>
        <w:pStyle w:val="ListBullet"/>
      </w:pPr>
      <w:r/>
      <w:hyperlink r:id="rId25">
        <w:r>
          <w:rPr>
            <w:color w:val="1F4E79"/>
          </w:rPr>
          <w:t>Telegram Login Widget — перевірка даних legacy-входу</w:t>
        </w:r>
      </w:hyperlink>
      <w:r>
        <w:t>.</w:t>
      </w:r>
    </w:p>
    <w:p>
      <w:pPr>
        <w:pStyle w:val="ListBullet"/>
      </w:pPr>
      <w:r/>
      <w:hyperlink r:id="rId26">
        <w:r>
          <w:rPr>
            <w:color w:val="1F4E79"/>
          </w:rPr>
          <w:t>Telegram Mini Apps — перевірка initData</w:t>
        </w:r>
      </w:hyperlink>
      <w:r>
        <w:t>.</w:t>
      </w:r>
    </w:p>
    <w:p>
      <w:pPr>
        <w:pStyle w:val="ListBullet"/>
      </w:pPr>
      <w:r/>
      <w:hyperlink r:id="rId27">
        <w:r>
          <w:rPr>
            <w:color w:val="1F4E79"/>
          </w:rPr>
          <w:t>Discord OAuth2</w:t>
        </w:r>
      </w:hyperlink>
      <w:r>
        <w:t>.</w:t>
      </w:r>
    </w:p>
    <w:p>
      <w:pPr>
        <w:pStyle w:val="ListBullet"/>
      </w:pPr>
      <w:r/>
      <w:hyperlink r:id="rId9">
        <w:r>
          <w:rPr>
            <w:color w:val="1F4E79"/>
          </w:rPr>
          <w:t>RabbitMQ RPC</w:t>
        </w:r>
      </w:hyperlink>
      <w:r>
        <w:t>.</w:t>
      </w:r>
    </w:p>
    <w:p>
      <w:pPr>
        <w:pStyle w:val="ListBullet"/>
      </w:pPr>
      <w:r/>
      <w:hyperlink r:id="rId28">
        <w:r>
          <w:rPr>
            <w:color w:val="1F4E79"/>
          </w:rPr>
          <w:t>OWASP API1:2023 — Broken Object Level Authorization</w:t>
        </w:r>
      </w:hyperlink>
      <w:r>
        <w:t>.</w:t>
      </w:r>
    </w:p>
    <w:p>
      <w:pPr>
        <w:pStyle w:val="ListBullet"/>
      </w:pPr>
      <w:r/>
      <w:hyperlink r:id="rId29">
        <w:r>
          <w:rPr>
            <w:color w:val="1F4E79"/>
          </w:rPr>
          <w:t>GDPR — офіційний текст, зокрема статті 3 і 5</w:t>
        </w:r>
      </w:hyperlink>
      <w:r>
        <w:t>.</w:t>
      </w:r>
    </w:p>
    <w:p>
      <w:r>
        <w:t>Вихідні функції монолітної VIP-системи та правила сумісності становлять надані замовником умови проєктування. Специфікація нового рішення визначає вимоги до інфраструктури готового продукту й не містить результатів ще не проведених навантажувальних випробувань.</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abbitmq.com/tutorials/tutorial-six-python" TargetMode="External"/><Relationship Id="rId10" Type="http://schemas.openxmlformats.org/officeDocument/2006/relationships/hyperlink" Target="https://wgmods.net/535/" TargetMode="External"/><Relationship Id="rId11" Type="http://schemas.openxmlformats.org/officeDocument/2006/relationships/hyperlink" Target="https://www.oldskool.vip/en/premium/" TargetMode="External"/><Relationship Id="rId12" Type="http://schemas.openxmlformats.org/officeDocument/2006/relationships/hyperlink" Target="https://www.oldskool.vip/en/download/" TargetMode="External"/><Relationship Id="rId13" Type="http://schemas.openxmlformats.org/officeDocument/2006/relationships/hyperlink" Target="https://api.wotinspector.com/" TargetMode="External"/><Relationship Id="rId14" Type="http://schemas.openxmlformats.org/officeDocument/2006/relationships/hyperlink" Target="https://api.wotinspector.com/openapi/" TargetMode="External"/><Relationship Id="rId15" Type="http://schemas.openxmlformats.org/officeDocument/2006/relationships/hyperlink" Target="https://wotinspector.com/en/shop/" TargetMode="External"/><Relationship Id="rId16" Type="http://schemas.openxmlformats.org/officeDocument/2006/relationships/hyperlink" Target="https://wotinspector.com/en/patreon/" TargetMode="External"/><Relationship Id="rId17" Type="http://schemas.openxmlformats.org/officeDocument/2006/relationships/hyperlink" Target="https://freemius.com/blog/release-notes-real-time-analytics-and-multi-store-dashboard/" TargetMode="External"/><Relationship Id="rId18" Type="http://schemas.openxmlformats.org/officeDocument/2006/relationships/hyperlink" Target="https://freemius.com/help/documentation/saas/saas-integration/" TargetMode="External"/><Relationship Id="rId19" Type="http://schemas.openxmlformats.org/officeDocument/2006/relationships/hyperlink" Target="https://freemius.com/help/api/licenses/activate/" TargetMode="External"/><Relationship Id="rId20" Type="http://schemas.openxmlformats.org/officeDocument/2006/relationships/hyperlink" Target="https://freemius.com/help/documentation/saas/events-webhooks/" TargetMode="External"/><Relationship Id="rId21" Type="http://schemas.openxmlformats.org/officeDocument/2006/relationships/hyperlink" Target="https://freemius.com/blog/staged-rollouts-wordpress-plugins-themes/" TargetMode="External"/><Relationship Id="rId22" Type="http://schemas.openxmlformats.org/officeDocument/2006/relationships/hyperlink" Target="https://freemius.com/help/api/licenses/" TargetMode="External"/><Relationship Id="rId23" Type="http://schemas.openxmlformats.org/officeDocument/2006/relationships/hyperlink" Target="https://freemius.com/changelog/improved-webhook-failure-detection-and-recovery/" TargetMode="External"/><Relationship Id="rId24" Type="http://schemas.openxmlformats.org/officeDocument/2006/relationships/hyperlink" Target="https://freemius.com/help/faq/licensing/" TargetMode="External"/><Relationship Id="rId25" Type="http://schemas.openxmlformats.org/officeDocument/2006/relationships/hyperlink" Target="https://core.telegram.org/widgets/login-legacy" TargetMode="External"/><Relationship Id="rId26" Type="http://schemas.openxmlformats.org/officeDocument/2006/relationships/hyperlink" Target="https://core.telegram.org/bots/webapps#validating-data-received-via-the-mini-app" TargetMode="External"/><Relationship Id="rId27" Type="http://schemas.openxmlformats.org/officeDocument/2006/relationships/hyperlink" Target="https://docs.discord.com/developers/topics/oauth2" TargetMode="External"/><Relationship Id="rId28" Type="http://schemas.openxmlformats.org/officeDocument/2006/relationships/hyperlink" Target="https://api-security.owasp.org/editions/2023/en/0xa1-broken-object-level-authorization/" TargetMode="External"/><Relationship Id="rId29" Type="http://schemas.openxmlformats.org/officeDocument/2006/relationships/hyperlink" Target="https://eur-lex.europa.eu/eli/reg/2016/679/oj"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РОЗДІЛ 1. АНАЛІЗ ПРЕДМЕТНОЇ ОБЛАСТІ ТА ПОСТАНОВКА ЗАДАЧІ ДОСЛІДЖЕННЯ</dc:title>
  <dc:subject>Лабораторна робота №4 з технічного документування та презентації програмних рішень</dc:subject>
  <dc:creator>Маргер Богдан Євгенович</dc:creator>
  <cp:keywords/>
  <dc:description/>
  <cp:lastModifiedBy/>
  <cp:revision>1</cp:revision>
  <dcterms:created xsi:type="dcterms:W3CDTF">2013-12-23T23:15:00Z</dcterms:created>
  <dcterms:modified xsi:type="dcterms:W3CDTF">2013-12-23T23:15:00Z</dcterms:modified>
  <cp:category/>
</cp:coreProperties>
</file>