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ascii="Caladea" w:hAnsi="Caladea" w:cs="Caladea"/>
          <w:b/>
          <w:bCs/>
          <w:sz w:val="28"/>
          <w:szCs w:val="28"/>
        </w:rPr>
      </w:pPr>
      <w:r>
        <w:rPr>
          <w:rFonts w:hint="default" w:ascii="Caladea" w:hAnsi="Caladea" w:cs="Caladea"/>
          <w:b/>
          <w:bCs/>
          <w:sz w:val="28"/>
          <w:szCs w:val="28"/>
        </w:rPr>
        <w:tab/>
      </w:r>
      <w:r>
        <w:rPr>
          <w:rFonts w:hint="default" w:ascii="Caladea" w:hAnsi="Caladea" w:cs="Caladea"/>
          <w:b/>
          <w:bCs/>
          <w:sz w:val="28"/>
          <w:szCs w:val="28"/>
        </w:rPr>
        <w:tab/>
      </w:r>
      <w:r>
        <w:rPr>
          <w:rFonts w:hint="default" w:ascii="Caladea" w:hAnsi="Caladea" w:cs="Caladea"/>
          <w:b/>
          <w:bCs/>
          <w:sz w:val="28"/>
          <w:szCs w:val="28"/>
        </w:rPr>
        <w:tab/>
      </w:r>
      <w:r>
        <w:rPr>
          <w:rFonts w:hint="default" w:ascii="Caladea" w:hAnsi="Caladea" w:cs="Caladea"/>
          <w:b/>
          <w:bCs/>
          <w:sz w:val="28"/>
          <w:szCs w:val="28"/>
        </w:rPr>
        <w:tab/>
      </w:r>
      <w:r>
        <w:rPr>
          <w:rFonts w:hint="default" w:ascii="Caladea" w:hAnsi="Caladea" w:cs="Caladea"/>
          <w:b/>
          <w:bCs/>
          <w:sz w:val="28"/>
          <w:szCs w:val="28"/>
        </w:rPr>
        <w:tab/>
      </w:r>
      <w:r>
        <w:rPr>
          <w:rFonts w:hint="default" w:ascii="Caladea" w:hAnsi="Caladea" w:cs="Caladea"/>
          <w:b/>
          <w:bCs/>
          <w:sz w:val="28"/>
          <w:szCs w:val="28"/>
        </w:rPr>
        <w:tab/>
      </w:r>
      <w:r>
        <w:rPr>
          <w:rFonts w:hint="default" w:ascii="Caladea" w:hAnsi="Caladea" w:cs="Caladea"/>
          <w:b/>
          <w:bCs/>
          <w:sz w:val="28"/>
          <w:szCs w:val="28"/>
        </w:rPr>
        <w:tab/>
      </w:r>
      <w:r>
        <w:rPr>
          <w:rFonts w:hint="default" w:ascii="Caladea" w:hAnsi="Caladea" w:cs="Caladea"/>
          <w:b/>
          <w:bCs/>
          <w:sz w:val="28"/>
          <w:szCs w:val="28"/>
        </w:rPr>
        <w:t>31</w:t>
      </w:r>
      <w:r>
        <w:rPr>
          <w:rFonts w:hint="default" w:ascii="Caladea" w:hAnsi="Caladea" w:cs="Caladea"/>
          <w:b/>
          <w:bCs/>
          <w:sz w:val="28"/>
          <w:szCs w:val="28"/>
          <w:vertAlign w:val="superscript"/>
        </w:rPr>
        <w:t>st</w:t>
      </w:r>
      <w:r>
        <w:rPr>
          <w:rFonts w:hint="default" w:ascii="Caladea" w:hAnsi="Caladea" w:cs="Caladea"/>
          <w:b/>
          <w:bCs/>
          <w:sz w:val="28"/>
          <w:szCs w:val="28"/>
        </w:rPr>
        <w:t xml:space="preserve"> March, 2023</w:t>
      </w:r>
    </w:p>
    <w:p>
      <w:pPr>
        <w:jc w:val="center"/>
        <w:rPr>
          <w:rFonts w:hint="default" w:ascii="Caladea" w:hAnsi="Caladea" w:cs="Caladea"/>
          <w:b/>
          <w:bCs/>
          <w:sz w:val="28"/>
          <w:szCs w:val="28"/>
        </w:rPr>
      </w:pPr>
    </w:p>
    <w:p>
      <w:pPr>
        <w:jc w:val="center"/>
        <w:rPr>
          <w:rFonts w:hint="default" w:ascii="Caladea" w:hAnsi="Caladea" w:cs="Caladea"/>
          <w:b/>
          <w:bCs/>
          <w:sz w:val="28"/>
          <w:szCs w:val="28"/>
        </w:rPr>
      </w:pPr>
      <w:r>
        <w:rPr>
          <w:rFonts w:hint="default" w:ascii="Caladea" w:hAnsi="Caladea" w:cs="Caladea"/>
          <w:b/>
          <w:bCs/>
          <w:sz w:val="28"/>
          <w:szCs w:val="28"/>
        </w:rPr>
        <w:t>BRIEF FOR PS  ON FERTILISER INDUSTRY</w:t>
      </w:r>
    </w:p>
    <w:p>
      <w:pPr>
        <w:spacing w:line="276" w:lineRule="auto"/>
        <w:jc w:val="both"/>
        <w:rPr>
          <w:rFonts w:hint="default" w:ascii="Caladea" w:hAnsi="Caladea" w:cs="Caladea"/>
          <w:b/>
          <w:bCs/>
          <w:sz w:val="28"/>
          <w:szCs w:val="28"/>
        </w:rPr>
      </w:pPr>
      <w:r>
        <w:rPr>
          <w:rFonts w:hint="default" w:ascii="Caladea" w:hAnsi="Caladea" w:cs="Caladea"/>
          <w:b/>
          <w:bCs/>
          <w:sz w:val="28"/>
          <w:szCs w:val="28"/>
        </w:rPr>
        <w:t>1.0 BACKGROUND</w:t>
      </w:r>
    </w:p>
    <w:p>
      <w:pPr>
        <w:spacing w:line="276" w:lineRule="auto"/>
        <w:jc w:val="both"/>
        <w:rPr>
          <w:rFonts w:hint="default" w:ascii="Caladea" w:hAnsi="Caladea" w:cs="Caladea"/>
          <w:b/>
          <w:bCs/>
          <w:sz w:val="28"/>
          <w:szCs w:val="28"/>
        </w:rPr>
      </w:pPr>
      <w:r>
        <w:rPr>
          <w:rFonts w:hint="default" w:ascii="Caladea" w:hAnsi="Caladea" w:cs="Caladea"/>
          <w:b/>
          <w:bCs/>
          <w:sz w:val="28"/>
          <w:szCs w:val="28"/>
        </w:rPr>
        <w:t xml:space="preserve">1.1 Definition </w:t>
      </w:r>
    </w:p>
    <w:p>
      <w:pPr>
        <w:spacing w:line="276" w:lineRule="auto"/>
        <w:jc w:val="both"/>
        <w:rPr>
          <w:rFonts w:hint="default" w:ascii="Caladea" w:hAnsi="Caladea" w:cs="Caladea"/>
          <w:sz w:val="28"/>
          <w:szCs w:val="28"/>
        </w:rPr>
      </w:pPr>
      <w:r>
        <w:rPr>
          <w:rFonts w:hint="default" w:ascii="Caladea" w:hAnsi="Caladea" w:cs="Caladea"/>
          <w:b/>
          <w:bCs/>
          <w:sz w:val="28"/>
          <w:szCs w:val="28"/>
        </w:rPr>
        <w:t>Fertilizer</w:t>
      </w:r>
      <w:r>
        <w:rPr>
          <w:rFonts w:hint="default" w:ascii="Caladea" w:hAnsi="Caladea" w:cs="Caladea"/>
          <w:sz w:val="28"/>
          <w:szCs w:val="28"/>
        </w:rPr>
        <w:t xml:space="preserve"> is any substance containing one or more recognised plant nutrient(s) that is used for its plant nutrient content and is designed for use or has value in promoting plant growth.</w:t>
      </w:r>
    </w:p>
    <w:p>
      <w:pPr>
        <w:spacing w:line="276" w:lineRule="auto"/>
        <w:jc w:val="both"/>
        <w:rPr>
          <w:rFonts w:hint="default" w:ascii="Caladea" w:hAnsi="Caladea" w:cs="Caladea"/>
          <w:sz w:val="28"/>
          <w:szCs w:val="28"/>
        </w:rPr>
      </w:pPr>
      <w:r>
        <w:rPr>
          <w:rFonts w:hint="default" w:ascii="Caladea" w:hAnsi="Caladea" w:cs="Caladea"/>
          <w:b/>
          <w:bCs/>
          <w:sz w:val="28"/>
          <w:szCs w:val="28"/>
        </w:rPr>
        <w:t>Mineral/inorganic fertiliser</w:t>
      </w:r>
      <w:r>
        <w:rPr>
          <w:rFonts w:hint="default" w:ascii="Caladea" w:hAnsi="Caladea" w:cs="Caladea"/>
          <w:sz w:val="28"/>
          <w:szCs w:val="28"/>
        </w:rPr>
        <w:t xml:space="preserve"> is one that is produced by mineral processes or mined and derived from an organic substance or synthetic organic substance.</w:t>
      </w:r>
    </w:p>
    <w:p>
      <w:pPr>
        <w:spacing w:line="276" w:lineRule="auto"/>
        <w:jc w:val="both"/>
        <w:rPr>
          <w:rFonts w:hint="default" w:ascii="Caladea" w:hAnsi="Caladea" w:cs="Caladea"/>
          <w:sz w:val="28"/>
          <w:szCs w:val="28"/>
        </w:rPr>
      </w:pPr>
      <w:r>
        <w:rPr>
          <w:rFonts w:hint="default" w:ascii="Caladea" w:hAnsi="Caladea" w:cs="Caladea"/>
          <w:b/>
          <w:bCs/>
          <w:sz w:val="28"/>
          <w:szCs w:val="28"/>
        </w:rPr>
        <w:t>Organic fertiliser</w:t>
      </w:r>
      <w:r>
        <w:rPr>
          <w:rFonts w:hint="default" w:ascii="Caladea" w:hAnsi="Caladea" w:cs="Caladea"/>
          <w:sz w:val="28"/>
          <w:szCs w:val="28"/>
        </w:rPr>
        <w:t xml:space="preserve"> these are derived from non-synthetic organic material, including sewage sludge, animal manures, and plant residues produced through the process of drying, cooking, composting, chopping, grinding, fermenting or other methods and makes a declaration of nutrient value on the label. </w:t>
      </w:r>
    </w:p>
    <w:p>
      <w:pPr>
        <w:spacing w:line="276" w:lineRule="auto"/>
        <w:jc w:val="both"/>
        <w:rPr>
          <w:rFonts w:hint="default" w:ascii="Caladea" w:hAnsi="Caladea" w:cs="Caladea"/>
          <w:sz w:val="28"/>
          <w:szCs w:val="28"/>
        </w:rPr>
      </w:pPr>
      <w:r>
        <w:rPr>
          <w:rFonts w:hint="default" w:ascii="Caladea" w:hAnsi="Caladea" w:cs="Caladea"/>
          <w:b/>
          <w:bCs/>
          <w:sz w:val="28"/>
          <w:szCs w:val="28"/>
        </w:rPr>
        <w:t>Bio-fertiliser</w:t>
      </w:r>
      <w:r>
        <w:rPr>
          <w:rFonts w:hint="default" w:ascii="Caladea" w:hAnsi="Caladea" w:cs="Caladea"/>
          <w:sz w:val="28"/>
          <w:szCs w:val="28"/>
        </w:rPr>
        <w:t xml:space="preserve"> is a substance that contains living microorganisms that colonise the interior of the plant and promote growth by increasing the supply or availability of primary nutrients.</w:t>
      </w:r>
    </w:p>
    <w:p>
      <w:pPr>
        <w:spacing w:line="276" w:lineRule="auto"/>
        <w:jc w:val="both"/>
        <w:rPr>
          <w:rFonts w:hint="default" w:ascii="Caladea" w:hAnsi="Caladea" w:cs="Caladea"/>
          <w:sz w:val="28"/>
          <w:szCs w:val="28"/>
        </w:rPr>
      </w:pPr>
      <w:r>
        <w:rPr>
          <w:rFonts w:hint="default" w:ascii="Caladea" w:hAnsi="Caladea" w:cs="Caladea"/>
          <w:sz w:val="28"/>
          <w:szCs w:val="28"/>
        </w:rPr>
        <w:t xml:space="preserve">All references relating to fertilizers are in terms of the three primary plant nutrients as follows: </w:t>
      </w:r>
    </w:p>
    <w:p>
      <w:pPr>
        <w:spacing w:line="276" w:lineRule="auto"/>
        <w:jc w:val="both"/>
        <w:rPr>
          <w:rFonts w:hint="default" w:ascii="Caladea" w:hAnsi="Caladea" w:cs="Caladea"/>
          <w:sz w:val="28"/>
          <w:szCs w:val="28"/>
        </w:rPr>
      </w:pPr>
      <w:r>
        <w:rPr>
          <w:rFonts w:hint="default" w:ascii="Caladea" w:hAnsi="Caladea" w:cs="Caladea"/>
          <w:sz w:val="28"/>
          <w:szCs w:val="28"/>
        </w:rPr>
        <w:t xml:space="preserve">» Nitrogen (N) </w:t>
      </w:r>
    </w:p>
    <w:p>
      <w:pPr>
        <w:spacing w:line="276" w:lineRule="auto"/>
        <w:jc w:val="both"/>
        <w:rPr>
          <w:rFonts w:hint="default" w:ascii="Caladea" w:hAnsi="Caladea" w:cs="Caladea"/>
          <w:sz w:val="28"/>
          <w:szCs w:val="28"/>
        </w:rPr>
      </w:pPr>
      <w:r>
        <w:rPr>
          <w:rFonts w:hint="default" w:ascii="Caladea" w:hAnsi="Caladea" w:cs="Caladea"/>
          <w:sz w:val="28"/>
          <w:szCs w:val="28"/>
        </w:rPr>
        <w:t xml:space="preserve">» Phosphorus (P), expressed as phosphate (P2 O5) and </w:t>
      </w:r>
    </w:p>
    <w:p>
      <w:pPr>
        <w:spacing w:line="276" w:lineRule="auto"/>
        <w:jc w:val="both"/>
        <w:rPr>
          <w:rFonts w:hint="default" w:ascii="Caladea" w:hAnsi="Caladea" w:cs="Caladea"/>
          <w:sz w:val="28"/>
          <w:szCs w:val="28"/>
        </w:rPr>
      </w:pPr>
      <w:r>
        <w:rPr>
          <w:rFonts w:hint="default" w:ascii="Caladea" w:hAnsi="Caladea" w:cs="Caladea"/>
          <w:sz w:val="28"/>
          <w:szCs w:val="28"/>
        </w:rPr>
        <w:t>» Potassium (K), expressed as potash (K2 O)</w:t>
      </w:r>
    </w:p>
    <w:p>
      <w:pPr>
        <w:spacing w:line="276" w:lineRule="auto"/>
        <w:jc w:val="both"/>
        <w:rPr>
          <w:rFonts w:hint="default" w:ascii="Caladea" w:hAnsi="Caladea" w:cs="Caladea"/>
          <w:sz w:val="28"/>
          <w:szCs w:val="28"/>
        </w:rPr>
      </w:pPr>
    </w:p>
    <w:p>
      <w:pPr>
        <w:spacing w:line="276" w:lineRule="auto"/>
        <w:jc w:val="both"/>
        <w:rPr>
          <w:rFonts w:hint="default" w:ascii="Caladea" w:hAnsi="Caladea" w:cs="Caladea"/>
          <w:b/>
          <w:bCs/>
          <w:sz w:val="28"/>
          <w:szCs w:val="28"/>
        </w:rPr>
      </w:pPr>
      <w:r>
        <w:rPr>
          <w:rFonts w:hint="default" w:ascii="Caladea" w:hAnsi="Caladea" w:cs="Caladea"/>
          <w:b/>
          <w:bCs/>
          <w:sz w:val="28"/>
          <w:szCs w:val="28"/>
        </w:rPr>
        <w:t>1.2. Global and National outlook</w:t>
      </w:r>
    </w:p>
    <w:p>
      <w:pPr>
        <w:pStyle w:val="7"/>
        <w:numPr>
          <w:ilvl w:val="0"/>
          <w:numId w:val="1"/>
        </w:numPr>
        <w:spacing w:line="276" w:lineRule="auto"/>
        <w:jc w:val="both"/>
        <w:rPr>
          <w:rFonts w:hint="default" w:ascii="Caladea" w:hAnsi="Caladea" w:cs="Caladea"/>
          <w:b/>
          <w:bCs/>
          <w:sz w:val="28"/>
          <w:szCs w:val="28"/>
        </w:rPr>
      </w:pPr>
      <w:r>
        <w:rPr>
          <w:rFonts w:hint="default" w:ascii="Caladea" w:hAnsi="Caladea" w:cs="Caladea"/>
          <w:b/>
          <w:bCs/>
          <w:sz w:val="28"/>
          <w:szCs w:val="28"/>
        </w:rPr>
        <w:t>Fertilizer production</w:t>
      </w:r>
    </w:p>
    <w:p>
      <w:pPr>
        <w:spacing w:line="276" w:lineRule="auto"/>
        <w:jc w:val="both"/>
        <w:rPr>
          <w:rFonts w:hint="default" w:ascii="Caladea" w:hAnsi="Caladea" w:cs="Caladea"/>
          <w:sz w:val="28"/>
          <w:szCs w:val="28"/>
        </w:rPr>
      </w:pPr>
      <w:r>
        <w:rPr>
          <w:rFonts w:hint="default" w:ascii="Caladea" w:hAnsi="Caladea" w:cs="Caladea"/>
          <w:sz w:val="28"/>
          <w:szCs w:val="28"/>
        </w:rPr>
        <w:t>China is the largest producer of fertilizers in the world, with an output of 28.9million metric tons of nutrient. It followed by USA and India with outputs of 13.6 and 13.3 million metric tons respectively. It should be noted that research by Global Market reveals that fertilizer market globally is valued at USD 193.3 billion in 2021.</w:t>
      </w:r>
    </w:p>
    <w:p>
      <w:pPr>
        <w:spacing w:line="276" w:lineRule="auto"/>
        <w:jc w:val="both"/>
        <w:rPr>
          <w:rFonts w:hint="default" w:ascii="Caladea" w:hAnsi="Caladea" w:cs="Caladea"/>
          <w:sz w:val="28"/>
          <w:szCs w:val="28"/>
        </w:rPr>
      </w:pPr>
      <w:r>
        <w:rPr>
          <w:rFonts w:hint="default" w:ascii="Caladea" w:hAnsi="Caladea" w:cs="Caladea"/>
          <w:b/>
          <w:sz w:val="28"/>
          <w:szCs w:val="28"/>
        </w:rPr>
        <w:t>World Capacity for producing ammonia, phosphoric acid and potash 2016-2022 (thousand</w:t>
      </w:r>
      <w:r>
        <w:rPr>
          <w:rFonts w:hint="default" w:ascii="Caladea" w:hAnsi="Caladea" w:cs="Caladea"/>
          <w:sz w:val="28"/>
          <w:szCs w:val="28"/>
        </w:rPr>
        <w:t>).</w:t>
      </w:r>
    </w:p>
    <w:tbl>
      <w:tblPr>
        <w:tblStyle w:val="6"/>
        <w:tblW w:w="10065" w:type="dxa"/>
        <w:tblInd w:w="-4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9"/>
        <w:gridCol w:w="1134"/>
        <w:gridCol w:w="1134"/>
        <w:gridCol w:w="1134"/>
        <w:gridCol w:w="1275"/>
        <w:gridCol w:w="1276"/>
        <w:gridCol w:w="1418"/>
        <w:gridCol w:w="12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9" w:type="dxa"/>
          </w:tcPr>
          <w:p>
            <w:pPr>
              <w:spacing w:after="0" w:line="276" w:lineRule="auto"/>
              <w:jc w:val="both"/>
              <w:rPr>
                <w:rFonts w:hint="default" w:ascii="Caladea" w:hAnsi="Caladea" w:cs="Caladea"/>
                <w:b/>
                <w:sz w:val="24"/>
                <w:szCs w:val="24"/>
              </w:rPr>
            </w:pPr>
            <w:r>
              <w:rPr>
                <w:rFonts w:hint="default" w:ascii="Caladea" w:hAnsi="Caladea" w:cs="Caladea"/>
                <w:b/>
                <w:sz w:val="24"/>
                <w:szCs w:val="24"/>
              </w:rPr>
              <w:t>Year</w:t>
            </w:r>
          </w:p>
        </w:tc>
        <w:tc>
          <w:tcPr>
            <w:tcW w:w="1134" w:type="dxa"/>
          </w:tcPr>
          <w:p>
            <w:pPr>
              <w:spacing w:after="0" w:line="276" w:lineRule="auto"/>
              <w:jc w:val="both"/>
              <w:rPr>
                <w:rFonts w:hint="default" w:ascii="Caladea" w:hAnsi="Caladea" w:cs="Caladea"/>
                <w:b/>
                <w:sz w:val="24"/>
                <w:szCs w:val="24"/>
              </w:rPr>
            </w:pPr>
            <w:r>
              <w:rPr>
                <w:rFonts w:hint="default" w:ascii="Caladea" w:hAnsi="Caladea" w:cs="Caladea"/>
                <w:b/>
                <w:sz w:val="24"/>
                <w:szCs w:val="24"/>
              </w:rPr>
              <w:t>2016</w:t>
            </w:r>
          </w:p>
        </w:tc>
        <w:tc>
          <w:tcPr>
            <w:tcW w:w="1134" w:type="dxa"/>
          </w:tcPr>
          <w:p>
            <w:pPr>
              <w:spacing w:after="0" w:line="276" w:lineRule="auto"/>
              <w:jc w:val="both"/>
              <w:rPr>
                <w:rFonts w:hint="default" w:ascii="Caladea" w:hAnsi="Caladea" w:cs="Caladea"/>
                <w:b/>
                <w:sz w:val="24"/>
                <w:szCs w:val="24"/>
              </w:rPr>
            </w:pPr>
            <w:r>
              <w:rPr>
                <w:rFonts w:hint="default" w:ascii="Caladea" w:hAnsi="Caladea" w:cs="Caladea"/>
                <w:b/>
                <w:sz w:val="24"/>
                <w:szCs w:val="24"/>
              </w:rPr>
              <w:t>2017</w:t>
            </w:r>
          </w:p>
        </w:tc>
        <w:tc>
          <w:tcPr>
            <w:tcW w:w="1134" w:type="dxa"/>
          </w:tcPr>
          <w:p>
            <w:pPr>
              <w:spacing w:after="0" w:line="276" w:lineRule="auto"/>
              <w:jc w:val="both"/>
              <w:rPr>
                <w:rFonts w:hint="default" w:ascii="Caladea" w:hAnsi="Caladea" w:cs="Caladea"/>
                <w:b/>
                <w:sz w:val="24"/>
                <w:szCs w:val="24"/>
              </w:rPr>
            </w:pPr>
            <w:r>
              <w:rPr>
                <w:rFonts w:hint="default" w:ascii="Caladea" w:hAnsi="Caladea" w:cs="Caladea"/>
                <w:b/>
                <w:sz w:val="24"/>
                <w:szCs w:val="24"/>
              </w:rPr>
              <w:t>2018</w:t>
            </w:r>
          </w:p>
        </w:tc>
        <w:tc>
          <w:tcPr>
            <w:tcW w:w="1275" w:type="dxa"/>
          </w:tcPr>
          <w:p>
            <w:pPr>
              <w:spacing w:after="0" w:line="276" w:lineRule="auto"/>
              <w:jc w:val="both"/>
              <w:rPr>
                <w:rFonts w:hint="default" w:ascii="Caladea" w:hAnsi="Caladea" w:cs="Caladea"/>
                <w:b/>
                <w:sz w:val="24"/>
                <w:szCs w:val="24"/>
              </w:rPr>
            </w:pPr>
            <w:r>
              <w:rPr>
                <w:rFonts w:hint="default" w:ascii="Caladea" w:hAnsi="Caladea" w:cs="Caladea"/>
                <w:b/>
                <w:sz w:val="24"/>
                <w:szCs w:val="24"/>
              </w:rPr>
              <w:t>2019</w:t>
            </w:r>
          </w:p>
        </w:tc>
        <w:tc>
          <w:tcPr>
            <w:tcW w:w="1276" w:type="dxa"/>
          </w:tcPr>
          <w:p>
            <w:pPr>
              <w:spacing w:after="0" w:line="276" w:lineRule="auto"/>
              <w:jc w:val="both"/>
              <w:rPr>
                <w:rFonts w:hint="default" w:ascii="Caladea" w:hAnsi="Caladea" w:cs="Caladea"/>
                <w:b/>
                <w:sz w:val="24"/>
                <w:szCs w:val="24"/>
              </w:rPr>
            </w:pPr>
            <w:r>
              <w:rPr>
                <w:rFonts w:hint="default" w:ascii="Caladea" w:hAnsi="Caladea" w:cs="Caladea"/>
                <w:b/>
                <w:sz w:val="24"/>
                <w:szCs w:val="24"/>
              </w:rPr>
              <w:t>2020</w:t>
            </w:r>
          </w:p>
        </w:tc>
        <w:tc>
          <w:tcPr>
            <w:tcW w:w="1418" w:type="dxa"/>
          </w:tcPr>
          <w:p>
            <w:pPr>
              <w:spacing w:after="0" w:line="276" w:lineRule="auto"/>
              <w:jc w:val="both"/>
              <w:rPr>
                <w:rFonts w:hint="default" w:ascii="Caladea" w:hAnsi="Caladea" w:cs="Caladea"/>
                <w:b/>
                <w:sz w:val="24"/>
                <w:szCs w:val="24"/>
              </w:rPr>
            </w:pPr>
            <w:r>
              <w:rPr>
                <w:rFonts w:hint="default" w:ascii="Caladea" w:hAnsi="Caladea" w:cs="Caladea"/>
                <w:b/>
                <w:sz w:val="24"/>
                <w:szCs w:val="24"/>
              </w:rPr>
              <w:t>2021</w:t>
            </w:r>
          </w:p>
        </w:tc>
        <w:tc>
          <w:tcPr>
            <w:tcW w:w="1275" w:type="dxa"/>
          </w:tcPr>
          <w:p>
            <w:pPr>
              <w:spacing w:after="0" w:line="276" w:lineRule="auto"/>
              <w:jc w:val="both"/>
              <w:rPr>
                <w:rFonts w:hint="default" w:ascii="Caladea" w:hAnsi="Caladea" w:cs="Caladea"/>
                <w:b/>
                <w:sz w:val="24"/>
                <w:szCs w:val="24"/>
              </w:rPr>
            </w:pPr>
            <w:r>
              <w:rPr>
                <w:rFonts w:hint="default" w:ascii="Caladea" w:hAnsi="Caladea" w:cs="Caladea"/>
                <w:b/>
                <w:sz w:val="24"/>
                <w:szCs w:val="24"/>
              </w:rPr>
              <w:t>2022</w:t>
            </w:r>
          </w:p>
          <w:p>
            <w:pPr>
              <w:spacing w:after="0" w:line="276" w:lineRule="auto"/>
              <w:jc w:val="both"/>
              <w:rPr>
                <w:rFonts w:hint="default" w:ascii="Caladea" w:hAnsi="Caladea" w:cs="Caladea"/>
                <w:b/>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9" w:type="dxa"/>
          </w:tcPr>
          <w:p>
            <w:pPr>
              <w:spacing w:after="0" w:line="276" w:lineRule="auto"/>
              <w:jc w:val="both"/>
              <w:rPr>
                <w:rFonts w:hint="default" w:ascii="Caladea" w:hAnsi="Caladea" w:cs="Caladea"/>
                <w:sz w:val="24"/>
                <w:szCs w:val="24"/>
              </w:rPr>
            </w:pPr>
            <w:r>
              <w:rPr>
                <w:rFonts w:hint="default" w:ascii="Caladea" w:hAnsi="Caladea" w:cs="Caladea"/>
                <w:sz w:val="24"/>
                <w:szCs w:val="24"/>
              </w:rPr>
              <w:t>Ammonia (N)</w:t>
            </w:r>
          </w:p>
        </w:tc>
        <w:tc>
          <w:tcPr>
            <w:tcW w:w="1134" w:type="dxa"/>
          </w:tcPr>
          <w:p>
            <w:pPr>
              <w:spacing w:after="0" w:line="276" w:lineRule="auto"/>
              <w:jc w:val="both"/>
              <w:rPr>
                <w:rFonts w:hint="default" w:ascii="Caladea" w:hAnsi="Caladea" w:cs="Caladea"/>
                <w:sz w:val="24"/>
                <w:szCs w:val="24"/>
              </w:rPr>
            </w:pPr>
            <w:r>
              <w:rPr>
                <w:rFonts w:hint="default" w:ascii="Caladea" w:hAnsi="Caladea" w:cs="Caladea"/>
                <w:sz w:val="24"/>
                <w:szCs w:val="24"/>
              </w:rPr>
              <w:t>180,496</w:t>
            </w:r>
          </w:p>
        </w:tc>
        <w:tc>
          <w:tcPr>
            <w:tcW w:w="1134" w:type="dxa"/>
          </w:tcPr>
          <w:p>
            <w:pPr>
              <w:spacing w:after="0" w:line="276" w:lineRule="auto"/>
              <w:jc w:val="both"/>
              <w:rPr>
                <w:rFonts w:hint="default" w:ascii="Caladea" w:hAnsi="Caladea" w:cs="Caladea"/>
                <w:sz w:val="24"/>
                <w:szCs w:val="24"/>
              </w:rPr>
            </w:pPr>
            <w:r>
              <w:rPr>
                <w:rFonts w:hint="default" w:ascii="Caladea" w:hAnsi="Caladea" w:cs="Caladea"/>
                <w:sz w:val="24"/>
                <w:szCs w:val="24"/>
              </w:rPr>
              <w:t>184,558</w:t>
            </w:r>
          </w:p>
        </w:tc>
        <w:tc>
          <w:tcPr>
            <w:tcW w:w="1134" w:type="dxa"/>
          </w:tcPr>
          <w:p>
            <w:pPr>
              <w:spacing w:after="0" w:line="276" w:lineRule="auto"/>
              <w:jc w:val="both"/>
              <w:rPr>
                <w:rFonts w:hint="default" w:ascii="Caladea" w:hAnsi="Caladea" w:cs="Caladea"/>
                <w:sz w:val="24"/>
                <w:szCs w:val="24"/>
              </w:rPr>
            </w:pPr>
            <w:r>
              <w:rPr>
                <w:rFonts w:hint="default" w:ascii="Caladea" w:hAnsi="Caladea" w:cs="Caladea"/>
                <w:sz w:val="24"/>
                <w:szCs w:val="24"/>
              </w:rPr>
              <w:t>186,974</w:t>
            </w:r>
          </w:p>
        </w:tc>
        <w:tc>
          <w:tcPr>
            <w:tcW w:w="1275" w:type="dxa"/>
          </w:tcPr>
          <w:p>
            <w:pPr>
              <w:spacing w:after="0" w:line="276" w:lineRule="auto"/>
              <w:jc w:val="both"/>
              <w:rPr>
                <w:rFonts w:hint="default" w:ascii="Caladea" w:hAnsi="Caladea" w:cs="Caladea"/>
                <w:sz w:val="24"/>
                <w:szCs w:val="24"/>
              </w:rPr>
            </w:pPr>
            <w:r>
              <w:rPr>
                <w:rFonts w:hint="default" w:ascii="Caladea" w:hAnsi="Caladea" w:cs="Caladea"/>
                <w:sz w:val="24"/>
                <w:szCs w:val="24"/>
              </w:rPr>
              <w:t>189,523</w:t>
            </w:r>
          </w:p>
        </w:tc>
        <w:tc>
          <w:tcPr>
            <w:tcW w:w="1276" w:type="dxa"/>
          </w:tcPr>
          <w:p>
            <w:pPr>
              <w:spacing w:after="0" w:line="276" w:lineRule="auto"/>
              <w:jc w:val="both"/>
              <w:rPr>
                <w:rFonts w:hint="default" w:ascii="Caladea" w:hAnsi="Caladea" w:cs="Caladea"/>
                <w:sz w:val="24"/>
                <w:szCs w:val="24"/>
              </w:rPr>
            </w:pPr>
            <w:r>
              <w:rPr>
                <w:rFonts w:hint="default" w:ascii="Caladea" w:hAnsi="Caladea" w:cs="Caladea"/>
                <w:sz w:val="24"/>
                <w:szCs w:val="24"/>
              </w:rPr>
              <w:t>187,354</w:t>
            </w:r>
          </w:p>
        </w:tc>
        <w:tc>
          <w:tcPr>
            <w:tcW w:w="1418" w:type="dxa"/>
          </w:tcPr>
          <w:p>
            <w:pPr>
              <w:spacing w:after="0" w:line="276" w:lineRule="auto"/>
              <w:jc w:val="both"/>
              <w:rPr>
                <w:rFonts w:hint="default" w:ascii="Caladea" w:hAnsi="Caladea" w:cs="Caladea"/>
                <w:sz w:val="24"/>
                <w:szCs w:val="24"/>
              </w:rPr>
            </w:pPr>
            <w:r>
              <w:rPr>
                <w:rFonts w:hint="default" w:ascii="Caladea" w:hAnsi="Caladea" w:cs="Caladea"/>
                <w:sz w:val="24"/>
                <w:szCs w:val="24"/>
              </w:rPr>
              <w:t>188,908</w:t>
            </w:r>
          </w:p>
        </w:tc>
        <w:tc>
          <w:tcPr>
            <w:tcW w:w="1275" w:type="dxa"/>
          </w:tcPr>
          <w:p>
            <w:pPr>
              <w:spacing w:after="0" w:line="276" w:lineRule="auto"/>
              <w:jc w:val="both"/>
              <w:rPr>
                <w:rFonts w:hint="default" w:ascii="Caladea" w:hAnsi="Caladea" w:cs="Caladea"/>
                <w:sz w:val="24"/>
                <w:szCs w:val="24"/>
              </w:rPr>
            </w:pPr>
            <w:r>
              <w:rPr>
                <w:rFonts w:hint="default" w:ascii="Caladea" w:hAnsi="Caladea" w:cs="Caladea"/>
                <w:sz w:val="24"/>
                <w:szCs w:val="24"/>
              </w:rPr>
              <w:t>190,397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9" w:type="dxa"/>
          </w:tcPr>
          <w:p>
            <w:pPr>
              <w:spacing w:after="0" w:line="276" w:lineRule="auto"/>
              <w:jc w:val="both"/>
              <w:rPr>
                <w:rFonts w:hint="default" w:ascii="Caladea" w:hAnsi="Caladea" w:cs="Caladea"/>
                <w:sz w:val="24"/>
                <w:szCs w:val="24"/>
              </w:rPr>
            </w:pPr>
            <w:r>
              <w:rPr>
                <w:rFonts w:hint="default" w:ascii="Caladea" w:hAnsi="Caladea" w:cs="Caladea"/>
                <w:sz w:val="24"/>
                <w:szCs w:val="24"/>
              </w:rPr>
              <w:t>Phosphoric acid (P)</w:t>
            </w:r>
          </w:p>
        </w:tc>
        <w:tc>
          <w:tcPr>
            <w:tcW w:w="1134" w:type="dxa"/>
          </w:tcPr>
          <w:p>
            <w:pPr>
              <w:spacing w:after="0" w:line="276" w:lineRule="auto"/>
              <w:jc w:val="both"/>
              <w:rPr>
                <w:rFonts w:hint="default" w:ascii="Caladea" w:hAnsi="Caladea" w:cs="Caladea"/>
                <w:sz w:val="24"/>
                <w:szCs w:val="24"/>
              </w:rPr>
            </w:pPr>
            <w:r>
              <w:rPr>
                <w:rFonts w:hint="default" w:ascii="Caladea" w:hAnsi="Caladea" w:cs="Caladea"/>
                <w:sz w:val="24"/>
                <w:szCs w:val="24"/>
              </w:rPr>
              <w:t>57,295</w:t>
            </w:r>
          </w:p>
        </w:tc>
        <w:tc>
          <w:tcPr>
            <w:tcW w:w="1134" w:type="dxa"/>
          </w:tcPr>
          <w:p>
            <w:pPr>
              <w:spacing w:after="0" w:line="276" w:lineRule="auto"/>
              <w:jc w:val="both"/>
              <w:rPr>
                <w:rFonts w:hint="default" w:ascii="Caladea" w:hAnsi="Caladea" w:cs="Caladea"/>
                <w:sz w:val="24"/>
                <w:szCs w:val="24"/>
              </w:rPr>
            </w:pPr>
            <w:r>
              <w:rPr>
                <w:rFonts w:hint="default" w:ascii="Caladea" w:hAnsi="Caladea" w:cs="Caladea"/>
                <w:sz w:val="24"/>
                <w:szCs w:val="24"/>
              </w:rPr>
              <w:t>60,224</w:t>
            </w:r>
          </w:p>
        </w:tc>
        <w:tc>
          <w:tcPr>
            <w:tcW w:w="1134" w:type="dxa"/>
          </w:tcPr>
          <w:p>
            <w:pPr>
              <w:spacing w:after="0" w:line="276" w:lineRule="auto"/>
              <w:jc w:val="both"/>
              <w:rPr>
                <w:rFonts w:hint="default" w:ascii="Caladea" w:hAnsi="Caladea" w:cs="Caladea"/>
                <w:sz w:val="24"/>
                <w:szCs w:val="24"/>
              </w:rPr>
            </w:pPr>
            <w:r>
              <w:rPr>
                <w:rFonts w:hint="default" w:ascii="Caladea" w:hAnsi="Caladea" w:cs="Caladea"/>
                <w:sz w:val="24"/>
                <w:szCs w:val="24"/>
              </w:rPr>
              <w:t>61,464</w:t>
            </w:r>
          </w:p>
        </w:tc>
        <w:tc>
          <w:tcPr>
            <w:tcW w:w="1275" w:type="dxa"/>
          </w:tcPr>
          <w:p>
            <w:pPr>
              <w:spacing w:after="0" w:line="276" w:lineRule="auto"/>
              <w:jc w:val="both"/>
              <w:rPr>
                <w:rFonts w:hint="default" w:ascii="Caladea" w:hAnsi="Caladea" w:cs="Caladea"/>
                <w:sz w:val="24"/>
                <w:szCs w:val="24"/>
              </w:rPr>
            </w:pPr>
            <w:r>
              <w:rPr>
                <w:rFonts w:hint="default" w:ascii="Caladea" w:hAnsi="Caladea" w:cs="Caladea"/>
                <w:sz w:val="24"/>
                <w:szCs w:val="24"/>
              </w:rPr>
              <w:t>62,357</w:t>
            </w:r>
          </w:p>
        </w:tc>
        <w:tc>
          <w:tcPr>
            <w:tcW w:w="1276" w:type="dxa"/>
          </w:tcPr>
          <w:p>
            <w:pPr>
              <w:spacing w:after="0" w:line="276" w:lineRule="auto"/>
              <w:jc w:val="both"/>
              <w:rPr>
                <w:rFonts w:hint="default" w:ascii="Caladea" w:hAnsi="Caladea" w:cs="Caladea"/>
                <w:sz w:val="24"/>
                <w:szCs w:val="24"/>
              </w:rPr>
            </w:pPr>
            <w:r>
              <w:rPr>
                <w:rFonts w:hint="default" w:ascii="Caladea" w:hAnsi="Caladea" w:cs="Caladea"/>
                <w:sz w:val="24"/>
                <w:szCs w:val="24"/>
              </w:rPr>
              <w:t>62,612</w:t>
            </w:r>
          </w:p>
        </w:tc>
        <w:tc>
          <w:tcPr>
            <w:tcW w:w="1418" w:type="dxa"/>
          </w:tcPr>
          <w:p>
            <w:pPr>
              <w:spacing w:after="0" w:line="276" w:lineRule="auto"/>
              <w:jc w:val="both"/>
              <w:rPr>
                <w:rFonts w:hint="default" w:ascii="Caladea" w:hAnsi="Caladea" w:cs="Caladea"/>
                <w:sz w:val="24"/>
                <w:szCs w:val="24"/>
              </w:rPr>
            </w:pPr>
            <w:r>
              <w:rPr>
                <w:rFonts w:hint="default" w:ascii="Caladea" w:hAnsi="Caladea" w:cs="Caladea"/>
                <w:sz w:val="24"/>
                <w:szCs w:val="24"/>
              </w:rPr>
              <w:t>63,552</w:t>
            </w:r>
          </w:p>
        </w:tc>
        <w:tc>
          <w:tcPr>
            <w:tcW w:w="1275" w:type="dxa"/>
          </w:tcPr>
          <w:p>
            <w:pPr>
              <w:spacing w:after="0" w:line="276" w:lineRule="auto"/>
              <w:jc w:val="both"/>
              <w:rPr>
                <w:rFonts w:hint="default" w:ascii="Caladea" w:hAnsi="Caladea" w:cs="Caladea"/>
                <w:sz w:val="24"/>
                <w:szCs w:val="24"/>
              </w:rPr>
            </w:pPr>
            <w:r>
              <w:rPr>
                <w:rFonts w:hint="default" w:ascii="Caladea" w:hAnsi="Caladea" w:cs="Caladea"/>
                <w:sz w:val="24"/>
                <w:szCs w:val="24"/>
              </w:rPr>
              <w:t>63,702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19" w:type="dxa"/>
          </w:tcPr>
          <w:p>
            <w:pPr>
              <w:spacing w:after="0" w:line="276" w:lineRule="auto"/>
              <w:jc w:val="both"/>
              <w:rPr>
                <w:rFonts w:hint="default" w:ascii="Caladea" w:hAnsi="Caladea" w:cs="Caladea"/>
                <w:sz w:val="24"/>
                <w:szCs w:val="24"/>
              </w:rPr>
            </w:pPr>
            <w:r>
              <w:rPr>
                <w:rFonts w:hint="default" w:ascii="Caladea" w:hAnsi="Caladea" w:cs="Caladea"/>
                <w:sz w:val="24"/>
                <w:szCs w:val="24"/>
              </w:rPr>
              <w:t>Potash (K)</w:t>
            </w:r>
          </w:p>
        </w:tc>
        <w:tc>
          <w:tcPr>
            <w:tcW w:w="1134" w:type="dxa"/>
          </w:tcPr>
          <w:p>
            <w:pPr>
              <w:spacing w:after="0" w:line="276" w:lineRule="auto"/>
              <w:jc w:val="both"/>
              <w:rPr>
                <w:rFonts w:hint="default" w:ascii="Caladea" w:hAnsi="Caladea" w:cs="Caladea"/>
                <w:sz w:val="24"/>
                <w:szCs w:val="24"/>
              </w:rPr>
            </w:pPr>
            <w:r>
              <w:rPr>
                <w:rFonts w:hint="default" w:ascii="Caladea" w:hAnsi="Caladea" w:cs="Caladea"/>
                <w:sz w:val="24"/>
                <w:szCs w:val="24"/>
              </w:rPr>
              <w:t>54,638</w:t>
            </w:r>
          </w:p>
        </w:tc>
        <w:tc>
          <w:tcPr>
            <w:tcW w:w="1134" w:type="dxa"/>
          </w:tcPr>
          <w:p>
            <w:pPr>
              <w:spacing w:after="0" w:line="276" w:lineRule="auto"/>
              <w:jc w:val="both"/>
              <w:rPr>
                <w:rFonts w:hint="default" w:ascii="Caladea" w:hAnsi="Caladea" w:cs="Caladea"/>
                <w:sz w:val="24"/>
                <w:szCs w:val="24"/>
              </w:rPr>
            </w:pPr>
            <w:r>
              <w:rPr>
                <w:rFonts w:hint="default" w:ascii="Caladea" w:hAnsi="Caladea" w:cs="Caladea"/>
                <w:sz w:val="24"/>
                <w:szCs w:val="24"/>
              </w:rPr>
              <w:t>58,455</w:t>
            </w:r>
          </w:p>
        </w:tc>
        <w:tc>
          <w:tcPr>
            <w:tcW w:w="1134" w:type="dxa"/>
          </w:tcPr>
          <w:p>
            <w:pPr>
              <w:spacing w:after="0" w:line="276" w:lineRule="auto"/>
              <w:jc w:val="both"/>
              <w:rPr>
                <w:rFonts w:hint="default" w:ascii="Caladea" w:hAnsi="Caladea" w:cs="Caladea"/>
                <w:sz w:val="24"/>
                <w:szCs w:val="24"/>
              </w:rPr>
            </w:pPr>
            <w:r>
              <w:rPr>
                <w:rFonts w:hint="default" w:ascii="Caladea" w:hAnsi="Caladea" w:cs="Caladea"/>
                <w:sz w:val="24"/>
                <w:szCs w:val="24"/>
              </w:rPr>
              <w:t>61,951</w:t>
            </w:r>
          </w:p>
        </w:tc>
        <w:tc>
          <w:tcPr>
            <w:tcW w:w="1275" w:type="dxa"/>
          </w:tcPr>
          <w:p>
            <w:pPr>
              <w:spacing w:after="0" w:line="276" w:lineRule="auto"/>
              <w:jc w:val="both"/>
              <w:rPr>
                <w:rFonts w:hint="default" w:ascii="Caladea" w:hAnsi="Caladea" w:cs="Caladea"/>
                <w:sz w:val="24"/>
                <w:szCs w:val="24"/>
              </w:rPr>
            </w:pPr>
            <w:r>
              <w:rPr>
                <w:rFonts w:hint="default" w:ascii="Caladea" w:hAnsi="Caladea" w:cs="Caladea"/>
                <w:sz w:val="24"/>
                <w:szCs w:val="24"/>
              </w:rPr>
              <w:t>62,055</w:t>
            </w:r>
          </w:p>
        </w:tc>
        <w:tc>
          <w:tcPr>
            <w:tcW w:w="1276" w:type="dxa"/>
          </w:tcPr>
          <w:p>
            <w:pPr>
              <w:spacing w:after="0" w:line="276" w:lineRule="auto"/>
              <w:jc w:val="both"/>
              <w:rPr>
                <w:rFonts w:hint="default" w:ascii="Caladea" w:hAnsi="Caladea" w:cs="Caladea"/>
                <w:sz w:val="24"/>
                <w:szCs w:val="24"/>
              </w:rPr>
            </w:pPr>
            <w:r>
              <w:rPr>
                <w:rFonts w:hint="default" w:ascii="Caladea" w:hAnsi="Caladea" w:cs="Caladea"/>
                <w:sz w:val="24"/>
                <w:szCs w:val="24"/>
              </w:rPr>
              <w:t>63,467</w:t>
            </w:r>
          </w:p>
        </w:tc>
        <w:tc>
          <w:tcPr>
            <w:tcW w:w="1418" w:type="dxa"/>
          </w:tcPr>
          <w:p>
            <w:pPr>
              <w:spacing w:after="0" w:line="276" w:lineRule="auto"/>
              <w:jc w:val="both"/>
              <w:rPr>
                <w:rFonts w:hint="default" w:ascii="Caladea" w:hAnsi="Caladea" w:cs="Caladea"/>
                <w:sz w:val="24"/>
                <w:szCs w:val="24"/>
              </w:rPr>
            </w:pPr>
            <w:r>
              <w:rPr>
                <w:rFonts w:hint="default" w:ascii="Caladea" w:hAnsi="Caladea" w:cs="Caladea"/>
                <w:sz w:val="24"/>
                <w:szCs w:val="24"/>
              </w:rPr>
              <w:t>63,513</w:t>
            </w:r>
          </w:p>
        </w:tc>
        <w:tc>
          <w:tcPr>
            <w:tcW w:w="1275" w:type="dxa"/>
          </w:tcPr>
          <w:p>
            <w:pPr>
              <w:spacing w:after="0" w:line="276" w:lineRule="auto"/>
              <w:jc w:val="both"/>
              <w:rPr>
                <w:rFonts w:hint="default" w:ascii="Caladea" w:hAnsi="Caladea" w:cs="Caladea"/>
                <w:sz w:val="24"/>
                <w:szCs w:val="24"/>
              </w:rPr>
            </w:pPr>
            <w:r>
              <w:rPr>
                <w:rFonts w:hint="default" w:ascii="Caladea" w:hAnsi="Caladea" w:cs="Caladea"/>
                <w:sz w:val="24"/>
                <w:szCs w:val="24"/>
              </w:rPr>
              <w:t>64,553</w:t>
            </w:r>
          </w:p>
        </w:tc>
      </w:tr>
    </w:tbl>
    <w:p>
      <w:pPr>
        <w:spacing w:line="276" w:lineRule="auto"/>
        <w:jc w:val="both"/>
        <w:rPr>
          <w:rFonts w:hint="default" w:ascii="Caladea" w:hAnsi="Caladea" w:cs="Caladea"/>
          <w:sz w:val="28"/>
          <w:szCs w:val="28"/>
        </w:rPr>
      </w:pPr>
    </w:p>
    <w:p>
      <w:pPr>
        <w:spacing w:line="276" w:lineRule="auto"/>
        <w:jc w:val="both"/>
        <w:rPr>
          <w:rFonts w:hint="default" w:ascii="Caladea" w:hAnsi="Caladea" w:cs="Caladea"/>
          <w:sz w:val="28"/>
          <w:szCs w:val="28"/>
        </w:rPr>
      </w:pPr>
      <w:r>
        <w:rPr>
          <w:rFonts w:hint="default" w:ascii="Caladea" w:hAnsi="Caladea" w:cs="Caladea"/>
          <w:sz w:val="28"/>
          <w:szCs w:val="28"/>
        </w:rPr>
        <w:t xml:space="preserve">In Africa, Morocco is the largest producer of fertilizers on the African continent with an estimated output of 12million tonnes annually and it’s followed by Egypt and Algeria. Morocco is among the top most exporters of fertilizer and mainly exports to major markets in world including Brazil, and European countries. </w:t>
      </w:r>
    </w:p>
    <w:p>
      <w:pPr>
        <w:pStyle w:val="7"/>
        <w:ind w:left="435"/>
        <w:jc w:val="both"/>
        <w:rPr>
          <w:rFonts w:hint="default" w:ascii="Caladea" w:hAnsi="Caladea" w:cs="Caladea"/>
          <w:b/>
          <w:bCs/>
          <w:sz w:val="28"/>
          <w:szCs w:val="28"/>
        </w:rPr>
      </w:pPr>
    </w:p>
    <w:p>
      <w:pPr>
        <w:pStyle w:val="7"/>
        <w:ind w:left="435"/>
        <w:jc w:val="both"/>
        <w:rPr>
          <w:rFonts w:hint="default" w:ascii="Caladea" w:hAnsi="Caladea" w:cs="Caladea"/>
          <w:b/>
          <w:bCs/>
          <w:sz w:val="28"/>
          <w:szCs w:val="28"/>
        </w:rPr>
      </w:pPr>
    </w:p>
    <w:p>
      <w:pPr>
        <w:pStyle w:val="7"/>
        <w:numPr>
          <w:ilvl w:val="0"/>
          <w:numId w:val="2"/>
        </w:numPr>
        <w:jc w:val="both"/>
        <w:rPr>
          <w:rFonts w:hint="default" w:ascii="Caladea" w:hAnsi="Caladea" w:cs="Caladea"/>
          <w:b/>
          <w:bCs/>
          <w:sz w:val="28"/>
          <w:szCs w:val="28"/>
        </w:rPr>
      </w:pPr>
      <w:r>
        <w:rPr>
          <w:rFonts w:hint="default" w:ascii="Caladea" w:hAnsi="Caladea" w:cs="Caladea"/>
          <w:b/>
          <w:bCs/>
          <w:sz w:val="28"/>
          <w:szCs w:val="28"/>
        </w:rPr>
        <w:t>UGANDA CONTEXT</w:t>
      </w:r>
    </w:p>
    <w:p>
      <w:pPr>
        <w:ind w:right="633"/>
        <w:jc w:val="both"/>
        <w:rPr>
          <w:rFonts w:hint="default" w:ascii="Caladea" w:hAnsi="Caladea" w:cs="Caladea"/>
          <w:sz w:val="28"/>
          <w:szCs w:val="28"/>
        </w:rPr>
      </w:pPr>
      <w:bookmarkStart w:id="1" w:name="_GoBack"/>
      <w:r>
        <w:rPr>
          <w:rFonts w:hint="default" w:ascii="Caladea" w:hAnsi="Caladea" w:cs="Caladea"/>
          <w:sz w:val="28"/>
          <w:szCs w:val="28"/>
        </w:rPr>
        <w:t xml:space="preserve">Uganda is an agricultural country with about 80% of the land suitable for agriculture but 34% under cultivation. Previously, Ugandan soils were renowned for their high fertility. However, there has been progressive depletion of soil nutrients that have caused the need for large scale fertiliser use. Uganda loses approximately 80 kg of nutrient per hectare per year through topsoil erosion and nutrient export through harvested crop biomass. </w:t>
      </w:r>
    </w:p>
    <w:p>
      <w:pPr>
        <w:ind w:right="491"/>
        <w:jc w:val="both"/>
        <w:rPr>
          <w:rFonts w:hint="default" w:ascii="Caladea" w:hAnsi="Caladea" w:cs="Caladea"/>
          <w:sz w:val="28"/>
          <w:szCs w:val="28"/>
        </w:rPr>
      </w:pPr>
      <w:r>
        <w:rPr>
          <w:rFonts w:hint="default" w:ascii="Caladea" w:hAnsi="Caladea" w:cs="Caladea"/>
          <w:sz w:val="28"/>
          <w:szCs w:val="28"/>
        </w:rPr>
        <w:t>With the high population in the Country that largely depends on agriculture. This creates pressure on the soils due to over cultivation of the available land for food and the soils are depleted of nutrients. Of the estimated loss of 80 kg of nutrients per hectare per year, farmers are adding only between 1-1.5 kg, making Uganda one of the least in fertiliser application in the whole world. This rate of use is below the average of 8 kg per hectare in Sub-Saharan Africa (SSA). Studies have revealed that the major challenges that contribute to low use of fertiliser (organic, inorganic and bio-fertilisers) are related to supply and demand factors.</w:t>
      </w:r>
    </w:p>
    <w:bookmarkEnd w:id="1"/>
    <w:p>
      <w:pPr>
        <w:spacing w:line="276" w:lineRule="auto"/>
        <w:jc w:val="both"/>
        <w:rPr>
          <w:rFonts w:hint="default" w:ascii="Caladea" w:hAnsi="Caladea" w:cs="Caladea"/>
          <w:sz w:val="28"/>
          <w:szCs w:val="28"/>
        </w:rPr>
      </w:pPr>
      <w:r>
        <w:rPr>
          <w:rFonts w:hint="default" w:ascii="Caladea" w:hAnsi="Caladea" w:cs="Caladea"/>
          <w:sz w:val="28"/>
          <w:szCs w:val="28"/>
        </w:rPr>
        <w:t xml:space="preserve">Globally the recommended level of fertilizers application is at 100kg/ha. It’s important to note that farmers in most African countries are increasing their application levels for fertilizers and therefore the average fertilizer application rate in Sub-Sahara Africa is at 16kg/ha. </w:t>
      </w:r>
      <w:r>
        <w:rPr>
          <w:rFonts w:hint="default" w:ascii="Caladea" w:hAnsi="Caladea" w:cs="Caladea"/>
          <w:sz w:val="28"/>
          <w:szCs w:val="28"/>
          <w:lang w:val="en-AU"/>
        </w:rPr>
        <w:t xml:space="preserve">Currently, the </w:t>
      </w:r>
      <w:r>
        <w:rPr>
          <w:rFonts w:hint="default" w:ascii="Caladea" w:hAnsi="Caladea" w:cs="Caladea"/>
          <w:sz w:val="28"/>
          <w:szCs w:val="28"/>
        </w:rPr>
        <w:t xml:space="preserve">use of fertilizers in Uganda is very low (at about 1 </w:t>
      </w:r>
      <w:r>
        <w:rPr>
          <w:rFonts w:hint="default" w:ascii="Caladea" w:hAnsi="Caladea" w:cs="Caladea"/>
          <w:sz w:val="28"/>
          <w:szCs w:val="28"/>
          <w:lang w:val="en-AU"/>
        </w:rPr>
        <w:t xml:space="preserve">kg of nutrient per hectare per year) compared to Kenya (32 Kg/ha); Rwanda (29 kg/ha); and Tanzania (6kg/ha). </w:t>
      </w:r>
    </w:p>
    <w:p>
      <w:pPr>
        <w:jc w:val="both"/>
        <w:rPr>
          <w:rFonts w:hint="default" w:ascii="Caladea" w:hAnsi="Caladea" w:cs="Caladea"/>
          <w:b/>
          <w:bCs/>
          <w:sz w:val="28"/>
          <w:szCs w:val="28"/>
        </w:rPr>
      </w:pPr>
    </w:p>
    <w:p>
      <w:pPr>
        <w:jc w:val="both"/>
        <w:rPr>
          <w:rFonts w:hint="default" w:ascii="Caladea" w:hAnsi="Caladea" w:cs="Caladea"/>
          <w:b/>
          <w:bCs/>
          <w:sz w:val="28"/>
          <w:szCs w:val="28"/>
        </w:rPr>
      </w:pPr>
      <w:r>
        <w:rPr>
          <w:rFonts w:hint="default" w:ascii="Caladea" w:hAnsi="Caladea" w:cs="Caladea"/>
          <w:b/>
          <w:bCs/>
          <w:sz w:val="28"/>
          <w:szCs w:val="28"/>
        </w:rPr>
        <w:t>3.0 REGULATIONS GOVERNING THE FERTILIZER SECTOR</w:t>
      </w:r>
    </w:p>
    <w:p>
      <w:pPr>
        <w:numPr>
          <w:ilvl w:val="0"/>
          <w:numId w:val="3"/>
        </w:numPr>
        <w:jc w:val="both"/>
        <w:rPr>
          <w:rFonts w:hint="default" w:ascii="Caladea" w:hAnsi="Caladea" w:cs="Caladea"/>
          <w:b/>
          <w:bCs/>
          <w:sz w:val="28"/>
          <w:szCs w:val="28"/>
        </w:rPr>
      </w:pPr>
      <w:r>
        <w:rPr>
          <w:rFonts w:hint="default" w:ascii="Caladea" w:hAnsi="Caladea" w:cs="Caladea"/>
          <w:b/>
          <w:bCs/>
          <w:sz w:val="28"/>
          <w:szCs w:val="28"/>
        </w:rPr>
        <w:t>The National Fertilizer Policy (NFP), 2016</w:t>
      </w:r>
    </w:p>
    <w:p>
      <w:pPr>
        <w:jc w:val="both"/>
        <w:rPr>
          <w:rFonts w:hint="default" w:ascii="Caladea" w:hAnsi="Caladea" w:cs="Caladea"/>
          <w:sz w:val="28"/>
          <w:szCs w:val="28"/>
        </w:rPr>
      </w:pPr>
      <w:r>
        <w:rPr>
          <w:rFonts w:hint="default" w:ascii="Caladea" w:hAnsi="Caladea" w:cs="Caladea"/>
          <w:sz w:val="28"/>
          <w:szCs w:val="28"/>
        </w:rPr>
        <w:t>This policy was developed by the Ministry of Agriculture Animal Industry and Fisheries in 2016. The Uganda National Fertiliser Policy (NFP) brings together all the related fragmented regulations into a single and comprehensive policy framework on fertiliser.</w:t>
      </w:r>
    </w:p>
    <w:p>
      <w:pPr>
        <w:jc w:val="both"/>
        <w:rPr>
          <w:rFonts w:hint="default" w:ascii="Caladea" w:hAnsi="Caladea" w:cs="Caladea"/>
          <w:sz w:val="28"/>
          <w:szCs w:val="28"/>
        </w:rPr>
      </w:pPr>
    </w:p>
    <w:p>
      <w:pPr>
        <w:jc w:val="both"/>
        <w:rPr>
          <w:rFonts w:hint="default" w:ascii="Caladea" w:hAnsi="Caladea" w:cs="Caladea"/>
          <w:sz w:val="28"/>
          <w:szCs w:val="28"/>
        </w:rPr>
      </w:pPr>
      <w:r>
        <w:rPr>
          <w:rFonts w:hint="default" w:ascii="Caladea" w:hAnsi="Caladea" w:cs="Caladea"/>
          <w:sz w:val="28"/>
          <w:szCs w:val="28"/>
        </w:rPr>
        <w:t>The process to develop the fertilizer policy was initiated way back in 2010 when Economic Policy Research Center (EPRC) through its research highlighted that Uganda’s soils were no longer fertile and required use of fertilizers to bolster soil nutrients for better agricultural yields and boosting agricultural production and productivity.</w:t>
      </w:r>
    </w:p>
    <w:p>
      <w:pPr>
        <w:jc w:val="both"/>
        <w:rPr>
          <w:rFonts w:hint="default" w:ascii="Caladea" w:hAnsi="Caladea" w:cs="Caladea"/>
          <w:sz w:val="28"/>
          <w:szCs w:val="28"/>
        </w:rPr>
      </w:pPr>
    </w:p>
    <w:p>
      <w:pPr>
        <w:numPr>
          <w:ilvl w:val="0"/>
          <w:numId w:val="3"/>
        </w:numPr>
        <w:jc w:val="both"/>
        <w:rPr>
          <w:rFonts w:hint="default" w:ascii="Caladea" w:hAnsi="Caladea" w:cs="Caladea"/>
          <w:b/>
          <w:bCs/>
          <w:sz w:val="28"/>
          <w:szCs w:val="28"/>
        </w:rPr>
      </w:pPr>
      <w:r>
        <w:rPr>
          <w:rFonts w:hint="default" w:ascii="Caladea" w:hAnsi="Caladea" w:cs="Caladea"/>
          <w:b/>
          <w:bCs/>
          <w:sz w:val="28"/>
          <w:szCs w:val="28"/>
        </w:rPr>
        <w:t>The Agricultural Chemicals Control Act, 2006</w:t>
      </w:r>
    </w:p>
    <w:p>
      <w:pPr>
        <w:jc w:val="both"/>
        <w:rPr>
          <w:rFonts w:hint="default" w:ascii="Caladea" w:hAnsi="Caladea" w:cs="Caladea"/>
          <w:sz w:val="28"/>
          <w:szCs w:val="28"/>
        </w:rPr>
      </w:pPr>
      <w:r>
        <w:rPr>
          <w:rFonts w:hint="default" w:ascii="Caladea" w:hAnsi="Caladea" w:cs="Caladea"/>
          <w:sz w:val="28"/>
          <w:szCs w:val="28"/>
        </w:rPr>
        <w:t xml:space="preserve">To regulate the quality, sale and distribution of agricultural chemicals (including fertilisers), Government enacted the </w:t>
      </w:r>
      <w:bookmarkStart w:id="0" w:name="_Hlk131108211"/>
      <w:r>
        <w:rPr>
          <w:rFonts w:hint="default" w:ascii="Caladea" w:hAnsi="Caladea" w:cs="Caladea"/>
          <w:sz w:val="28"/>
          <w:szCs w:val="28"/>
        </w:rPr>
        <w:t>Agricultural Chemicals Control Act, 2006</w:t>
      </w:r>
      <w:bookmarkEnd w:id="0"/>
      <w:r>
        <w:rPr>
          <w:rFonts w:hint="default" w:ascii="Caladea" w:hAnsi="Caladea" w:cs="Caladea"/>
          <w:sz w:val="28"/>
          <w:szCs w:val="28"/>
        </w:rPr>
        <w:t xml:space="preserve">, that controls and regulates the manufacture, storage, distribution and trade in, use, importation and exportation of agricultural chemicals, including fertilisers and other related matters. </w:t>
      </w:r>
    </w:p>
    <w:p>
      <w:pPr>
        <w:jc w:val="both"/>
        <w:rPr>
          <w:rFonts w:hint="default" w:ascii="Caladea" w:hAnsi="Caladea" w:cs="Caladea"/>
          <w:sz w:val="28"/>
          <w:szCs w:val="28"/>
        </w:rPr>
      </w:pPr>
    </w:p>
    <w:p>
      <w:pPr>
        <w:jc w:val="both"/>
        <w:rPr>
          <w:rFonts w:hint="default" w:ascii="Caladea" w:hAnsi="Caladea" w:cs="Caladea"/>
          <w:b/>
          <w:bCs/>
          <w:sz w:val="28"/>
          <w:szCs w:val="28"/>
        </w:rPr>
      </w:pPr>
      <w:r>
        <w:rPr>
          <w:rFonts w:hint="default" w:ascii="Caladea" w:hAnsi="Caladea" w:cs="Caladea"/>
          <w:b/>
          <w:bCs/>
          <w:sz w:val="28"/>
          <w:szCs w:val="28"/>
        </w:rPr>
        <w:t>4.0 IMPORTS BY FERTILISER TYPE</w:t>
      </w:r>
    </w:p>
    <w:tbl>
      <w:tblPr>
        <w:tblStyle w:val="3"/>
        <w:tblW w:w="5328" w:type="pct"/>
        <w:tblInd w:w="-4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5"/>
        <w:gridCol w:w="872"/>
        <w:gridCol w:w="1932"/>
        <w:gridCol w:w="811"/>
        <w:gridCol w:w="811"/>
        <w:gridCol w:w="812"/>
        <w:gridCol w:w="120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765" w:type="pct"/>
            <w:vAlign w:val="center"/>
          </w:tcPr>
          <w:p>
            <w:pPr>
              <w:spacing w:after="0" w:line="240" w:lineRule="auto"/>
              <w:rPr>
                <w:rFonts w:hint="default" w:ascii="Caladea" w:hAnsi="Caladea" w:eastAsia="Times New Roman" w:cs="Caladea"/>
                <w:b/>
                <w:bCs/>
                <w:kern w:val="0"/>
                <w:sz w:val="20"/>
                <w:szCs w:val="20"/>
                <w14:ligatures w14:val="none"/>
              </w:rPr>
            </w:pPr>
            <w:r>
              <w:rPr>
                <w:rFonts w:hint="default" w:ascii="Caladea" w:hAnsi="Caladea" w:eastAsia="Times New Roman" w:cs="Caladea"/>
                <w:b/>
                <w:bCs/>
                <w:kern w:val="0"/>
                <w:sz w:val="20"/>
                <w:szCs w:val="20"/>
                <w14:ligatures w14:val="none"/>
              </w:rPr>
              <w:t>Product</w:t>
            </w:r>
          </w:p>
        </w:tc>
        <w:tc>
          <w:tcPr>
            <w:tcW w:w="333" w:type="pct"/>
            <w:shd w:val="clear" w:color="000000" w:fill="5D7B9D"/>
          </w:tcPr>
          <w:p>
            <w:pPr>
              <w:spacing w:after="0" w:line="240" w:lineRule="auto"/>
              <w:jc w:val="center"/>
              <w:rPr>
                <w:rFonts w:hint="default" w:ascii="Caladea" w:hAnsi="Caladea" w:eastAsia="Times New Roman" w:cs="Caladea"/>
                <w:b/>
                <w:bCs/>
                <w:color w:val="FFFFFF"/>
                <w:kern w:val="0"/>
                <w:sz w:val="20"/>
                <w:szCs w:val="20"/>
                <w14:ligatures w14:val="none"/>
              </w:rPr>
            </w:pPr>
          </w:p>
        </w:tc>
        <w:tc>
          <w:tcPr>
            <w:tcW w:w="1017" w:type="pct"/>
            <w:shd w:val="clear" w:color="000000" w:fill="5D7B9D"/>
            <w:vAlign w:val="center"/>
          </w:tcPr>
          <w:p>
            <w:pPr>
              <w:spacing w:after="0" w:line="240" w:lineRule="auto"/>
              <w:jc w:val="center"/>
              <w:rPr>
                <w:rFonts w:hint="default" w:ascii="Caladea" w:hAnsi="Caladea" w:eastAsia="Times New Roman" w:cs="Caladea"/>
                <w:b/>
                <w:bCs/>
                <w:color w:val="FFFFFF"/>
                <w:kern w:val="0"/>
                <w:sz w:val="20"/>
                <w:szCs w:val="20"/>
                <w14:ligatures w14:val="none"/>
              </w:rPr>
            </w:pPr>
            <w:r>
              <w:rPr>
                <w:rFonts w:hint="default" w:ascii="Caladea" w:hAnsi="Caladea" w:eastAsia="Times New Roman" w:cs="Caladea"/>
                <w:b/>
                <w:bCs/>
                <w:color w:val="FFFFFF"/>
                <w:kern w:val="0"/>
                <w:sz w:val="20"/>
                <w:szCs w:val="20"/>
                <w14:ligatures w14:val="none"/>
              </w:rPr>
              <w:t>2017</w:t>
            </w:r>
          </w:p>
        </w:tc>
        <w:tc>
          <w:tcPr>
            <w:tcW w:w="395" w:type="pct"/>
            <w:shd w:val="clear" w:color="000000" w:fill="5D7B9D"/>
            <w:vAlign w:val="center"/>
          </w:tcPr>
          <w:p>
            <w:pPr>
              <w:spacing w:after="0" w:line="240" w:lineRule="auto"/>
              <w:jc w:val="center"/>
              <w:rPr>
                <w:rFonts w:hint="default" w:ascii="Caladea" w:hAnsi="Caladea" w:eastAsia="Times New Roman" w:cs="Caladea"/>
                <w:b/>
                <w:bCs/>
                <w:color w:val="FFFFFF"/>
                <w:kern w:val="0"/>
                <w:sz w:val="20"/>
                <w:szCs w:val="20"/>
                <w14:ligatures w14:val="none"/>
              </w:rPr>
            </w:pPr>
            <w:r>
              <w:rPr>
                <w:rFonts w:hint="default" w:ascii="Caladea" w:hAnsi="Caladea" w:eastAsia="Times New Roman" w:cs="Caladea"/>
                <w:b/>
                <w:bCs/>
                <w:color w:val="FFFFFF"/>
                <w:kern w:val="0"/>
                <w:sz w:val="20"/>
                <w:szCs w:val="20"/>
                <w14:ligatures w14:val="none"/>
              </w:rPr>
              <w:t>2018</w:t>
            </w:r>
          </w:p>
        </w:tc>
        <w:tc>
          <w:tcPr>
            <w:tcW w:w="395" w:type="pct"/>
            <w:shd w:val="clear" w:color="000000" w:fill="5D7B9D"/>
            <w:vAlign w:val="center"/>
          </w:tcPr>
          <w:p>
            <w:pPr>
              <w:spacing w:after="0" w:line="240" w:lineRule="auto"/>
              <w:rPr>
                <w:rFonts w:hint="default" w:ascii="Caladea" w:hAnsi="Caladea" w:eastAsia="Times New Roman" w:cs="Caladea"/>
                <w:b/>
                <w:bCs/>
                <w:color w:val="FFFFFF"/>
                <w:kern w:val="0"/>
                <w:sz w:val="20"/>
                <w:szCs w:val="20"/>
                <w14:ligatures w14:val="none"/>
              </w:rPr>
            </w:pPr>
            <w:r>
              <w:rPr>
                <w:rFonts w:hint="default" w:ascii="Caladea" w:hAnsi="Caladea" w:eastAsia="Times New Roman" w:cs="Caladea"/>
                <w:b/>
                <w:bCs/>
                <w:color w:val="FFFFFF"/>
                <w:kern w:val="0"/>
                <w:sz w:val="20"/>
                <w:szCs w:val="20"/>
                <w14:ligatures w14:val="none"/>
              </w:rPr>
              <w:t>2019</w:t>
            </w:r>
          </w:p>
        </w:tc>
        <w:tc>
          <w:tcPr>
            <w:tcW w:w="437" w:type="pct"/>
            <w:shd w:val="clear" w:color="000000" w:fill="5D7B9D"/>
            <w:vAlign w:val="center"/>
          </w:tcPr>
          <w:p>
            <w:pPr>
              <w:spacing w:after="0" w:line="240" w:lineRule="auto"/>
              <w:rPr>
                <w:rFonts w:hint="default" w:ascii="Caladea" w:hAnsi="Caladea" w:eastAsia="Times New Roman" w:cs="Caladea"/>
                <w:b/>
                <w:bCs/>
                <w:color w:val="FFFFFF"/>
                <w:kern w:val="0"/>
                <w:sz w:val="20"/>
                <w:szCs w:val="20"/>
                <w14:ligatures w14:val="none"/>
              </w:rPr>
            </w:pPr>
            <w:r>
              <w:rPr>
                <w:rFonts w:hint="default" w:ascii="Caladea" w:hAnsi="Caladea" w:eastAsia="Times New Roman" w:cs="Caladea"/>
                <w:b/>
                <w:bCs/>
                <w:color w:val="FFFFFF"/>
                <w:kern w:val="0"/>
                <w:sz w:val="20"/>
                <w:szCs w:val="20"/>
                <w14:ligatures w14:val="none"/>
              </w:rPr>
              <w:t>2020</w:t>
            </w:r>
          </w:p>
        </w:tc>
        <w:tc>
          <w:tcPr>
            <w:tcW w:w="658" w:type="pct"/>
            <w:shd w:val="clear" w:color="000000" w:fill="5D7B9D"/>
            <w:vAlign w:val="center"/>
          </w:tcPr>
          <w:p>
            <w:pPr>
              <w:spacing w:after="0" w:line="240" w:lineRule="auto"/>
              <w:rPr>
                <w:rFonts w:hint="default" w:ascii="Caladea" w:hAnsi="Caladea" w:eastAsia="Times New Roman" w:cs="Caladea"/>
                <w:b/>
                <w:bCs/>
                <w:color w:val="FFFFFF"/>
                <w:kern w:val="0"/>
                <w:sz w:val="20"/>
                <w:szCs w:val="20"/>
                <w14:ligatures w14:val="none"/>
              </w:rPr>
            </w:pPr>
            <w:r>
              <w:rPr>
                <w:rFonts w:hint="default" w:ascii="Caladea" w:hAnsi="Caladea" w:eastAsia="Times New Roman" w:cs="Caladea"/>
                <w:b/>
                <w:bCs/>
                <w:color w:val="FFFFFF"/>
                <w:kern w:val="0"/>
                <w:sz w:val="20"/>
                <w:szCs w:val="20"/>
                <w14:ligatures w14:val="none"/>
              </w:rPr>
              <w:t>2021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7" w:hRule="atLeast"/>
        </w:trPr>
        <w:tc>
          <w:tcPr>
            <w:tcW w:w="1765" w:type="pct"/>
            <w:vMerge w:val="restart"/>
            <w:shd w:val="clear" w:color="000000" w:fill="F7F6F3"/>
            <w:vAlign w:val="bottom"/>
          </w:tcPr>
          <w:p>
            <w:pPr>
              <w:spacing w:after="0" w:line="240" w:lineRule="auto"/>
              <w:rPr>
                <w:rFonts w:hint="default" w:ascii="Caladea" w:hAnsi="Caladea" w:eastAsia="Times New Roman" w:cs="Caladea"/>
                <w:color w:val="002B54"/>
                <w:kern w:val="0"/>
                <w:sz w:val="20"/>
                <w:szCs w:val="20"/>
                <w14:ligatures w14:val="none"/>
              </w:rPr>
            </w:pPr>
            <w:r>
              <w:rPr>
                <w:rFonts w:hint="default" w:ascii="Caladea" w:hAnsi="Caladea" w:eastAsia="Times New Roman" w:cs="Caladea"/>
                <w:color w:val="002B54"/>
                <w:kern w:val="0"/>
                <w:sz w:val="20"/>
                <w:szCs w:val="20"/>
                <w14:ligatures w14:val="none"/>
              </w:rPr>
              <w:t>Mineral or chemical potassic fertilisers (excluding those in tablets or similar forms, or in packages with a gross weight of &lt;= 10 kg)</w:t>
            </w:r>
          </w:p>
        </w:tc>
        <w:tc>
          <w:tcPr>
            <w:tcW w:w="333" w:type="pct"/>
            <w:shd w:val="clear" w:color="000000" w:fill="F7F6F3"/>
          </w:tcPr>
          <w:p>
            <w:pPr>
              <w:spacing w:after="0" w:line="240" w:lineRule="auto"/>
              <w:rPr>
                <w:rFonts w:hint="default" w:ascii="Caladea" w:hAnsi="Caladea" w:eastAsia="Times New Roman" w:cs="Caladea"/>
                <w:color w:val="002B54"/>
                <w:kern w:val="0"/>
                <w:sz w:val="20"/>
                <w:szCs w:val="20"/>
                <w14:ligatures w14:val="none"/>
              </w:rPr>
            </w:pPr>
            <w:r>
              <w:rPr>
                <w:rFonts w:hint="default" w:ascii="Caladea" w:hAnsi="Caladea" w:eastAsia="Times New Roman" w:cs="Caladea"/>
                <w:color w:val="002B54"/>
                <w:kern w:val="0"/>
                <w:sz w:val="20"/>
                <w:szCs w:val="20"/>
                <w14:ligatures w14:val="none"/>
              </w:rPr>
              <w:t>Value</w:t>
            </w:r>
          </w:p>
        </w:tc>
        <w:tc>
          <w:tcPr>
            <w:tcW w:w="1017" w:type="pct"/>
            <w:shd w:val="clear" w:color="000000" w:fill="F7F6F3"/>
            <w:vAlign w:val="bottom"/>
          </w:tcPr>
          <w:p>
            <w:pPr>
              <w:spacing w:after="0" w:line="240" w:lineRule="auto"/>
              <w:jc w:val="right"/>
              <w:rPr>
                <w:rFonts w:hint="default" w:ascii="Caladea" w:hAnsi="Caladea" w:eastAsia="Times New Roman" w:cs="Caladea"/>
                <w:color w:val="002B54"/>
                <w:kern w:val="0"/>
                <w:sz w:val="20"/>
                <w:szCs w:val="20"/>
                <w14:ligatures w14:val="none"/>
              </w:rPr>
            </w:pPr>
            <w:r>
              <w:rPr>
                <w:rFonts w:hint="default" w:ascii="Caladea" w:hAnsi="Caladea" w:eastAsia="Times New Roman" w:cs="Caladea"/>
                <w:color w:val="002B54"/>
                <w:kern w:val="0"/>
                <w:sz w:val="20"/>
                <w:szCs w:val="20"/>
                <w14:ligatures w14:val="none"/>
              </w:rPr>
              <w:t>854</w:t>
            </w:r>
          </w:p>
        </w:tc>
        <w:tc>
          <w:tcPr>
            <w:tcW w:w="395" w:type="pct"/>
            <w:shd w:val="clear" w:color="000000" w:fill="F7F6F3"/>
            <w:vAlign w:val="bottom"/>
          </w:tcPr>
          <w:p>
            <w:pPr>
              <w:spacing w:after="0" w:line="240" w:lineRule="auto"/>
              <w:jc w:val="right"/>
              <w:rPr>
                <w:rFonts w:hint="default" w:ascii="Caladea" w:hAnsi="Caladea" w:eastAsia="Times New Roman" w:cs="Caladea"/>
                <w:color w:val="002B54"/>
                <w:kern w:val="0"/>
                <w:sz w:val="20"/>
                <w:szCs w:val="20"/>
                <w14:ligatures w14:val="none"/>
              </w:rPr>
            </w:pPr>
            <w:r>
              <w:rPr>
                <w:rFonts w:hint="default" w:ascii="Caladea" w:hAnsi="Caladea" w:eastAsia="Times New Roman" w:cs="Caladea"/>
                <w:color w:val="002B54"/>
                <w:kern w:val="0"/>
                <w:sz w:val="20"/>
                <w:szCs w:val="20"/>
                <w14:ligatures w14:val="none"/>
              </w:rPr>
              <w:t>3338</w:t>
            </w:r>
          </w:p>
        </w:tc>
        <w:tc>
          <w:tcPr>
            <w:tcW w:w="395" w:type="pct"/>
            <w:shd w:val="clear" w:color="000000" w:fill="F7F6F3"/>
            <w:vAlign w:val="bottom"/>
          </w:tcPr>
          <w:p>
            <w:pPr>
              <w:spacing w:after="0" w:line="240" w:lineRule="auto"/>
              <w:jc w:val="right"/>
              <w:rPr>
                <w:rFonts w:hint="default" w:ascii="Caladea" w:hAnsi="Caladea" w:eastAsia="Times New Roman" w:cs="Caladea"/>
                <w:color w:val="002B54"/>
                <w:kern w:val="0"/>
                <w:sz w:val="20"/>
                <w:szCs w:val="20"/>
                <w14:ligatures w14:val="none"/>
              </w:rPr>
            </w:pPr>
            <w:r>
              <w:rPr>
                <w:rFonts w:hint="default" w:ascii="Caladea" w:hAnsi="Caladea" w:eastAsia="Times New Roman" w:cs="Caladea"/>
                <w:color w:val="002B54"/>
                <w:kern w:val="0"/>
                <w:sz w:val="20"/>
                <w:szCs w:val="20"/>
                <w14:ligatures w14:val="none"/>
              </w:rPr>
              <w:t>2,162</w:t>
            </w:r>
          </w:p>
        </w:tc>
        <w:tc>
          <w:tcPr>
            <w:tcW w:w="437" w:type="pct"/>
            <w:shd w:val="clear" w:color="000000" w:fill="F7F6F3"/>
            <w:vAlign w:val="bottom"/>
          </w:tcPr>
          <w:p>
            <w:pPr>
              <w:spacing w:after="0" w:line="240" w:lineRule="auto"/>
              <w:jc w:val="right"/>
              <w:rPr>
                <w:rFonts w:hint="default" w:ascii="Caladea" w:hAnsi="Caladea" w:eastAsia="Times New Roman" w:cs="Caladea"/>
                <w:color w:val="002B54"/>
                <w:kern w:val="0"/>
                <w:sz w:val="20"/>
                <w:szCs w:val="20"/>
                <w14:ligatures w14:val="none"/>
              </w:rPr>
            </w:pPr>
            <w:r>
              <w:rPr>
                <w:rFonts w:hint="default" w:ascii="Caladea" w:hAnsi="Caladea" w:eastAsia="Times New Roman" w:cs="Caladea"/>
                <w:color w:val="002B54"/>
                <w:kern w:val="0"/>
                <w:sz w:val="20"/>
                <w:szCs w:val="20"/>
                <w14:ligatures w14:val="none"/>
              </w:rPr>
              <w:t>4,149</w:t>
            </w:r>
          </w:p>
        </w:tc>
        <w:tc>
          <w:tcPr>
            <w:tcW w:w="658" w:type="pct"/>
            <w:shd w:val="clear" w:color="000000" w:fill="F7F6F3"/>
            <w:vAlign w:val="bottom"/>
          </w:tcPr>
          <w:p>
            <w:pPr>
              <w:spacing w:after="0" w:line="240" w:lineRule="auto"/>
              <w:jc w:val="right"/>
              <w:rPr>
                <w:rFonts w:hint="default" w:ascii="Caladea" w:hAnsi="Caladea" w:eastAsia="Times New Roman" w:cs="Caladea"/>
                <w:color w:val="002B54"/>
                <w:kern w:val="0"/>
                <w:sz w:val="20"/>
                <w:szCs w:val="20"/>
                <w14:ligatures w14:val="none"/>
              </w:rPr>
            </w:pPr>
            <w:r>
              <w:rPr>
                <w:rFonts w:hint="default" w:ascii="Caladea" w:hAnsi="Caladea" w:eastAsia="Times New Roman" w:cs="Caladea"/>
                <w:color w:val="002B54"/>
                <w:kern w:val="0"/>
                <w:sz w:val="20"/>
                <w:szCs w:val="20"/>
                <w14:ligatures w14:val="none"/>
              </w:rPr>
              <w:t>3,329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1765" w:type="pct"/>
            <w:vMerge w:val="continue"/>
            <w:shd w:val="clear" w:color="000000" w:fill="FFFFFF"/>
            <w:vAlign w:val="bottom"/>
          </w:tcPr>
          <w:p>
            <w:pPr>
              <w:spacing w:after="0" w:line="240" w:lineRule="auto"/>
              <w:rPr>
                <w:rFonts w:hint="default" w:ascii="Caladea" w:hAnsi="Caladea" w:eastAsia="Times New Roman" w:cs="Caladea"/>
                <w:color w:val="002B54"/>
                <w:kern w:val="0"/>
                <w:sz w:val="20"/>
                <w:szCs w:val="20"/>
                <w14:ligatures w14:val="none"/>
              </w:rPr>
            </w:pPr>
          </w:p>
        </w:tc>
        <w:tc>
          <w:tcPr>
            <w:tcW w:w="333" w:type="pct"/>
            <w:shd w:val="clear" w:color="000000" w:fill="FFFFFF"/>
          </w:tcPr>
          <w:p>
            <w:pPr>
              <w:spacing w:after="0" w:line="240" w:lineRule="auto"/>
              <w:rPr>
                <w:rFonts w:hint="default" w:ascii="Caladea" w:hAnsi="Caladea" w:eastAsia="Times New Roman" w:cs="Caladea"/>
                <w:color w:val="002B54"/>
                <w:kern w:val="0"/>
                <w:sz w:val="20"/>
                <w:szCs w:val="20"/>
                <w14:ligatures w14:val="none"/>
              </w:rPr>
            </w:pPr>
            <w:r>
              <w:rPr>
                <w:rFonts w:hint="default" w:ascii="Caladea" w:hAnsi="Caladea" w:eastAsia="Times New Roman" w:cs="Caladea"/>
                <w:color w:val="002B54"/>
                <w:kern w:val="0"/>
                <w:sz w:val="20"/>
                <w:szCs w:val="20"/>
                <w14:ligatures w14:val="none"/>
              </w:rPr>
              <w:t>Volume</w:t>
            </w:r>
          </w:p>
        </w:tc>
        <w:tc>
          <w:tcPr>
            <w:tcW w:w="1017" w:type="pct"/>
            <w:tcBorders>
              <w:top w:val="single" w:color="000000" w:sz="4" w:space="0"/>
              <w:left w:val="nil"/>
              <w:bottom w:val="single" w:color="000000" w:sz="4" w:space="0"/>
              <w:right w:val="single" w:color="000000" w:sz="4" w:space="0"/>
            </w:tcBorders>
            <w:shd w:val="clear" w:color="000000" w:fill="F7F6F3"/>
            <w:vAlign w:val="bottom"/>
          </w:tcPr>
          <w:p>
            <w:pPr>
              <w:spacing w:after="0" w:line="240" w:lineRule="auto"/>
              <w:jc w:val="right"/>
              <w:rPr>
                <w:rFonts w:hint="default" w:ascii="Caladea" w:hAnsi="Caladea" w:eastAsia="Times New Roman" w:cs="Caladea"/>
                <w:color w:val="002B54"/>
                <w:kern w:val="0"/>
                <w:sz w:val="20"/>
                <w:szCs w:val="20"/>
                <w14:ligatures w14:val="none"/>
              </w:rPr>
            </w:pPr>
            <w:r>
              <w:rPr>
                <w:rFonts w:hint="default" w:ascii="Caladea" w:hAnsi="Caladea" w:eastAsia="Times New Roman" w:cs="Caladea"/>
                <w:color w:val="002B54"/>
                <w:kern w:val="0"/>
                <w:sz w:val="20"/>
                <w:szCs w:val="20"/>
                <w14:ligatures w14:val="none"/>
              </w:rPr>
              <w:t xml:space="preserve">                              546 </w:t>
            </w:r>
          </w:p>
        </w:tc>
        <w:tc>
          <w:tcPr>
            <w:tcW w:w="395" w:type="pct"/>
            <w:tcBorders>
              <w:top w:val="single" w:color="000000" w:sz="4" w:space="0"/>
              <w:left w:val="nil"/>
              <w:bottom w:val="single" w:color="000000" w:sz="4" w:space="0"/>
              <w:right w:val="single" w:color="000000" w:sz="4" w:space="0"/>
            </w:tcBorders>
            <w:shd w:val="clear" w:color="000000" w:fill="F7F6F3"/>
            <w:vAlign w:val="bottom"/>
          </w:tcPr>
          <w:p>
            <w:pPr>
              <w:spacing w:after="0" w:line="240" w:lineRule="auto"/>
              <w:jc w:val="right"/>
              <w:rPr>
                <w:rFonts w:hint="default" w:ascii="Caladea" w:hAnsi="Caladea" w:eastAsia="Times New Roman" w:cs="Caladea"/>
                <w:color w:val="002B54"/>
                <w:kern w:val="0"/>
                <w:sz w:val="20"/>
                <w:szCs w:val="20"/>
                <w14:ligatures w14:val="none"/>
              </w:rPr>
            </w:pPr>
            <w:r>
              <w:rPr>
                <w:rFonts w:hint="default" w:ascii="Caladea" w:hAnsi="Caladea" w:eastAsia="Times New Roman" w:cs="Caladea"/>
                <w:color w:val="002B54"/>
                <w:kern w:val="0"/>
                <w:sz w:val="20"/>
                <w:szCs w:val="20"/>
                <w14:ligatures w14:val="none"/>
              </w:rPr>
              <w:t xml:space="preserve">                         1,074 </w:t>
            </w:r>
          </w:p>
        </w:tc>
        <w:tc>
          <w:tcPr>
            <w:tcW w:w="395" w:type="pct"/>
            <w:tcBorders>
              <w:top w:val="single" w:color="000000" w:sz="4" w:space="0"/>
              <w:left w:val="nil"/>
              <w:bottom w:val="single" w:color="000000" w:sz="4" w:space="0"/>
              <w:right w:val="single" w:color="000000" w:sz="4" w:space="0"/>
            </w:tcBorders>
            <w:shd w:val="clear" w:color="000000" w:fill="F7F6F3"/>
            <w:vAlign w:val="bottom"/>
          </w:tcPr>
          <w:p>
            <w:pPr>
              <w:spacing w:after="0" w:line="240" w:lineRule="auto"/>
              <w:jc w:val="right"/>
              <w:rPr>
                <w:rFonts w:hint="default" w:ascii="Caladea" w:hAnsi="Caladea" w:eastAsia="Times New Roman" w:cs="Caladea"/>
                <w:color w:val="002B54"/>
                <w:kern w:val="0"/>
                <w:sz w:val="20"/>
                <w:szCs w:val="20"/>
                <w14:ligatures w14:val="none"/>
              </w:rPr>
            </w:pPr>
            <w:r>
              <w:rPr>
                <w:rFonts w:hint="default" w:ascii="Caladea" w:hAnsi="Caladea" w:eastAsia="Times New Roman" w:cs="Caladea"/>
                <w:color w:val="002B54"/>
                <w:kern w:val="0"/>
                <w:sz w:val="20"/>
                <w:szCs w:val="20"/>
                <w14:ligatures w14:val="none"/>
              </w:rPr>
              <w:t xml:space="preserve">                         2,967 </w:t>
            </w:r>
          </w:p>
        </w:tc>
        <w:tc>
          <w:tcPr>
            <w:tcW w:w="437" w:type="pct"/>
            <w:shd w:val="clear" w:color="000000" w:fill="FFFFFF"/>
            <w:vAlign w:val="bottom"/>
          </w:tcPr>
          <w:p>
            <w:pPr>
              <w:spacing w:after="0" w:line="240" w:lineRule="auto"/>
              <w:jc w:val="right"/>
              <w:rPr>
                <w:rFonts w:hint="default" w:ascii="Caladea" w:hAnsi="Caladea" w:eastAsia="Times New Roman" w:cs="Caladea"/>
                <w:color w:val="002B54"/>
                <w:kern w:val="0"/>
                <w:sz w:val="20"/>
                <w:szCs w:val="20"/>
                <w14:ligatures w14:val="none"/>
              </w:rPr>
            </w:pPr>
            <w:r>
              <w:rPr>
                <w:rFonts w:hint="default" w:ascii="Caladea" w:hAnsi="Caladea" w:eastAsia="Times New Roman" w:cs="Caladea"/>
                <w:color w:val="002B54"/>
                <w:kern w:val="0"/>
                <w:sz w:val="20"/>
                <w:szCs w:val="20"/>
                <w14:ligatures w14:val="none"/>
              </w:rPr>
              <w:t xml:space="preserve">                         1,270 </w:t>
            </w:r>
          </w:p>
        </w:tc>
        <w:tc>
          <w:tcPr>
            <w:tcW w:w="658" w:type="pct"/>
            <w:shd w:val="clear" w:color="000000" w:fill="FFFFFF"/>
            <w:vAlign w:val="bottom"/>
          </w:tcPr>
          <w:p>
            <w:pPr>
              <w:spacing w:after="0" w:line="240" w:lineRule="auto"/>
              <w:jc w:val="right"/>
              <w:rPr>
                <w:rFonts w:hint="default" w:ascii="Caladea" w:hAnsi="Caladea" w:eastAsia="Times New Roman" w:cs="Caladea"/>
                <w:color w:val="002B54"/>
                <w:kern w:val="0"/>
                <w:sz w:val="20"/>
                <w:szCs w:val="20"/>
                <w14:ligatures w14:val="none"/>
              </w:rPr>
            </w:pPr>
            <w:r>
              <w:rPr>
                <w:rFonts w:hint="default" w:ascii="Caladea" w:hAnsi="Caladea" w:eastAsia="Times New Roman" w:cs="Caladea"/>
                <w:color w:val="002B54"/>
                <w:kern w:val="0"/>
                <w:sz w:val="20"/>
                <w:szCs w:val="20"/>
                <w14:ligatures w14:val="none"/>
              </w:rPr>
              <w:t xml:space="preserve">                         3,851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3" w:hRule="atLeast"/>
        </w:trPr>
        <w:tc>
          <w:tcPr>
            <w:tcW w:w="1765" w:type="pct"/>
            <w:vMerge w:val="restart"/>
            <w:shd w:val="clear" w:color="000000" w:fill="FFFFFF"/>
            <w:vAlign w:val="bottom"/>
          </w:tcPr>
          <w:p>
            <w:pPr>
              <w:spacing w:after="0" w:line="240" w:lineRule="auto"/>
              <w:rPr>
                <w:rFonts w:hint="default" w:ascii="Caladea" w:hAnsi="Caladea" w:eastAsia="Times New Roman" w:cs="Caladea"/>
                <w:color w:val="002B54"/>
                <w:kern w:val="0"/>
                <w:sz w:val="20"/>
                <w:szCs w:val="20"/>
                <w14:ligatures w14:val="none"/>
              </w:rPr>
            </w:pPr>
            <w:r>
              <w:rPr>
                <w:rFonts w:hint="default" w:ascii="Caladea" w:hAnsi="Caladea" w:eastAsia="Times New Roman" w:cs="Caladea"/>
                <w:color w:val="002B54"/>
                <w:kern w:val="0"/>
                <w:sz w:val="20"/>
                <w:szCs w:val="20"/>
                <w14:ligatures w14:val="none"/>
              </w:rPr>
              <w:t>Mineral or chemical nitrogenous fertilisers (excluding those in pellet or similar forms, or in packages with a gross weight of &lt;= 10 kg)</w:t>
            </w:r>
          </w:p>
        </w:tc>
        <w:tc>
          <w:tcPr>
            <w:tcW w:w="333" w:type="pct"/>
            <w:shd w:val="clear" w:color="000000" w:fill="FFFFFF"/>
          </w:tcPr>
          <w:p>
            <w:pPr>
              <w:spacing w:after="0" w:line="240" w:lineRule="auto"/>
              <w:rPr>
                <w:rFonts w:hint="default" w:ascii="Caladea" w:hAnsi="Caladea" w:eastAsia="Times New Roman" w:cs="Caladea"/>
                <w:color w:val="002B54"/>
                <w:kern w:val="0"/>
                <w:sz w:val="20"/>
                <w:szCs w:val="20"/>
                <w14:ligatures w14:val="none"/>
              </w:rPr>
            </w:pPr>
            <w:r>
              <w:rPr>
                <w:rFonts w:hint="default" w:ascii="Caladea" w:hAnsi="Caladea" w:eastAsia="Times New Roman" w:cs="Caladea"/>
                <w:color w:val="002B54"/>
                <w:kern w:val="0"/>
                <w:sz w:val="20"/>
                <w:szCs w:val="20"/>
                <w14:ligatures w14:val="none"/>
              </w:rPr>
              <w:t>Value</w:t>
            </w:r>
          </w:p>
        </w:tc>
        <w:tc>
          <w:tcPr>
            <w:tcW w:w="1017" w:type="pct"/>
            <w:shd w:val="clear" w:color="000000" w:fill="FFFFFF"/>
            <w:vAlign w:val="bottom"/>
          </w:tcPr>
          <w:p>
            <w:pPr>
              <w:spacing w:after="0" w:line="240" w:lineRule="auto"/>
              <w:jc w:val="right"/>
              <w:rPr>
                <w:rFonts w:hint="default" w:ascii="Caladea" w:hAnsi="Caladea" w:eastAsia="Times New Roman" w:cs="Caladea"/>
                <w:color w:val="002B54"/>
                <w:kern w:val="0"/>
                <w:sz w:val="20"/>
                <w:szCs w:val="20"/>
                <w14:ligatures w14:val="none"/>
              </w:rPr>
            </w:pPr>
            <w:r>
              <w:rPr>
                <w:rFonts w:hint="default" w:ascii="Caladea" w:hAnsi="Caladea" w:eastAsia="Times New Roman" w:cs="Caladea"/>
                <w:color w:val="002B54"/>
                <w:kern w:val="0"/>
                <w:sz w:val="20"/>
                <w:szCs w:val="20"/>
                <w14:ligatures w14:val="none"/>
              </w:rPr>
              <w:t>5,458</w:t>
            </w:r>
          </w:p>
        </w:tc>
        <w:tc>
          <w:tcPr>
            <w:tcW w:w="395" w:type="pct"/>
            <w:shd w:val="clear" w:color="000000" w:fill="FFFFFF"/>
            <w:vAlign w:val="bottom"/>
          </w:tcPr>
          <w:p>
            <w:pPr>
              <w:spacing w:after="0" w:line="240" w:lineRule="auto"/>
              <w:jc w:val="right"/>
              <w:rPr>
                <w:rFonts w:hint="default" w:ascii="Caladea" w:hAnsi="Caladea" w:eastAsia="Times New Roman" w:cs="Caladea"/>
                <w:color w:val="002B54"/>
                <w:kern w:val="0"/>
                <w:sz w:val="20"/>
                <w:szCs w:val="20"/>
                <w14:ligatures w14:val="none"/>
              </w:rPr>
            </w:pPr>
            <w:r>
              <w:rPr>
                <w:rFonts w:hint="default" w:ascii="Caladea" w:hAnsi="Caladea" w:eastAsia="Times New Roman" w:cs="Caladea"/>
                <w:color w:val="002B54"/>
                <w:kern w:val="0"/>
                <w:sz w:val="20"/>
                <w:szCs w:val="20"/>
                <w14:ligatures w14:val="none"/>
              </w:rPr>
              <w:t>9,976</w:t>
            </w:r>
          </w:p>
        </w:tc>
        <w:tc>
          <w:tcPr>
            <w:tcW w:w="395" w:type="pct"/>
            <w:shd w:val="clear" w:color="000000" w:fill="FFFFFF"/>
            <w:vAlign w:val="bottom"/>
          </w:tcPr>
          <w:p>
            <w:pPr>
              <w:spacing w:after="0" w:line="240" w:lineRule="auto"/>
              <w:jc w:val="right"/>
              <w:rPr>
                <w:rFonts w:hint="default" w:ascii="Caladea" w:hAnsi="Caladea" w:eastAsia="Times New Roman" w:cs="Caladea"/>
                <w:color w:val="002B54"/>
                <w:kern w:val="0"/>
                <w:sz w:val="20"/>
                <w:szCs w:val="20"/>
                <w14:ligatures w14:val="none"/>
              </w:rPr>
            </w:pPr>
            <w:r>
              <w:rPr>
                <w:rFonts w:hint="default" w:ascii="Caladea" w:hAnsi="Caladea" w:eastAsia="Times New Roman" w:cs="Caladea"/>
                <w:color w:val="002B54"/>
                <w:kern w:val="0"/>
                <w:sz w:val="20"/>
                <w:szCs w:val="20"/>
                <w14:ligatures w14:val="none"/>
              </w:rPr>
              <w:t>1,0892</w:t>
            </w:r>
          </w:p>
        </w:tc>
        <w:tc>
          <w:tcPr>
            <w:tcW w:w="437" w:type="pct"/>
            <w:shd w:val="clear" w:color="000000" w:fill="FFFFFF"/>
            <w:vAlign w:val="bottom"/>
          </w:tcPr>
          <w:p>
            <w:pPr>
              <w:spacing w:after="0" w:line="240" w:lineRule="auto"/>
              <w:jc w:val="right"/>
              <w:rPr>
                <w:rFonts w:hint="default" w:ascii="Caladea" w:hAnsi="Caladea" w:eastAsia="Times New Roman" w:cs="Caladea"/>
                <w:color w:val="002B54"/>
                <w:kern w:val="0"/>
                <w:sz w:val="20"/>
                <w:szCs w:val="20"/>
                <w14:ligatures w14:val="none"/>
              </w:rPr>
            </w:pPr>
            <w:r>
              <w:rPr>
                <w:rFonts w:hint="default" w:ascii="Caladea" w:hAnsi="Caladea" w:eastAsia="Times New Roman" w:cs="Caladea"/>
                <w:color w:val="002B54"/>
                <w:kern w:val="0"/>
                <w:sz w:val="20"/>
                <w:szCs w:val="20"/>
                <w14:ligatures w14:val="none"/>
              </w:rPr>
              <w:t>4,542</w:t>
            </w:r>
          </w:p>
        </w:tc>
        <w:tc>
          <w:tcPr>
            <w:tcW w:w="658" w:type="pct"/>
            <w:shd w:val="clear" w:color="000000" w:fill="FFFFFF"/>
            <w:vAlign w:val="bottom"/>
          </w:tcPr>
          <w:p>
            <w:pPr>
              <w:spacing w:after="0" w:line="240" w:lineRule="auto"/>
              <w:jc w:val="right"/>
              <w:rPr>
                <w:rFonts w:hint="default" w:ascii="Caladea" w:hAnsi="Caladea" w:eastAsia="Times New Roman" w:cs="Caladea"/>
                <w:color w:val="002B54"/>
                <w:kern w:val="0"/>
                <w:sz w:val="20"/>
                <w:szCs w:val="20"/>
                <w14:ligatures w14:val="none"/>
              </w:rPr>
            </w:pPr>
            <w:r>
              <w:rPr>
                <w:rFonts w:hint="default" w:ascii="Caladea" w:hAnsi="Caladea" w:eastAsia="Times New Roman" w:cs="Caladea"/>
                <w:color w:val="002B54"/>
                <w:kern w:val="0"/>
                <w:sz w:val="20"/>
                <w:szCs w:val="20"/>
                <w14:ligatures w14:val="none"/>
              </w:rPr>
              <w:t>8,396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1" w:hRule="atLeast"/>
        </w:trPr>
        <w:tc>
          <w:tcPr>
            <w:tcW w:w="1765" w:type="pct"/>
            <w:vMerge w:val="continue"/>
            <w:shd w:val="clear" w:color="000000" w:fill="F7F6F3"/>
            <w:vAlign w:val="bottom"/>
          </w:tcPr>
          <w:p>
            <w:pPr>
              <w:spacing w:after="0" w:line="240" w:lineRule="auto"/>
              <w:rPr>
                <w:rFonts w:hint="default" w:ascii="Caladea" w:hAnsi="Caladea" w:eastAsia="Times New Roman" w:cs="Caladea"/>
                <w:color w:val="002B54"/>
                <w:kern w:val="0"/>
                <w:sz w:val="20"/>
                <w:szCs w:val="20"/>
                <w14:ligatures w14:val="none"/>
              </w:rPr>
            </w:pPr>
          </w:p>
        </w:tc>
        <w:tc>
          <w:tcPr>
            <w:tcW w:w="333" w:type="pct"/>
            <w:shd w:val="clear" w:color="000000" w:fill="F7F6F3"/>
          </w:tcPr>
          <w:p>
            <w:pPr>
              <w:spacing w:after="0" w:line="240" w:lineRule="auto"/>
              <w:jc w:val="right"/>
              <w:rPr>
                <w:rFonts w:hint="default" w:ascii="Caladea" w:hAnsi="Caladea" w:eastAsia="Times New Roman" w:cs="Caladea"/>
                <w:color w:val="002B54"/>
                <w:kern w:val="0"/>
                <w:sz w:val="20"/>
                <w:szCs w:val="20"/>
                <w14:ligatures w14:val="none"/>
              </w:rPr>
            </w:pPr>
            <w:r>
              <w:rPr>
                <w:rFonts w:hint="default" w:ascii="Caladea" w:hAnsi="Caladea" w:eastAsia="Times New Roman" w:cs="Caladea"/>
                <w:color w:val="002B54"/>
                <w:kern w:val="0"/>
                <w:sz w:val="20"/>
                <w:szCs w:val="20"/>
                <w14:ligatures w14:val="none"/>
              </w:rPr>
              <w:t>Volume</w:t>
            </w:r>
          </w:p>
        </w:tc>
        <w:tc>
          <w:tcPr>
            <w:tcW w:w="1017" w:type="pct"/>
            <w:tcBorders>
              <w:top w:val="single" w:color="000000" w:sz="4" w:space="0"/>
              <w:left w:val="single" w:color="000000" w:sz="4" w:space="0"/>
              <w:bottom w:val="single" w:color="000000" w:sz="4" w:space="0"/>
              <w:right w:val="single" w:color="000000" w:sz="4" w:space="0"/>
            </w:tcBorders>
            <w:shd w:val="clear" w:color="000000" w:fill="FFFFFF"/>
            <w:vAlign w:val="bottom"/>
          </w:tcPr>
          <w:p>
            <w:pPr>
              <w:spacing w:after="0" w:line="240" w:lineRule="auto"/>
              <w:jc w:val="right"/>
              <w:rPr>
                <w:rFonts w:hint="default" w:ascii="Caladea" w:hAnsi="Caladea" w:eastAsia="Times New Roman" w:cs="Caladea"/>
                <w:color w:val="002B54"/>
                <w:kern w:val="0"/>
                <w:sz w:val="20"/>
                <w:szCs w:val="20"/>
                <w14:ligatures w14:val="none"/>
              </w:rPr>
            </w:pPr>
            <w:r>
              <w:rPr>
                <w:rFonts w:hint="default" w:ascii="Caladea" w:hAnsi="Caladea" w:eastAsia="Times New Roman" w:cs="Caladea"/>
                <w:color w:val="002B54"/>
                <w:kern w:val="0"/>
                <w:sz w:val="20"/>
                <w:szCs w:val="20"/>
                <w14:ligatures w14:val="none"/>
              </w:rPr>
              <w:t>13524</w:t>
            </w:r>
          </w:p>
        </w:tc>
        <w:tc>
          <w:tcPr>
            <w:tcW w:w="395" w:type="pct"/>
            <w:tcBorders>
              <w:top w:val="single" w:color="000000" w:sz="4" w:space="0"/>
              <w:left w:val="nil"/>
              <w:bottom w:val="single" w:color="000000" w:sz="4" w:space="0"/>
              <w:right w:val="single" w:color="000000" w:sz="4" w:space="0"/>
            </w:tcBorders>
            <w:shd w:val="clear" w:color="000000" w:fill="FFFFFF"/>
            <w:vAlign w:val="bottom"/>
          </w:tcPr>
          <w:p>
            <w:pPr>
              <w:spacing w:after="0" w:line="240" w:lineRule="auto"/>
              <w:jc w:val="right"/>
              <w:rPr>
                <w:rFonts w:hint="default" w:ascii="Caladea" w:hAnsi="Caladea" w:eastAsia="Times New Roman" w:cs="Caladea"/>
                <w:color w:val="002B54"/>
                <w:kern w:val="0"/>
                <w:sz w:val="20"/>
                <w:szCs w:val="20"/>
                <w14:ligatures w14:val="none"/>
              </w:rPr>
            </w:pPr>
            <w:r>
              <w:rPr>
                <w:rFonts w:hint="default" w:ascii="Caladea" w:hAnsi="Caladea" w:eastAsia="Times New Roman" w:cs="Caladea"/>
                <w:color w:val="002B54"/>
                <w:kern w:val="0"/>
                <w:sz w:val="20"/>
                <w:szCs w:val="20"/>
                <w14:ligatures w14:val="none"/>
              </w:rPr>
              <w:t xml:space="preserve">                      17,911 </w:t>
            </w:r>
          </w:p>
        </w:tc>
        <w:tc>
          <w:tcPr>
            <w:tcW w:w="395" w:type="pct"/>
            <w:tcBorders>
              <w:top w:val="single" w:color="000000" w:sz="4" w:space="0"/>
              <w:left w:val="nil"/>
              <w:bottom w:val="single" w:color="000000" w:sz="4" w:space="0"/>
              <w:right w:val="single" w:color="000000" w:sz="4" w:space="0"/>
            </w:tcBorders>
            <w:shd w:val="clear" w:color="000000" w:fill="FFFFFF"/>
            <w:vAlign w:val="bottom"/>
          </w:tcPr>
          <w:p>
            <w:pPr>
              <w:spacing w:after="0" w:line="240" w:lineRule="auto"/>
              <w:jc w:val="right"/>
              <w:rPr>
                <w:rFonts w:hint="default" w:ascii="Caladea" w:hAnsi="Caladea" w:eastAsia="Times New Roman" w:cs="Caladea"/>
                <w:color w:val="002B54"/>
                <w:kern w:val="0"/>
                <w:sz w:val="20"/>
                <w:szCs w:val="20"/>
                <w14:ligatures w14:val="none"/>
              </w:rPr>
            </w:pPr>
            <w:r>
              <w:rPr>
                <w:rFonts w:hint="default" w:ascii="Caladea" w:hAnsi="Caladea" w:eastAsia="Times New Roman" w:cs="Caladea"/>
                <w:color w:val="002B54"/>
                <w:kern w:val="0"/>
                <w:sz w:val="20"/>
                <w:szCs w:val="20"/>
                <w14:ligatures w14:val="none"/>
              </w:rPr>
              <w:t xml:space="preserve">                      18,064 </w:t>
            </w:r>
          </w:p>
        </w:tc>
        <w:tc>
          <w:tcPr>
            <w:tcW w:w="437" w:type="pct"/>
            <w:tcBorders>
              <w:top w:val="single" w:color="000000" w:sz="4" w:space="0"/>
              <w:left w:val="nil"/>
              <w:bottom w:val="single" w:color="000000" w:sz="4" w:space="0"/>
              <w:right w:val="single" w:color="000000" w:sz="4" w:space="0"/>
            </w:tcBorders>
            <w:shd w:val="clear" w:color="000000" w:fill="FFFFFF"/>
            <w:vAlign w:val="bottom"/>
          </w:tcPr>
          <w:p>
            <w:pPr>
              <w:spacing w:after="0" w:line="240" w:lineRule="auto"/>
              <w:jc w:val="right"/>
              <w:rPr>
                <w:rFonts w:hint="default" w:ascii="Caladea" w:hAnsi="Caladea" w:eastAsia="Times New Roman" w:cs="Caladea"/>
                <w:color w:val="002B54"/>
                <w:kern w:val="0"/>
                <w:sz w:val="20"/>
                <w:szCs w:val="20"/>
                <w14:ligatures w14:val="none"/>
              </w:rPr>
            </w:pPr>
            <w:r>
              <w:rPr>
                <w:rFonts w:hint="default" w:ascii="Caladea" w:hAnsi="Caladea" w:eastAsia="Times New Roman" w:cs="Caladea"/>
                <w:color w:val="002B54"/>
                <w:kern w:val="0"/>
                <w:sz w:val="20"/>
                <w:szCs w:val="20"/>
                <w14:ligatures w14:val="none"/>
              </w:rPr>
              <w:t xml:space="preserve">                      12,408 </w:t>
            </w:r>
          </w:p>
        </w:tc>
        <w:tc>
          <w:tcPr>
            <w:tcW w:w="658" w:type="pct"/>
            <w:tcBorders>
              <w:top w:val="single" w:color="000000" w:sz="4" w:space="0"/>
              <w:left w:val="nil"/>
              <w:bottom w:val="single" w:color="000000" w:sz="4" w:space="0"/>
              <w:right w:val="single" w:color="000000" w:sz="4" w:space="0"/>
            </w:tcBorders>
            <w:shd w:val="clear" w:color="000000" w:fill="FFFFFF"/>
            <w:vAlign w:val="bottom"/>
          </w:tcPr>
          <w:p>
            <w:pPr>
              <w:spacing w:after="0" w:line="240" w:lineRule="auto"/>
              <w:jc w:val="right"/>
              <w:rPr>
                <w:rFonts w:hint="default" w:ascii="Caladea" w:hAnsi="Caladea" w:eastAsia="Times New Roman" w:cs="Caladea"/>
                <w:color w:val="002B54"/>
                <w:kern w:val="0"/>
                <w:sz w:val="20"/>
                <w:szCs w:val="20"/>
                <w14:ligatures w14:val="none"/>
              </w:rPr>
            </w:pPr>
            <w:r>
              <w:rPr>
                <w:rFonts w:hint="default" w:ascii="Caladea" w:hAnsi="Caladea" w:eastAsia="Times New Roman" w:cs="Caladea"/>
                <w:color w:val="002B54"/>
                <w:kern w:val="0"/>
                <w:sz w:val="20"/>
                <w:szCs w:val="20"/>
                <w14:ligatures w14:val="none"/>
              </w:rPr>
              <w:t xml:space="preserve">                      18,934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7" w:hRule="atLeast"/>
        </w:trPr>
        <w:tc>
          <w:tcPr>
            <w:tcW w:w="1765" w:type="pct"/>
            <w:vMerge w:val="restart"/>
            <w:shd w:val="clear" w:color="000000" w:fill="F7F6F3"/>
            <w:vAlign w:val="bottom"/>
          </w:tcPr>
          <w:p>
            <w:pPr>
              <w:spacing w:after="0" w:line="240" w:lineRule="auto"/>
              <w:rPr>
                <w:rFonts w:hint="default" w:ascii="Caladea" w:hAnsi="Caladea" w:eastAsia="Times New Roman" w:cs="Caladea"/>
                <w:color w:val="002B54"/>
                <w:kern w:val="0"/>
                <w:sz w:val="20"/>
                <w:szCs w:val="20"/>
                <w14:ligatures w14:val="none"/>
              </w:rPr>
            </w:pPr>
            <w:r>
              <w:rPr>
                <w:rFonts w:hint="default" w:ascii="Caladea" w:hAnsi="Caladea" w:eastAsia="Times New Roman" w:cs="Caladea"/>
                <w:color w:val="002B54"/>
                <w:kern w:val="0"/>
                <w:sz w:val="20"/>
                <w:szCs w:val="20"/>
                <w14:ligatures w14:val="none"/>
              </w:rPr>
              <w:t>Mineral or chemical phosphatic fertilisers (excluding those in tablets or similar forms, or in packages with a gross weight of &lt;= 10 kg)</w:t>
            </w:r>
          </w:p>
        </w:tc>
        <w:tc>
          <w:tcPr>
            <w:tcW w:w="333" w:type="pct"/>
            <w:shd w:val="clear" w:color="000000" w:fill="F7F6F3"/>
          </w:tcPr>
          <w:p>
            <w:pPr>
              <w:spacing w:after="0" w:line="240" w:lineRule="auto"/>
              <w:rPr>
                <w:rFonts w:hint="default" w:ascii="Caladea" w:hAnsi="Caladea" w:eastAsia="Times New Roman" w:cs="Caladea"/>
                <w:color w:val="002B54"/>
                <w:kern w:val="0"/>
                <w:sz w:val="20"/>
                <w:szCs w:val="20"/>
                <w14:ligatures w14:val="none"/>
              </w:rPr>
            </w:pPr>
            <w:r>
              <w:rPr>
                <w:rFonts w:hint="default" w:ascii="Caladea" w:hAnsi="Caladea" w:eastAsia="Times New Roman" w:cs="Caladea"/>
                <w:color w:val="002B54"/>
                <w:kern w:val="0"/>
                <w:sz w:val="20"/>
                <w:szCs w:val="20"/>
                <w14:ligatures w14:val="none"/>
              </w:rPr>
              <w:t>Value</w:t>
            </w:r>
          </w:p>
        </w:tc>
        <w:tc>
          <w:tcPr>
            <w:tcW w:w="1017" w:type="pct"/>
            <w:shd w:val="clear" w:color="000000" w:fill="F7F6F3"/>
            <w:vAlign w:val="bottom"/>
          </w:tcPr>
          <w:p>
            <w:pPr>
              <w:spacing w:after="0" w:line="240" w:lineRule="auto"/>
              <w:jc w:val="right"/>
              <w:rPr>
                <w:rFonts w:hint="default" w:ascii="Caladea" w:hAnsi="Caladea" w:eastAsia="Times New Roman" w:cs="Caladea"/>
                <w:color w:val="002B54"/>
                <w:kern w:val="0"/>
                <w:sz w:val="20"/>
                <w:szCs w:val="20"/>
                <w14:ligatures w14:val="none"/>
              </w:rPr>
            </w:pPr>
            <w:r>
              <w:rPr>
                <w:rFonts w:hint="default" w:ascii="Caladea" w:hAnsi="Caladea" w:eastAsia="Times New Roman" w:cs="Caladea"/>
                <w:color w:val="002B54"/>
                <w:kern w:val="0"/>
                <w:sz w:val="20"/>
                <w:szCs w:val="20"/>
                <w14:ligatures w14:val="none"/>
              </w:rPr>
              <w:t>739</w:t>
            </w:r>
          </w:p>
        </w:tc>
        <w:tc>
          <w:tcPr>
            <w:tcW w:w="395" w:type="pct"/>
            <w:shd w:val="clear" w:color="000000" w:fill="F7F6F3"/>
            <w:vAlign w:val="bottom"/>
          </w:tcPr>
          <w:p>
            <w:pPr>
              <w:spacing w:after="0" w:line="240" w:lineRule="auto"/>
              <w:jc w:val="right"/>
              <w:rPr>
                <w:rFonts w:hint="default" w:ascii="Caladea" w:hAnsi="Caladea" w:eastAsia="Times New Roman" w:cs="Caladea"/>
                <w:color w:val="002B54"/>
                <w:kern w:val="0"/>
                <w:sz w:val="20"/>
                <w:szCs w:val="20"/>
                <w14:ligatures w14:val="none"/>
              </w:rPr>
            </w:pPr>
            <w:r>
              <w:rPr>
                <w:rFonts w:hint="default" w:ascii="Caladea" w:hAnsi="Caladea" w:eastAsia="Times New Roman" w:cs="Caladea"/>
                <w:color w:val="002B54"/>
                <w:kern w:val="0"/>
                <w:sz w:val="20"/>
                <w:szCs w:val="20"/>
                <w14:ligatures w14:val="none"/>
              </w:rPr>
              <w:t>643</w:t>
            </w:r>
          </w:p>
        </w:tc>
        <w:tc>
          <w:tcPr>
            <w:tcW w:w="395" w:type="pct"/>
            <w:shd w:val="clear" w:color="000000" w:fill="F7F6F3"/>
            <w:vAlign w:val="bottom"/>
          </w:tcPr>
          <w:p>
            <w:pPr>
              <w:spacing w:after="0" w:line="240" w:lineRule="auto"/>
              <w:jc w:val="right"/>
              <w:rPr>
                <w:rFonts w:hint="default" w:ascii="Caladea" w:hAnsi="Caladea" w:eastAsia="Times New Roman" w:cs="Caladea"/>
                <w:color w:val="002B54"/>
                <w:kern w:val="0"/>
                <w:sz w:val="20"/>
                <w:szCs w:val="20"/>
                <w14:ligatures w14:val="none"/>
              </w:rPr>
            </w:pPr>
            <w:r>
              <w:rPr>
                <w:rFonts w:hint="default" w:ascii="Caladea" w:hAnsi="Caladea" w:eastAsia="Times New Roman" w:cs="Caladea"/>
                <w:color w:val="002B54"/>
                <w:kern w:val="0"/>
                <w:sz w:val="20"/>
                <w:szCs w:val="20"/>
                <w14:ligatures w14:val="none"/>
              </w:rPr>
              <w:t>545</w:t>
            </w:r>
          </w:p>
        </w:tc>
        <w:tc>
          <w:tcPr>
            <w:tcW w:w="437" w:type="pct"/>
            <w:shd w:val="clear" w:color="000000" w:fill="F7F6F3"/>
            <w:vAlign w:val="bottom"/>
          </w:tcPr>
          <w:p>
            <w:pPr>
              <w:spacing w:after="0" w:line="240" w:lineRule="auto"/>
              <w:jc w:val="right"/>
              <w:rPr>
                <w:rFonts w:hint="default" w:ascii="Caladea" w:hAnsi="Caladea" w:eastAsia="Times New Roman" w:cs="Caladea"/>
                <w:color w:val="002B54"/>
                <w:kern w:val="0"/>
                <w:sz w:val="20"/>
                <w:szCs w:val="20"/>
                <w14:ligatures w14:val="none"/>
              </w:rPr>
            </w:pPr>
            <w:r>
              <w:rPr>
                <w:rFonts w:hint="default" w:ascii="Caladea" w:hAnsi="Caladea" w:eastAsia="Times New Roman" w:cs="Caladea"/>
                <w:color w:val="002B54"/>
                <w:kern w:val="0"/>
                <w:sz w:val="20"/>
                <w:szCs w:val="20"/>
                <w14:ligatures w14:val="none"/>
              </w:rPr>
              <w:t>159</w:t>
            </w:r>
          </w:p>
        </w:tc>
        <w:tc>
          <w:tcPr>
            <w:tcW w:w="658" w:type="pct"/>
            <w:shd w:val="clear" w:color="000000" w:fill="F7F6F3"/>
            <w:vAlign w:val="bottom"/>
          </w:tcPr>
          <w:p>
            <w:pPr>
              <w:spacing w:after="0" w:line="240" w:lineRule="auto"/>
              <w:jc w:val="right"/>
              <w:rPr>
                <w:rFonts w:hint="default" w:ascii="Caladea" w:hAnsi="Caladea" w:eastAsia="Times New Roman" w:cs="Caladea"/>
                <w:color w:val="002B54"/>
                <w:kern w:val="0"/>
                <w:sz w:val="20"/>
                <w:szCs w:val="20"/>
                <w14:ligatures w14:val="none"/>
              </w:rPr>
            </w:pPr>
            <w:r>
              <w:rPr>
                <w:rFonts w:hint="default" w:ascii="Caladea" w:hAnsi="Caladea" w:eastAsia="Times New Roman" w:cs="Caladea"/>
                <w:color w:val="002B54"/>
                <w:kern w:val="0"/>
                <w:sz w:val="20"/>
                <w:szCs w:val="20"/>
                <w14:ligatures w14:val="none"/>
              </w:rPr>
              <w:t>166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trPr>
        <w:tc>
          <w:tcPr>
            <w:tcW w:w="1765" w:type="pct"/>
            <w:vMerge w:val="continue"/>
            <w:shd w:val="clear" w:color="000000" w:fill="FFFFFF"/>
            <w:vAlign w:val="bottom"/>
          </w:tcPr>
          <w:p>
            <w:pPr>
              <w:spacing w:after="0" w:line="240" w:lineRule="auto"/>
              <w:rPr>
                <w:rFonts w:hint="default" w:ascii="Caladea" w:hAnsi="Caladea" w:eastAsia="Times New Roman" w:cs="Caladea"/>
                <w:color w:val="002B54"/>
                <w:kern w:val="0"/>
                <w:sz w:val="20"/>
                <w:szCs w:val="20"/>
                <w14:ligatures w14:val="none"/>
              </w:rPr>
            </w:pPr>
          </w:p>
        </w:tc>
        <w:tc>
          <w:tcPr>
            <w:tcW w:w="333" w:type="pct"/>
            <w:shd w:val="clear" w:color="000000" w:fill="FFFFFF"/>
          </w:tcPr>
          <w:p>
            <w:pPr>
              <w:spacing w:after="0" w:line="240" w:lineRule="auto"/>
              <w:jc w:val="right"/>
              <w:rPr>
                <w:rFonts w:hint="default" w:ascii="Caladea" w:hAnsi="Caladea" w:eastAsia="Times New Roman" w:cs="Caladea"/>
                <w:color w:val="002B54"/>
                <w:kern w:val="0"/>
                <w:sz w:val="20"/>
                <w:szCs w:val="20"/>
                <w14:ligatures w14:val="none"/>
              </w:rPr>
            </w:pPr>
            <w:r>
              <w:rPr>
                <w:rFonts w:hint="default" w:ascii="Caladea" w:hAnsi="Caladea" w:eastAsia="Times New Roman" w:cs="Caladea"/>
                <w:color w:val="002B54"/>
                <w:kern w:val="0"/>
                <w:sz w:val="20"/>
                <w:szCs w:val="20"/>
                <w14:ligatures w14:val="none"/>
              </w:rPr>
              <w:t>Volume</w:t>
            </w:r>
          </w:p>
        </w:tc>
        <w:tc>
          <w:tcPr>
            <w:tcW w:w="1017" w:type="pct"/>
            <w:tcBorders>
              <w:top w:val="single" w:color="000000" w:sz="4" w:space="0"/>
              <w:left w:val="single" w:color="000000" w:sz="4" w:space="0"/>
              <w:bottom w:val="single" w:color="000000" w:sz="4" w:space="0"/>
              <w:right w:val="single" w:color="000000" w:sz="4" w:space="0"/>
            </w:tcBorders>
            <w:shd w:val="clear" w:color="000000" w:fill="F7F6F3"/>
            <w:vAlign w:val="bottom"/>
          </w:tcPr>
          <w:p>
            <w:pPr>
              <w:spacing w:after="0" w:line="240" w:lineRule="auto"/>
              <w:jc w:val="right"/>
              <w:rPr>
                <w:rFonts w:hint="default" w:ascii="Caladea" w:hAnsi="Caladea" w:eastAsia="Times New Roman" w:cs="Caladea"/>
                <w:color w:val="002B54"/>
                <w:kern w:val="0"/>
                <w:sz w:val="20"/>
                <w:szCs w:val="20"/>
                <w14:ligatures w14:val="none"/>
              </w:rPr>
            </w:pPr>
            <w:r>
              <w:rPr>
                <w:rFonts w:hint="default" w:ascii="Caladea" w:hAnsi="Caladea" w:eastAsia="Times New Roman" w:cs="Caladea"/>
                <w:color w:val="002B54"/>
                <w:kern w:val="0"/>
                <w:sz w:val="20"/>
                <w:szCs w:val="20"/>
                <w14:ligatures w14:val="none"/>
              </w:rPr>
              <w:t xml:space="preserve">                         1,393 </w:t>
            </w:r>
          </w:p>
        </w:tc>
        <w:tc>
          <w:tcPr>
            <w:tcW w:w="395" w:type="pct"/>
            <w:tcBorders>
              <w:top w:val="single" w:color="000000" w:sz="4" w:space="0"/>
              <w:left w:val="nil"/>
              <w:bottom w:val="single" w:color="000000" w:sz="4" w:space="0"/>
              <w:right w:val="single" w:color="000000" w:sz="4" w:space="0"/>
            </w:tcBorders>
            <w:shd w:val="clear" w:color="000000" w:fill="F7F6F3"/>
            <w:vAlign w:val="bottom"/>
          </w:tcPr>
          <w:p>
            <w:pPr>
              <w:spacing w:after="0" w:line="240" w:lineRule="auto"/>
              <w:jc w:val="right"/>
              <w:rPr>
                <w:rFonts w:hint="default" w:ascii="Caladea" w:hAnsi="Caladea" w:eastAsia="Times New Roman" w:cs="Caladea"/>
                <w:color w:val="002B54"/>
                <w:kern w:val="0"/>
                <w:sz w:val="20"/>
                <w:szCs w:val="20"/>
                <w14:ligatures w14:val="none"/>
              </w:rPr>
            </w:pPr>
            <w:r>
              <w:rPr>
                <w:rFonts w:hint="default" w:ascii="Caladea" w:hAnsi="Caladea" w:eastAsia="Times New Roman" w:cs="Caladea"/>
                <w:color w:val="002B54"/>
                <w:kern w:val="0"/>
                <w:sz w:val="20"/>
                <w:szCs w:val="20"/>
                <w14:ligatures w14:val="none"/>
              </w:rPr>
              <w:t xml:space="preserve">                         1,465 </w:t>
            </w:r>
          </w:p>
        </w:tc>
        <w:tc>
          <w:tcPr>
            <w:tcW w:w="395" w:type="pct"/>
            <w:tcBorders>
              <w:top w:val="single" w:color="000000" w:sz="4" w:space="0"/>
              <w:left w:val="nil"/>
              <w:bottom w:val="single" w:color="000000" w:sz="4" w:space="0"/>
              <w:right w:val="single" w:color="000000" w:sz="4" w:space="0"/>
            </w:tcBorders>
            <w:shd w:val="clear" w:color="000000" w:fill="F7F6F3"/>
            <w:vAlign w:val="bottom"/>
          </w:tcPr>
          <w:p>
            <w:pPr>
              <w:spacing w:after="0" w:line="240" w:lineRule="auto"/>
              <w:jc w:val="right"/>
              <w:rPr>
                <w:rFonts w:hint="default" w:ascii="Caladea" w:hAnsi="Caladea" w:eastAsia="Times New Roman" w:cs="Caladea"/>
                <w:color w:val="002B54"/>
                <w:kern w:val="0"/>
                <w:sz w:val="20"/>
                <w:szCs w:val="20"/>
                <w14:ligatures w14:val="none"/>
              </w:rPr>
            </w:pPr>
            <w:r>
              <w:rPr>
                <w:rFonts w:hint="default" w:ascii="Caladea" w:hAnsi="Caladea" w:eastAsia="Times New Roman" w:cs="Caladea"/>
                <w:color w:val="002B54"/>
                <w:kern w:val="0"/>
                <w:sz w:val="20"/>
                <w:szCs w:val="20"/>
                <w14:ligatures w14:val="none"/>
              </w:rPr>
              <w:t xml:space="preserve">                         1,193 </w:t>
            </w:r>
          </w:p>
        </w:tc>
        <w:tc>
          <w:tcPr>
            <w:tcW w:w="437" w:type="pct"/>
            <w:tcBorders>
              <w:top w:val="single" w:color="000000" w:sz="4" w:space="0"/>
              <w:left w:val="nil"/>
              <w:bottom w:val="single" w:color="000000" w:sz="4" w:space="0"/>
              <w:right w:val="single" w:color="000000" w:sz="4" w:space="0"/>
            </w:tcBorders>
            <w:shd w:val="clear" w:color="000000" w:fill="F7F6F3"/>
            <w:vAlign w:val="bottom"/>
          </w:tcPr>
          <w:p>
            <w:pPr>
              <w:spacing w:after="0" w:line="240" w:lineRule="auto"/>
              <w:jc w:val="right"/>
              <w:rPr>
                <w:rFonts w:hint="default" w:ascii="Caladea" w:hAnsi="Caladea" w:eastAsia="Times New Roman" w:cs="Caladea"/>
                <w:color w:val="002B54"/>
                <w:kern w:val="0"/>
                <w:sz w:val="20"/>
                <w:szCs w:val="20"/>
                <w14:ligatures w14:val="none"/>
              </w:rPr>
            </w:pPr>
            <w:r>
              <w:rPr>
                <w:rFonts w:hint="default" w:ascii="Caladea" w:hAnsi="Caladea" w:eastAsia="Times New Roman" w:cs="Caladea"/>
                <w:color w:val="002B54"/>
                <w:kern w:val="0"/>
                <w:sz w:val="20"/>
                <w:szCs w:val="20"/>
                <w14:ligatures w14:val="none"/>
              </w:rPr>
              <w:t xml:space="preserve">                              303 </w:t>
            </w:r>
          </w:p>
        </w:tc>
        <w:tc>
          <w:tcPr>
            <w:tcW w:w="658" w:type="pct"/>
            <w:tcBorders>
              <w:top w:val="single" w:color="000000" w:sz="4" w:space="0"/>
              <w:left w:val="nil"/>
              <w:bottom w:val="single" w:color="000000" w:sz="4" w:space="0"/>
              <w:right w:val="single" w:color="000000" w:sz="4" w:space="0"/>
            </w:tcBorders>
            <w:shd w:val="clear" w:color="000000" w:fill="F7F6F3"/>
            <w:vAlign w:val="bottom"/>
          </w:tcPr>
          <w:p>
            <w:pPr>
              <w:spacing w:after="0" w:line="240" w:lineRule="auto"/>
              <w:jc w:val="right"/>
              <w:rPr>
                <w:rFonts w:hint="default" w:ascii="Caladea" w:hAnsi="Caladea" w:eastAsia="Times New Roman" w:cs="Caladea"/>
                <w:color w:val="002B54"/>
                <w:kern w:val="0"/>
                <w:sz w:val="20"/>
                <w:szCs w:val="20"/>
                <w14:ligatures w14:val="none"/>
              </w:rPr>
            </w:pPr>
            <w:r>
              <w:rPr>
                <w:rFonts w:hint="default" w:ascii="Caladea" w:hAnsi="Caladea" w:eastAsia="Times New Roman" w:cs="Caladea"/>
                <w:color w:val="002B54"/>
                <w:kern w:val="0"/>
                <w:sz w:val="20"/>
                <w:szCs w:val="20"/>
                <w14:ligatures w14:val="none"/>
              </w:rPr>
              <w:t xml:space="preserve">                              297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8" w:hRule="atLeast"/>
        </w:trPr>
        <w:tc>
          <w:tcPr>
            <w:tcW w:w="1765" w:type="pct"/>
            <w:vMerge w:val="restart"/>
            <w:shd w:val="clear" w:color="000000" w:fill="FFFFFF"/>
            <w:vAlign w:val="bottom"/>
          </w:tcPr>
          <w:p>
            <w:pPr>
              <w:spacing w:after="0" w:line="240" w:lineRule="auto"/>
              <w:rPr>
                <w:rFonts w:hint="default" w:ascii="Caladea" w:hAnsi="Caladea" w:eastAsia="Times New Roman" w:cs="Caladea"/>
                <w:color w:val="002B54"/>
                <w:kern w:val="0"/>
                <w:sz w:val="20"/>
                <w:szCs w:val="20"/>
                <w14:ligatures w14:val="none"/>
              </w:rPr>
            </w:pPr>
            <w:r>
              <w:rPr>
                <w:rFonts w:hint="default" w:ascii="Caladea" w:hAnsi="Caladea" w:eastAsia="Times New Roman" w:cs="Caladea"/>
                <w:color w:val="002B54"/>
                <w:kern w:val="0"/>
                <w:sz w:val="20"/>
                <w:szCs w:val="20"/>
                <w14:ligatures w14:val="none"/>
              </w:rPr>
              <w:t>Mineral or chemical fertilisers containing two or three of the fertilising elements nitrogen, phosphorus and potassium; other fertilisers (excluding pure animal or vegetable fertilisers or mineral or chemical nitrogenous, phosphatic or potassic fertilisers); animal, vegetable, mineral or chemical fertilisers in tablets or similar forms or in packages of a gross weight of &lt;= 10 kg</w:t>
            </w:r>
          </w:p>
        </w:tc>
        <w:tc>
          <w:tcPr>
            <w:tcW w:w="333" w:type="pct"/>
            <w:shd w:val="clear" w:color="000000" w:fill="FFFFFF"/>
          </w:tcPr>
          <w:p>
            <w:pPr>
              <w:spacing w:after="0" w:line="240" w:lineRule="auto"/>
              <w:rPr>
                <w:rFonts w:hint="default" w:ascii="Caladea" w:hAnsi="Caladea" w:eastAsia="Times New Roman" w:cs="Caladea"/>
                <w:color w:val="002B54"/>
                <w:kern w:val="0"/>
                <w:sz w:val="20"/>
                <w:szCs w:val="20"/>
                <w14:ligatures w14:val="none"/>
              </w:rPr>
            </w:pPr>
            <w:r>
              <w:rPr>
                <w:rFonts w:hint="default" w:ascii="Caladea" w:hAnsi="Caladea" w:eastAsia="Times New Roman" w:cs="Caladea"/>
                <w:color w:val="002B54"/>
                <w:kern w:val="0"/>
                <w:sz w:val="20"/>
                <w:szCs w:val="20"/>
                <w14:ligatures w14:val="none"/>
              </w:rPr>
              <w:t>Value</w:t>
            </w:r>
          </w:p>
        </w:tc>
        <w:tc>
          <w:tcPr>
            <w:tcW w:w="1017" w:type="pct"/>
            <w:shd w:val="clear" w:color="000000" w:fill="FFFFFF"/>
            <w:vAlign w:val="bottom"/>
          </w:tcPr>
          <w:p>
            <w:pPr>
              <w:spacing w:after="0" w:line="240" w:lineRule="auto"/>
              <w:jc w:val="right"/>
              <w:rPr>
                <w:rFonts w:hint="default" w:ascii="Caladea" w:hAnsi="Caladea" w:eastAsia="Times New Roman" w:cs="Caladea"/>
                <w:color w:val="002B54"/>
                <w:kern w:val="0"/>
                <w:sz w:val="20"/>
                <w:szCs w:val="20"/>
                <w14:ligatures w14:val="none"/>
              </w:rPr>
            </w:pPr>
            <w:r>
              <w:rPr>
                <w:rFonts w:hint="default" w:ascii="Caladea" w:hAnsi="Caladea" w:eastAsia="Times New Roman" w:cs="Caladea"/>
                <w:color w:val="002B54"/>
                <w:kern w:val="0"/>
                <w:sz w:val="20"/>
                <w:szCs w:val="20"/>
                <w14:ligatures w14:val="none"/>
              </w:rPr>
              <w:t>19204</w:t>
            </w:r>
          </w:p>
        </w:tc>
        <w:tc>
          <w:tcPr>
            <w:tcW w:w="395" w:type="pct"/>
            <w:shd w:val="clear" w:color="000000" w:fill="FFFFFF"/>
            <w:vAlign w:val="bottom"/>
          </w:tcPr>
          <w:p>
            <w:pPr>
              <w:spacing w:after="0" w:line="240" w:lineRule="auto"/>
              <w:jc w:val="right"/>
              <w:rPr>
                <w:rFonts w:hint="default" w:ascii="Caladea" w:hAnsi="Caladea" w:eastAsia="Times New Roman" w:cs="Caladea"/>
                <w:color w:val="002B54"/>
                <w:kern w:val="0"/>
                <w:sz w:val="20"/>
                <w:szCs w:val="20"/>
                <w14:ligatures w14:val="none"/>
              </w:rPr>
            </w:pPr>
            <w:r>
              <w:rPr>
                <w:rFonts w:hint="default" w:ascii="Caladea" w:hAnsi="Caladea" w:eastAsia="Times New Roman" w:cs="Caladea"/>
                <w:color w:val="002B54"/>
                <w:kern w:val="0"/>
                <w:sz w:val="20"/>
                <w:szCs w:val="20"/>
                <w14:ligatures w14:val="none"/>
              </w:rPr>
              <w:t>23881</w:t>
            </w:r>
          </w:p>
        </w:tc>
        <w:tc>
          <w:tcPr>
            <w:tcW w:w="395" w:type="pct"/>
            <w:shd w:val="clear" w:color="000000" w:fill="FFFFFF"/>
            <w:vAlign w:val="bottom"/>
          </w:tcPr>
          <w:p>
            <w:pPr>
              <w:spacing w:after="0" w:line="240" w:lineRule="auto"/>
              <w:jc w:val="right"/>
              <w:rPr>
                <w:rFonts w:hint="default" w:ascii="Caladea" w:hAnsi="Caladea" w:eastAsia="Times New Roman" w:cs="Caladea"/>
                <w:color w:val="002B54"/>
                <w:kern w:val="0"/>
                <w:sz w:val="20"/>
                <w:szCs w:val="20"/>
                <w14:ligatures w14:val="none"/>
              </w:rPr>
            </w:pPr>
            <w:r>
              <w:rPr>
                <w:rFonts w:hint="default" w:ascii="Caladea" w:hAnsi="Caladea" w:eastAsia="Times New Roman" w:cs="Caladea"/>
                <w:color w:val="002B54"/>
                <w:kern w:val="0"/>
                <w:sz w:val="20"/>
                <w:szCs w:val="20"/>
                <w14:ligatures w14:val="none"/>
              </w:rPr>
              <w:t>25514</w:t>
            </w:r>
          </w:p>
        </w:tc>
        <w:tc>
          <w:tcPr>
            <w:tcW w:w="437" w:type="pct"/>
            <w:shd w:val="clear" w:color="000000" w:fill="FFFFFF"/>
            <w:vAlign w:val="bottom"/>
          </w:tcPr>
          <w:p>
            <w:pPr>
              <w:spacing w:after="0" w:line="240" w:lineRule="auto"/>
              <w:jc w:val="right"/>
              <w:rPr>
                <w:rFonts w:hint="default" w:ascii="Caladea" w:hAnsi="Caladea" w:eastAsia="Times New Roman" w:cs="Caladea"/>
                <w:color w:val="002B54"/>
                <w:kern w:val="0"/>
                <w:sz w:val="20"/>
                <w:szCs w:val="20"/>
                <w14:ligatures w14:val="none"/>
              </w:rPr>
            </w:pPr>
            <w:r>
              <w:rPr>
                <w:rFonts w:hint="default" w:ascii="Caladea" w:hAnsi="Caladea" w:eastAsia="Times New Roman" w:cs="Caladea"/>
                <w:color w:val="002B54"/>
                <w:kern w:val="0"/>
                <w:sz w:val="20"/>
                <w:szCs w:val="20"/>
                <w14:ligatures w14:val="none"/>
              </w:rPr>
              <w:t>22010</w:t>
            </w:r>
          </w:p>
        </w:tc>
        <w:tc>
          <w:tcPr>
            <w:tcW w:w="658" w:type="pct"/>
            <w:shd w:val="clear" w:color="000000" w:fill="FFFFFF"/>
            <w:vAlign w:val="bottom"/>
          </w:tcPr>
          <w:p>
            <w:pPr>
              <w:spacing w:after="0" w:line="240" w:lineRule="auto"/>
              <w:jc w:val="right"/>
              <w:rPr>
                <w:rFonts w:hint="default" w:ascii="Caladea" w:hAnsi="Caladea" w:eastAsia="Times New Roman" w:cs="Caladea"/>
                <w:color w:val="002B54"/>
                <w:kern w:val="0"/>
                <w:sz w:val="20"/>
                <w:szCs w:val="20"/>
                <w14:ligatures w14:val="none"/>
              </w:rPr>
            </w:pPr>
            <w:r>
              <w:rPr>
                <w:rFonts w:hint="default" w:ascii="Caladea" w:hAnsi="Caladea" w:eastAsia="Times New Roman" w:cs="Caladea"/>
                <w:color w:val="002B54"/>
                <w:kern w:val="0"/>
                <w:sz w:val="20"/>
                <w:szCs w:val="20"/>
                <w14:ligatures w14:val="none"/>
              </w:rPr>
              <w:t>23684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1765" w:type="pct"/>
            <w:vMerge w:val="continue"/>
            <w:shd w:val="clear" w:color="000000" w:fill="F7F6F3"/>
            <w:vAlign w:val="bottom"/>
          </w:tcPr>
          <w:p>
            <w:pPr>
              <w:spacing w:after="0" w:line="240" w:lineRule="auto"/>
              <w:rPr>
                <w:rFonts w:hint="default" w:ascii="Caladea" w:hAnsi="Caladea" w:eastAsia="Times New Roman" w:cs="Caladea"/>
                <w:color w:val="002B54"/>
                <w:kern w:val="0"/>
                <w:sz w:val="20"/>
                <w:szCs w:val="20"/>
                <w14:ligatures w14:val="none"/>
              </w:rPr>
            </w:pPr>
          </w:p>
        </w:tc>
        <w:tc>
          <w:tcPr>
            <w:tcW w:w="333" w:type="pct"/>
            <w:shd w:val="clear" w:color="000000" w:fill="F7F6F3"/>
          </w:tcPr>
          <w:p>
            <w:pPr>
              <w:spacing w:after="0" w:line="240" w:lineRule="auto"/>
              <w:jc w:val="right"/>
              <w:rPr>
                <w:rFonts w:hint="default" w:ascii="Caladea" w:hAnsi="Caladea" w:eastAsia="Times New Roman" w:cs="Caladea"/>
                <w:color w:val="002B54"/>
                <w:kern w:val="0"/>
                <w:sz w:val="20"/>
                <w:szCs w:val="20"/>
                <w14:ligatures w14:val="none"/>
              </w:rPr>
            </w:pPr>
            <w:r>
              <w:rPr>
                <w:rFonts w:hint="default" w:ascii="Caladea" w:hAnsi="Caladea" w:eastAsia="Times New Roman" w:cs="Caladea"/>
                <w:color w:val="002B54"/>
                <w:kern w:val="0"/>
                <w:sz w:val="20"/>
                <w:szCs w:val="20"/>
                <w14:ligatures w14:val="none"/>
              </w:rPr>
              <w:t>Volume</w:t>
            </w:r>
          </w:p>
        </w:tc>
        <w:tc>
          <w:tcPr>
            <w:tcW w:w="1017" w:type="pct"/>
            <w:tcBorders>
              <w:top w:val="single" w:color="000000" w:sz="4" w:space="0"/>
              <w:left w:val="single" w:color="000000" w:sz="4" w:space="0"/>
              <w:bottom w:val="single" w:color="000000" w:sz="4" w:space="0"/>
              <w:right w:val="single" w:color="000000" w:sz="4" w:space="0"/>
            </w:tcBorders>
            <w:shd w:val="clear" w:color="000000" w:fill="FFFFFF"/>
            <w:vAlign w:val="bottom"/>
          </w:tcPr>
          <w:p>
            <w:pPr>
              <w:spacing w:after="0" w:line="240" w:lineRule="auto"/>
              <w:jc w:val="right"/>
              <w:rPr>
                <w:rFonts w:hint="default" w:ascii="Caladea" w:hAnsi="Caladea" w:eastAsia="Times New Roman" w:cs="Caladea"/>
                <w:color w:val="002B54"/>
                <w:kern w:val="0"/>
                <w:sz w:val="20"/>
                <w:szCs w:val="20"/>
                <w14:ligatures w14:val="none"/>
              </w:rPr>
            </w:pPr>
            <w:r>
              <w:rPr>
                <w:rFonts w:hint="default" w:ascii="Caladea" w:hAnsi="Caladea" w:eastAsia="Times New Roman" w:cs="Caladea"/>
                <w:color w:val="002B54"/>
                <w:kern w:val="0"/>
                <w:sz w:val="20"/>
                <w:szCs w:val="20"/>
                <w14:ligatures w14:val="none"/>
              </w:rPr>
              <w:t xml:space="preserve">                         1,968 </w:t>
            </w:r>
          </w:p>
        </w:tc>
        <w:tc>
          <w:tcPr>
            <w:tcW w:w="395" w:type="pct"/>
            <w:tcBorders>
              <w:top w:val="single" w:color="000000" w:sz="4" w:space="0"/>
              <w:left w:val="nil"/>
              <w:bottom w:val="single" w:color="000000" w:sz="4" w:space="0"/>
              <w:right w:val="single" w:color="000000" w:sz="4" w:space="0"/>
            </w:tcBorders>
            <w:shd w:val="clear" w:color="000000" w:fill="FFFFFF"/>
            <w:vAlign w:val="bottom"/>
          </w:tcPr>
          <w:p>
            <w:pPr>
              <w:spacing w:after="0" w:line="240" w:lineRule="auto"/>
              <w:jc w:val="right"/>
              <w:rPr>
                <w:rFonts w:hint="default" w:ascii="Caladea" w:hAnsi="Caladea" w:eastAsia="Times New Roman" w:cs="Caladea"/>
                <w:color w:val="002B54"/>
                <w:kern w:val="0"/>
                <w:sz w:val="20"/>
                <w:szCs w:val="20"/>
                <w14:ligatures w14:val="none"/>
              </w:rPr>
            </w:pPr>
            <w:r>
              <w:rPr>
                <w:rFonts w:hint="default" w:ascii="Caladea" w:hAnsi="Caladea" w:eastAsia="Times New Roman" w:cs="Caladea"/>
                <w:color w:val="002B54"/>
                <w:kern w:val="0"/>
                <w:sz w:val="20"/>
                <w:szCs w:val="20"/>
                <w14:ligatures w14:val="none"/>
              </w:rPr>
              <w:t xml:space="preserve">                         6,549 </w:t>
            </w:r>
          </w:p>
        </w:tc>
        <w:tc>
          <w:tcPr>
            <w:tcW w:w="395" w:type="pct"/>
            <w:tcBorders>
              <w:top w:val="single" w:color="000000" w:sz="4" w:space="0"/>
              <w:left w:val="nil"/>
              <w:bottom w:val="single" w:color="000000" w:sz="4" w:space="0"/>
              <w:right w:val="single" w:color="000000" w:sz="4" w:space="0"/>
            </w:tcBorders>
            <w:shd w:val="clear" w:color="000000" w:fill="FFFFFF"/>
            <w:vAlign w:val="bottom"/>
          </w:tcPr>
          <w:p>
            <w:pPr>
              <w:spacing w:after="0" w:line="240" w:lineRule="auto"/>
              <w:jc w:val="right"/>
              <w:rPr>
                <w:rFonts w:hint="default" w:ascii="Caladea" w:hAnsi="Caladea" w:eastAsia="Times New Roman" w:cs="Caladea"/>
                <w:color w:val="002B54"/>
                <w:kern w:val="0"/>
                <w:sz w:val="20"/>
                <w:szCs w:val="20"/>
                <w14:ligatures w14:val="none"/>
              </w:rPr>
            </w:pPr>
            <w:r>
              <w:rPr>
                <w:rFonts w:hint="default" w:ascii="Caladea" w:hAnsi="Caladea" w:eastAsia="Times New Roman" w:cs="Caladea"/>
                <w:color w:val="002B54"/>
                <w:kern w:val="0"/>
                <w:sz w:val="20"/>
                <w:szCs w:val="20"/>
                <w14:ligatures w14:val="none"/>
              </w:rPr>
              <w:t xml:space="preserve">                         3,830 </w:t>
            </w:r>
          </w:p>
        </w:tc>
        <w:tc>
          <w:tcPr>
            <w:tcW w:w="437" w:type="pct"/>
            <w:tcBorders>
              <w:top w:val="single" w:color="000000" w:sz="4" w:space="0"/>
              <w:left w:val="nil"/>
              <w:bottom w:val="single" w:color="000000" w:sz="4" w:space="0"/>
              <w:right w:val="single" w:color="000000" w:sz="4" w:space="0"/>
            </w:tcBorders>
            <w:shd w:val="clear" w:color="000000" w:fill="FFFFFF"/>
            <w:vAlign w:val="bottom"/>
          </w:tcPr>
          <w:p>
            <w:pPr>
              <w:spacing w:after="0" w:line="240" w:lineRule="auto"/>
              <w:jc w:val="right"/>
              <w:rPr>
                <w:rFonts w:hint="default" w:ascii="Caladea" w:hAnsi="Caladea" w:eastAsia="Times New Roman" w:cs="Caladea"/>
                <w:color w:val="002B54"/>
                <w:kern w:val="0"/>
                <w:sz w:val="20"/>
                <w:szCs w:val="20"/>
                <w14:ligatures w14:val="none"/>
              </w:rPr>
            </w:pPr>
            <w:r>
              <w:rPr>
                <w:rFonts w:hint="default" w:ascii="Caladea" w:hAnsi="Caladea" w:eastAsia="Times New Roman" w:cs="Caladea"/>
                <w:color w:val="002B54"/>
                <w:kern w:val="0"/>
                <w:sz w:val="20"/>
                <w:szCs w:val="20"/>
                <w14:ligatures w14:val="none"/>
              </w:rPr>
              <w:t xml:space="preserve">                         9,692 </w:t>
            </w:r>
          </w:p>
        </w:tc>
        <w:tc>
          <w:tcPr>
            <w:tcW w:w="658" w:type="pct"/>
            <w:tcBorders>
              <w:top w:val="single" w:color="000000" w:sz="4" w:space="0"/>
              <w:left w:val="nil"/>
              <w:bottom w:val="single" w:color="000000" w:sz="4" w:space="0"/>
              <w:right w:val="single" w:color="000000" w:sz="4" w:space="0"/>
            </w:tcBorders>
            <w:shd w:val="clear" w:color="000000" w:fill="FFFFFF"/>
            <w:vAlign w:val="bottom"/>
          </w:tcPr>
          <w:p>
            <w:pPr>
              <w:spacing w:after="0" w:line="240" w:lineRule="auto"/>
              <w:jc w:val="right"/>
              <w:rPr>
                <w:rFonts w:hint="default" w:ascii="Caladea" w:hAnsi="Caladea" w:eastAsia="Times New Roman" w:cs="Caladea"/>
                <w:color w:val="002B54"/>
                <w:kern w:val="0"/>
                <w:sz w:val="20"/>
                <w:szCs w:val="20"/>
                <w14:ligatures w14:val="none"/>
              </w:rPr>
            </w:pPr>
            <w:r>
              <w:rPr>
                <w:rFonts w:hint="default" w:ascii="Caladea" w:hAnsi="Caladea" w:eastAsia="Times New Roman" w:cs="Caladea"/>
                <w:color w:val="002B54"/>
                <w:kern w:val="0"/>
                <w:sz w:val="20"/>
                <w:szCs w:val="20"/>
                <w14:ligatures w14:val="none"/>
              </w:rPr>
              <w:t xml:space="preserve">                         7,164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2" w:hRule="atLeast"/>
        </w:trPr>
        <w:tc>
          <w:tcPr>
            <w:tcW w:w="1765" w:type="pct"/>
            <w:vMerge w:val="restart"/>
            <w:shd w:val="clear" w:color="000000" w:fill="F7F6F3"/>
            <w:vAlign w:val="bottom"/>
          </w:tcPr>
          <w:p>
            <w:pPr>
              <w:spacing w:after="0" w:line="240" w:lineRule="auto"/>
              <w:rPr>
                <w:rFonts w:hint="default" w:ascii="Caladea" w:hAnsi="Caladea" w:eastAsia="Times New Roman" w:cs="Caladea"/>
                <w:color w:val="002B54"/>
                <w:kern w:val="0"/>
                <w:sz w:val="20"/>
                <w:szCs w:val="20"/>
                <w14:ligatures w14:val="none"/>
              </w:rPr>
            </w:pPr>
            <w:r>
              <w:rPr>
                <w:rFonts w:hint="default" w:ascii="Caladea" w:hAnsi="Caladea" w:eastAsia="Times New Roman" w:cs="Caladea"/>
                <w:color w:val="002B54"/>
                <w:kern w:val="0"/>
                <w:sz w:val="20"/>
                <w:szCs w:val="20"/>
                <w14:ligatures w14:val="none"/>
              </w:rPr>
              <w:t>Animal or vegetable fertilisers, whether or not mixed together or chemically treated; fertilisers produced by the mixing or chemical treatment of animal or vegetable products (excluding those in pellet or similar forms, or in packages with a gross weight of &lt;= 10 kg)</w:t>
            </w:r>
          </w:p>
        </w:tc>
        <w:tc>
          <w:tcPr>
            <w:tcW w:w="333" w:type="pct"/>
            <w:shd w:val="clear" w:color="000000" w:fill="F7F6F3"/>
          </w:tcPr>
          <w:p>
            <w:pPr>
              <w:spacing w:after="0" w:line="240" w:lineRule="auto"/>
              <w:rPr>
                <w:rFonts w:hint="default" w:ascii="Caladea" w:hAnsi="Caladea" w:eastAsia="Times New Roman" w:cs="Caladea"/>
                <w:color w:val="002B54"/>
                <w:kern w:val="0"/>
                <w:sz w:val="20"/>
                <w:szCs w:val="20"/>
                <w14:ligatures w14:val="none"/>
              </w:rPr>
            </w:pPr>
            <w:r>
              <w:rPr>
                <w:rFonts w:hint="default" w:ascii="Caladea" w:hAnsi="Caladea" w:eastAsia="Times New Roman" w:cs="Caladea"/>
                <w:color w:val="002B54"/>
                <w:kern w:val="0"/>
                <w:sz w:val="20"/>
                <w:szCs w:val="20"/>
                <w14:ligatures w14:val="none"/>
              </w:rPr>
              <w:t>Value</w:t>
            </w:r>
          </w:p>
        </w:tc>
        <w:tc>
          <w:tcPr>
            <w:tcW w:w="1017" w:type="pct"/>
            <w:shd w:val="clear" w:color="000000" w:fill="F7F6F3"/>
            <w:vAlign w:val="bottom"/>
          </w:tcPr>
          <w:p>
            <w:pPr>
              <w:spacing w:after="0" w:line="240" w:lineRule="auto"/>
              <w:jc w:val="right"/>
              <w:rPr>
                <w:rFonts w:hint="default" w:ascii="Caladea" w:hAnsi="Caladea" w:eastAsia="Times New Roman" w:cs="Caladea"/>
                <w:color w:val="002B54"/>
                <w:kern w:val="0"/>
                <w:sz w:val="20"/>
                <w:szCs w:val="20"/>
                <w14:ligatures w14:val="none"/>
              </w:rPr>
            </w:pPr>
            <w:r>
              <w:rPr>
                <w:rFonts w:hint="default" w:ascii="Caladea" w:hAnsi="Caladea" w:eastAsia="Times New Roman" w:cs="Caladea"/>
                <w:color w:val="002B54"/>
                <w:kern w:val="0"/>
                <w:sz w:val="20"/>
                <w:szCs w:val="20"/>
                <w14:ligatures w14:val="none"/>
              </w:rPr>
              <w:t>785</w:t>
            </w:r>
          </w:p>
        </w:tc>
        <w:tc>
          <w:tcPr>
            <w:tcW w:w="395" w:type="pct"/>
            <w:shd w:val="clear" w:color="000000" w:fill="F7F6F3"/>
            <w:vAlign w:val="bottom"/>
          </w:tcPr>
          <w:p>
            <w:pPr>
              <w:spacing w:after="0" w:line="240" w:lineRule="auto"/>
              <w:jc w:val="right"/>
              <w:rPr>
                <w:rFonts w:hint="default" w:ascii="Caladea" w:hAnsi="Caladea" w:eastAsia="Times New Roman" w:cs="Caladea"/>
                <w:color w:val="002B54"/>
                <w:kern w:val="0"/>
                <w:sz w:val="20"/>
                <w:szCs w:val="20"/>
                <w14:ligatures w14:val="none"/>
              </w:rPr>
            </w:pPr>
            <w:r>
              <w:rPr>
                <w:rFonts w:hint="default" w:ascii="Caladea" w:hAnsi="Caladea" w:eastAsia="Times New Roman" w:cs="Caladea"/>
                <w:color w:val="002B54"/>
                <w:kern w:val="0"/>
                <w:sz w:val="20"/>
                <w:szCs w:val="20"/>
                <w14:ligatures w14:val="none"/>
              </w:rPr>
              <w:t>1157</w:t>
            </w:r>
          </w:p>
        </w:tc>
        <w:tc>
          <w:tcPr>
            <w:tcW w:w="395" w:type="pct"/>
            <w:shd w:val="clear" w:color="000000" w:fill="F7F6F3"/>
            <w:vAlign w:val="bottom"/>
          </w:tcPr>
          <w:p>
            <w:pPr>
              <w:spacing w:after="0" w:line="240" w:lineRule="auto"/>
              <w:jc w:val="right"/>
              <w:rPr>
                <w:rFonts w:hint="default" w:ascii="Caladea" w:hAnsi="Caladea" w:eastAsia="Times New Roman" w:cs="Caladea"/>
                <w:color w:val="002B54"/>
                <w:kern w:val="0"/>
                <w:sz w:val="20"/>
                <w:szCs w:val="20"/>
                <w14:ligatures w14:val="none"/>
              </w:rPr>
            </w:pPr>
            <w:r>
              <w:rPr>
                <w:rFonts w:hint="default" w:ascii="Caladea" w:hAnsi="Caladea" w:eastAsia="Times New Roman" w:cs="Caladea"/>
                <w:color w:val="002B54"/>
                <w:kern w:val="0"/>
                <w:sz w:val="20"/>
                <w:szCs w:val="20"/>
                <w14:ligatures w14:val="none"/>
              </w:rPr>
              <w:t>1521</w:t>
            </w:r>
          </w:p>
        </w:tc>
        <w:tc>
          <w:tcPr>
            <w:tcW w:w="437" w:type="pct"/>
            <w:shd w:val="clear" w:color="000000" w:fill="F7F6F3"/>
            <w:vAlign w:val="bottom"/>
          </w:tcPr>
          <w:p>
            <w:pPr>
              <w:spacing w:after="0" w:line="240" w:lineRule="auto"/>
              <w:jc w:val="right"/>
              <w:rPr>
                <w:rFonts w:hint="default" w:ascii="Caladea" w:hAnsi="Caladea" w:eastAsia="Times New Roman" w:cs="Caladea"/>
                <w:color w:val="002B54"/>
                <w:kern w:val="0"/>
                <w:sz w:val="20"/>
                <w:szCs w:val="20"/>
                <w14:ligatures w14:val="none"/>
              </w:rPr>
            </w:pPr>
            <w:r>
              <w:rPr>
                <w:rFonts w:hint="default" w:ascii="Caladea" w:hAnsi="Caladea" w:eastAsia="Times New Roman" w:cs="Caladea"/>
                <w:color w:val="002B54"/>
                <w:kern w:val="0"/>
                <w:sz w:val="20"/>
                <w:szCs w:val="20"/>
                <w14:ligatures w14:val="none"/>
              </w:rPr>
              <w:t>1610</w:t>
            </w:r>
          </w:p>
        </w:tc>
        <w:tc>
          <w:tcPr>
            <w:tcW w:w="658" w:type="pct"/>
            <w:shd w:val="clear" w:color="000000" w:fill="F7F6F3"/>
            <w:vAlign w:val="bottom"/>
          </w:tcPr>
          <w:p>
            <w:pPr>
              <w:spacing w:after="0" w:line="240" w:lineRule="auto"/>
              <w:jc w:val="right"/>
              <w:rPr>
                <w:rFonts w:hint="default" w:ascii="Caladea" w:hAnsi="Caladea" w:eastAsia="Times New Roman" w:cs="Caladea"/>
                <w:color w:val="002B54"/>
                <w:kern w:val="0"/>
                <w:sz w:val="20"/>
                <w:szCs w:val="20"/>
                <w14:ligatures w14:val="none"/>
              </w:rPr>
            </w:pPr>
            <w:r>
              <w:rPr>
                <w:rFonts w:hint="default" w:ascii="Caladea" w:hAnsi="Caladea" w:eastAsia="Times New Roman" w:cs="Caladea"/>
                <w:color w:val="002B54"/>
                <w:kern w:val="0"/>
                <w:sz w:val="20"/>
                <w:szCs w:val="20"/>
                <w14:ligatures w14:val="none"/>
              </w:rPr>
              <w:t>2367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1765" w:type="pct"/>
            <w:vMerge w:val="continue"/>
            <w:shd w:val="clear" w:color="000000" w:fill="F7F6F3"/>
            <w:vAlign w:val="bottom"/>
          </w:tcPr>
          <w:p>
            <w:pPr>
              <w:spacing w:after="0" w:line="240" w:lineRule="auto"/>
              <w:rPr>
                <w:rFonts w:hint="default" w:ascii="Caladea" w:hAnsi="Caladea" w:eastAsia="Times New Roman" w:cs="Caladea"/>
                <w:color w:val="002B54"/>
                <w:kern w:val="0"/>
                <w:sz w:val="20"/>
                <w:szCs w:val="20"/>
                <w14:ligatures w14:val="none"/>
              </w:rPr>
            </w:pPr>
          </w:p>
        </w:tc>
        <w:tc>
          <w:tcPr>
            <w:tcW w:w="333" w:type="pct"/>
            <w:shd w:val="clear" w:color="000000" w:fill="F7F6F3"/>
          </w:tcPr>
          <w:p>
            <w:pPr>
              <w:spacing w:after="0" w:line="240" w:lineRule="auto"/>
              <w:jc w:val="right"/>
              <w:rPr>
                <w:rFonts w:hint="default" w:ascii="Caladea" w:hAnsi="Caladea" w:eastAsia="Times New Roman" w:cs="Caladea"/>
                <w:color w:val="002B54"/>
                <w:kern w:val="0"/>
                <w:sz w:val="20"/>
                <w:szCs w:val="20"/>
                <w14:ligatures w14:val="none"/>
              </w:rPr>
            </w:pPr>
            <w:r>
              <w:rPr>
                <w:rFonts w:hint="default" w:ascii="Caladea" w:hAnsi="Caladea" w:eastAsia="Times New Roman" w:cs="Caladea"/>
                <w:color w:val="002B54"/>
                <w:kern w:val="0"/>
                <w:sz w:val="20"/>
                <w:szCs w:val="20"/>
                <w14:ligatures w14:val="none"/>
              </w:rPr>
              <w:t>Volume</w:t>
            </w:r>
          </w:p>
        </w:tc>
        <w:tc>
          <w:tcPr>
            <w:tcW w:w="1017" w:type="pct"/>
            <w:tcBorders>
              <w:top w:val="single" w:color="000000" w:sz="4" w:space="0"/>
              <w:left w:val="single" w:color="000000" w:sz="4" w:space="0"/>
              <w:bottom w:val="single" w:color="002B54" w:sz="4" w:space="0"/>
              <w:right w:val="single" w:color="000000" w:sz="4" w:space="0"/>
            </w:tcBorders>
            <w:shd w:val="clear" w:color="000000" w:fill="F7F6F3"/>
            <w:vAlign w:val="bottom"/>
          </w:tcPr>
          <w:p>
            <w:pPr>
              <w:spacing w:after="0" w:line="240" w:lineRule="auto"/>
              <w:jc w:val="right"/>
              <w:rPr>
                <w:rFonts w:hint="default" w:ascii="Caladea" w:hAnsi="Caladea" w:eastAsia="Times New Roman" w:cs="Caladea"/>
                <w:color w:val="002B54"/>
                <w:kern w:val="0"/>
                <w:sz w:val="20"/>
                <w:szCs w:val="20"/>
                <w14:ligatures w14:val="none"/>
              </w:rPr>
            </w:pPr>
            <w:r>
              <w:rPr>
                <w:rFonts w:hint="default" w:ascii="Caladea" w:hAnsi="Caladea" w:eastAsia="Times New Roman" w:cs="Caladea"/>
                <w:color w:val="002B54"/>
                <w:kern w:val="0"/>
                <w:sz w:val="20"/>
                <w:szCs w:val="20"/>
                <w14:ligatures w14:val="none"/>
              </w:rPr>
              <w:t xml:space="preserve">                      62,437 </w:t>
            </w:r>
          </w:p>
        </w:tc>
        <w:tc>
          <w:tcPr>
            <w:tcW w:w="395" w:type="pct"/>
            <w:tcBorders>
              <w:top w:val="single" w:color="000000" w:sz="4" w:space="0"/>
              <w:left w:val="nil"/>
              <w:bottom w:val="single" w:color="002B54" w:sz="4" w:space="0"/>
              <w:right w:val="single" w:color="000000" w:sz="4" w:space="0"/>
            </w:tcBorders>
            <w:shd w:val="clear" w:color="000000" w:fill="F7F6F3"/>
            <w:vAlign w:val="bottom"/>
          </w:tcPr>
          <w:p>
            <w:pPr>
              <w:spacing w:after="0" w:line="240" w:lineRule="auto"/>
              <w:jc w:val="right"/>
              <w:rPr>
                <w:rFonts w:hint="default" w:ascii="Caladea" w:hAnsi="Caladea" w:eastAsia="Times New Roman" w:cs="Caladea"/>
                <w:color w:val="002B54"/>
                <w:kern w:val="0"/>
                <w:sz w:val="20"/>
                <w:szCs w:val="20"/>
                <w14:ligatures w14:val="none"/>
              </w:rPr>
            </w:pPr>
            <w:r>
              <w:rPr>
                <w:rFonts w:hint="default" w:ascii="Caladea" w:hAnsi="Caladea" w:eastAsia="Times New Roman" w:cs="Caladea"/>
                <w:color w:val="002B54"/>
                <w:kern w:val="0"/>
                <w:sz w:val="20"/>
                <w:szCs w:val="20"/>
                <w14:ligatures w14:val="none"/>
              </w:rPr>
              <w:t xml:space="preserve">                      73,303 </w:t>
            </w:r>
          </w:p>
        </w:tc>
        <w:tc>
          <w:tcPr>
            <w:tcW w:w="395" w:type="pct"/>
            <w:tcBorders>
              <w:top w:val="single" w:color="000000" w:sz="4" w:space="0"/>
              <w:left w:val="nil"/>
              <w:bottom w:val="single" w:color="002B54" w:sz="4" w:space="0"/>
              <w:right w:val="single" w:color="000000" w:sz="4" w:space="0"/>
            </w:tcBorders>
            <w:shd w:val="clear" w:color="000000" w:fill="F7F6F3"/>
            <w:vAlign w:val="bottom"/>
          </w:tcPr>
          <w:p>
            <w:pPr>
              <w:spacing w:after="0" w:line="240" w:lineRule="auto"/>
              <w:jc w:val="right"/>
              <w:rPr>
                <w:rFonts w:hint="default" w:ascii="Caladea" w:hAnsi="Caladea" w:eastAsia="Times New Roman" w:cs="Caladea"/>
                <w:color w:val="002B54"/>
                <w:kern w:val="0"/>
                <w:sz w:val="20"/>
                <w:szCs w:val="20"/>
                <w14:ligatures w14:val="none"/>
              </w:rPr>
            </w:pPr>
            <w:r>
              <w:rPr>
                <w:rFonts w:hint="default" w:ascii="Caladea" w:hAnsi="Caladea" w:eastAsia="Times New Roman" w:cs="Caladea"/>
                <w:color w:val="002B54"/>
                <w:kern w:val="0"/>
                <w:sz w:val="20"/>
                <w:szCs w:val="20"/>
                <w14:ligatures w14:val="none"/>
              </w:rPr>
              <w:t xml:space="preserve">                      66,521 </w:t>
            </w:r>
          </w:p>
        </w:tc>
        <w:tc>
          <w:tcPr>
            <w:tcW w:w="437" w:type="pct"/>
            <w:tcBorders>
              <w:top w:val="single" w:color="000000" w:sz="4" w:space="0"/>
              <w:left w:val="nil"/>
              <w:bottom w:val="single" w:color="002B54" w:sz="4" w:space="0"/>
              <w:right w:val="single" w:color="000000" w:sz="4" w:space="0"/>
            </w:tcBorders>
            <w:shd w:val="clear" w:color="000000" w:fill="F7F6F3"/>
            <w:vAlign w:val="bottom"/>
          </w:tcPr>
          <w:p>
            <w:pPr>
              <w:spacing w:after="0" w:line="240" w:lineRule="auto"/>
              <w:jc w:val="right"/>
              <w:rPr>
                <w:rFonts w:hint="default" w:ascii="Caladea" w:hAnsi="Caladea" w:eastAsia="Times New Roman" w:cs="Caladea"/>
                <w:color w:val="002B54"/>
                <w:kern w:val="0"/>
                <w:sz w:val="20"/>
                <w:szCs w:val="20"/>
                <w14:ligatures w14:val="none"/>
              </w:rPr>
            </w:pPr>
            <w:r>
              <w:rPr>
                <w:rFonts w:hint="default" w:ascii="Caladea" w:hAnsi="Caladea" w:eastAsia="Times New Roman" w:cs="Caladea"/>
                <w:color w:val="002B54"/>
                <w:kern w:val="0"/>
                <w:sz w:val="20"/>
                <w:szCs w:val="20"/>
                <w14:ligatures w14:val="none"/>
              </w:rPr>
              <w:t xml:space="preserve">                      86,832 </w:t>
            </w:r>
          </w:p>
        </w:tc>
        <w:tc>
          <w:tcPr>
            <w:tcW w:w="658" w:type="pct"/>
            <w:tcBorders>
              <w:top w:val="single" w:color="000000" w:sz="4" w:space="0"/>
              <w:left w:val="nil"/>
              <w:bottom w:val="single" w:color="002B54" w:sz="4" w:space="0"/>
              <w:right w:val="single" w:color="000000" w:sz="4" w:space="0"/>
            </w:tcBorders>
            <w:shd w:val="clear" w:color="000000" w:fill="F7F6F3"/>
            <w:vAlign w:val="bottom"/>
          </w:tcPr>
          <w:p>
            <w:pPr>
              <w:spacing w:after="0" w:line="240" w:lineRule="auto"/>
              <w:jc w:val="right"/>
              <w:rPr>
                <w:rFonts w:hint="default" w:ascii="Caladea" w:hAnsi="Caladea" w:eastAsia="Times New Roman" w:cs="Caladea"/>
                <w:color w:val="002B54"/>
                <w:kern w:val="0"/>
                <w:sz w:val="20"/>
                <w:szCs w:val="20"/>
                <w14:ligatures w14:val="none"/>
              </w:rPr>
            </w:pPr>
            <w:r>
              <w:rPr>
                <w:rFonts w:hint="default" w:ascii="Caladea" w:hAnsi="Caladea" w:eastAsia="Times New Roman" w:cs="Caladea"/>
                <w:color w:val="002B54"/>
                <w:kern w:val="0"/>
                <w:sz w:val="20"/>
                <w:szCs w:val="20"/>
                <w14:ligatures w14:val="none"/>
              </w:rPr>
              <w:t xml:space="preserve">                      76,839 </w:t>
            </w:r>
          </w:p>
        </w:tc>
      </w:tr>
    </w:tbl>
    <w:p>
      <w:pPr>
        <w:jc w:val="both"/>
        <w:rPr>
          <w:rFonts w:hint="default" w:ascii="Caladea" w:hAnsi="Caladea" w:cs="Caladea"/>
          <w:sz w:val="20"/>
          <w:szCs w:val="20"/>
        </w:rPr>
      </w:pPr>
      <w:r>
        <w:rPr>
          <w:rFonts w:hint="default" w:ascii="Caladea" w:hAnsi="Caladea" w:cs="Caladea"/>
          <w:sz w:val="20"/>
          <w:szCs w:val="20"/>
        </w:rPr>
        <w:t>Units: Values, ‘000 USD, Volume: tons</w:t>
      </w:r>
    </w:p>
    <w:p>
      <w:pPr>
        <w:jc w:val="both"/>
        <w:rPr>
          <w:rFonts w:hint="default" w:ascii="Caladea" w:hAnsi="Caladea" w:cs="Caladea"/>
          <w:sz w:val="28"/>
          <w:szCs w:val="28"/>
        </w:rPr>
      </w:pPr>
      <w:r>
        <w:rPr>
          <w:rFonts w:hint="default" w:ascii="Caladea" w:hAnsi="Caladea" w:cs="Caladea"/>
          <w:sz w:val="28"/>
          <w:szCs w:val="28"/>
        </w:rPr>
        <w:t>Summary of Uganda’s fertiliser imports over the last 5 years;</w:t>
      </w:r>
    </w:p>
    <w:tbl>
      <w:tblPr>
        <w:tblStyle w:val="6"/>
        <w:tblW w:w="920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7"/>
        <w:gridCol w:w="1174"/>
        <w:gridCol w:w="1348"/>
        <w:gridCol w:w="1174"/>
        <w:gridCol w:w="1690"/>
        <w:gridCol w:w="127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547" w:type="dxa"/>
            <w:noWrap/>
          </w:tcPr>
          <w:p>
            <w:pPr>
              <w:spacing w:after="0" w:line="240" w:lineRule="auto"/>
              <w:jc w:val="both"/>
              <w:rPr>
                <w:rFonts w:hint="default" w:ascii="Caladea" w:hAnsi="Caladea" w:cs="Caladea"/>
                <w:b/>
                <w:bCs/>
                <w:sz w:val="28"/>
                <w:szCs w:val="28"/>
              </w:rPr>
            </w:pPr>
            <w:r>
              <w:rPr>
                <w:rFonts w:hint="default" w:ascii="Caladea" w:hAnsi="Caladea" w:cs="Caladea"/>
                <w:b/>
                <w:bCs/>
                <w:sz w:val="28"/>
                <w:szCs w:val="28"/>
              </w:rPr>
              <w:t>Year</w:t>
            </w:r>
          </w:p>
        </w:tc>
        <w:tc>
          <w:tcPr>
            <w:tcW w:w="1174" w:type="dxa"/>
            <w:noWrap/>
          </w:tcPr>
          <w:p>
            <w:pPr>
              <w:spacing w:after="0" w:line="240" w:lineRule="auto"/>
              <w:jc w:val="both"/>
              <w:rPr>
                <w:rFonts w:hint="default" w:ascii="Caladea" w:hAnsi="Caladea" w:cs="Caladea"/>
                <w:b/>
                <w:bCs/>
                <w:sz w:val="28"/>
                <w:szCs w:val="28"/>
              </w:rPr>
            </w:pPr>
            <w:r>
              <w:rPr>
                <w:rFonts w:hint="default" w:ascii="Caladea" w:hAnsi="Caladea" w:cs="Caladea"/>
                <w:b/>
                <w:bCs/>
                <w:sz w:val="28"/>
                <w:szCs w:val="28"/>
              </w:rPr>
              <w:t>2017</w:t>
            </w:r>
          </w:p>
        </w:tc>
        <w:tc>
          <w:tcPr>
            <w:tcW w:w="1348" w:type="dxa"/>
            <w:noWrap/>
          </w:tcPr>
          <w:p>
            <w:pPr>
              <w:spacing w:after="160" w:line="259" w:lineRule="auto"/>
              <w:jc w:val="both"/>
              <w:rPr>
                <w:rFonts w:hint="default" w:ascii="Caladea" w:hAnsi="Caladea" w:cs="Caladea"/>
                <w:b/>
                <w:bCs/>
                <w:sz w:val="28"/>
                <w:szCs w:val="28"/>
              </w:rPr>
            </w:pPr>
            <w:r>
              <w:rPr>
                <w:rFonts w:hint="default" w:ascii="Caladea" w:hAnsi="Caladea" w:cs="Caladea"/>
                <w:b/>
                <w:bCs/>
                <w:sz w:val="28"/>
                <w:szCs w:val="28"/>
              </w:rPr>
              <w:t>2018</w:t>
            </w:r>
          </w:p>
        </w:tc>
        <w:tc>
          <w:tcPr>
            <w:tcW w:w="1174" w:type="dxa"/>
            <w:noWrap/>
          </w:tcPr>
          <w:p>
            <w:pPr>
              <w:spacing w:after="160" w:line="259" w:lineRule="auto"/>
              <w:jc w:val="both"/>
              <w:rPr>
                <w:rFonts w:hint="default" w:ascii="Caladea" w:hAnsi="Caladea" w:cs="Caladea"/>
                <w:b/>
                <w:bCs/>
                <w:sz w:val="28"/>
                <w:szCs w:val="28"/>
              </w:rPr>
            </w:pPr>
            <w:r>
              <w:rPr>
                <w:rFonts w:hint="default" w:ascii="Caladea" w:hAnsi="Caladea" w:cs="Caladea"/>
                <w:b/>
                <w:bCs/>
                <w:sz w:val="28"/>
                <w:szCs w:val="28"/>
              </w:rPr>
              <w:t>2019</w:t>
            </w:r>
          </w:p>
        </w:tc>
        <w:tc>
          <w:tcPr>
            <w:tcW w:w="1690" w:type="dxa"/>
            <w:noWrap/>
          </w:tcPr>
          <w:p>
            <w:pPr>
              <w:spacing w:after="160" w:line="259" w:lineRule="auto"/>
              <w:jc w:val="both"/>
              <w:rPr>
                <w:rFonts w:hint="default" w:ascii="Caladea" w:hAnsi="Caladea" w:cs="Caladea"/>
                <w:b/>
                <w:bCs/>
                <w:sz w:val="28"/>
                <w:szCs w:val="28"/>
              </w:rPr>
            </w:pPr>
            <w:r>
              <w:rPr>
                <w:rFonts w:hint="default" w:ascii="Caladea" w:hAnsi="Caladea" w:cs="Caladea"/>
                <w:b/>
                <w:bCs/>
                <w:sz w:val="28"/>
                <w:szCs w:val="28"/>
              </w:rPr>
              <w:t>2020</w:t>
            </w:r>
          </w:p>
        </w:tc>
        <w:tc>
          <w:tcPr>
            <w:tcW w:w="1276" w:type="dxa"/>
            <w:noWrap/>
          </w:tcPr>
          <w:p>
            <w:pPr>
              <w:spacing w:after="160" w:line="259" w:lineRule="auto"/>
              <w:jc w:val="both"/>
              <w:rPr>
                <w:rFonts w:hint="default" w:ascii="Caladea" w:hAnsi="Caladea" w:cs="Caladea"/>
                <w:b/>
                <w:bCs/>
                <w:sz w:val="28"/>
                <w:szCs w:val="28"/>
              </w:rPr>
            </w:pPr>
            <w:r>
              <w:rPr>
                <w:rFonts w:hint="default" w:ascii="Caladea" w:hAnsi="Caladea" w:cs="Caladea"/>
                <w:b/>
                <w:bCs/>
                <w:sz w:val="28"/>
                <w:szCs w:val="28"/>
              </w:rPr>
              <w:t>2021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547" w:type="dxa"/>
            <w:noWrap/>
          </w:tcPr>
          <w:p>
            <w:pPr>
              <w:spacing w:after="160" w:line="259" w:lineRule="auto"/>
              <w:jc w:val="both"/>
              <w:rPr>
                <w:rFonts w:hint="default" w:ascii="Caladea" w:hAnsi="Caladea" w:cs="Caladea"/>
                <w:b/>
                <w:bCs/>
                <w:sz w:val="28"/>
                <w:szCs w:val="28"/>
              </w:rPr>
            </w:pPr>
            <w:r>
              <w:rPr>
                <w:rFonts w:hint="default" w:ascii="Caladea" w:hAnsi="Caladea" w:cs="Caladea"/>
                <w:b/>
                <w:bCs/>
                <w:sz w:val="28"/>
                <w:szCs w:val="28"/>
              </w:rPr>
              <w:t>Values (Million USD)</w:t>
            </w:r>
          </w:p>
        </w:tc>
        <w:tc>
          <w:tcPr>
            <w:tcW w:w="1174" w:type="dxa"/>
            <w:noWrap/>
          </w:tcPr>
          <w:p>
            <w:pPr>
              <w:spacing w:after="0" w:line="240" w:lineRule="auto"/>
              <w:jc w:val="both"/>
              <w:rPr>
                <w:rFonts w:hint="default" w:ascii="Caladea" w:hAnsi="Caladea" w:cs="Caladea"/>
                <w:sz w:val="28"/>
                <w:szCs w:val="28"/>
              </w:rPr>
            </w:pPr>
            <w:r>
              <w:rPr>
                <w:rFonts w:hint="default" w:ascii="Caladea" w:hAnsi="Caladea" w:cs="Caladea"/>
                <w:sz w:val="28"/>
                <w:szCs w:val="28"/>
              </w:rPr>
              <w:t>27.040</w:t>
            </w:r>
          </w:p>
        </w:tc>
        <w:tc>
          <w:tcPr>
            <w:tcW w:w="1348" w:type="dxa"/>
            <w:noWrap/>
          </w:tcPr>
          <w:p>
            <w:pPr>
              <w:spacing w:after="160" w:line="259" w:lineRule="auto"/>
              <w:jc w:val="both"/>
              <w:rPr>
                <w:rFonts w:hint="default" w:ascii="Caladea" w:hAnsi="Caladea" w:cs="Caladea"/>
                <w:sz w:val="28"/>
                <w:szCs w:val="28"/>
              </w:rPr>
            </w:pPr>
            <w:r>
              <w:rPr>
                <w:rFonts w:hint="default" w:ascii="Caladea" w:hAnsi="Caladea" w:cs="Caladea"/>
                <w:sz w:val="28"/>
                <w:szCs w:val="28"/>
              </w:rPr>
              <w:t>38.995</w:t>
            </w:r>
          </w:p>
        </w:tc>
        <w:tc>
          <w:tcPr>
            <w:tcW w:w="1174" w:type="dxa"/>
            <w:noWrap/>
          </w:tcPr>
          <w:p>
            <w:pPr>
              <w:spacing w:after="160" w:line="259" w:lineRule="auto"/>
              <w:jc w:val="both"/>
              <w:rPr>
                <w:rFonts w:hint="default" w:ascii="Caladea" w:hAnsi="Caladea" w:cs="Caladea"/>
                <w:sz w:val="28"/>
                <w:szCs w:val="28"/>
              </w:rPr>
            </w:pPr>
            <w:r>
              <w:rPr>
                <w:rFonts w:hint="default" w:ascii="Caladea" w:hAnsi="Caladea" w:cs="Caladea"/>
                <w:sz w:val="28"/>
                <w:szCs w:val="28"/>
              </w:rPr>
              <w:t>40.634</w:t>
            </w:r>
          </w:p>
        </w:tc>
        <w:tc>
          <w:tcPr>
            <w:tcW w:w="1690" w:type="dxa"/>
            <w:noWrap/>
          </w:tcPr>
          <w:p>
            <w:pPr>
              <w:spacing w:after="160" w:line="259" w:lineRule="auto"/>
              <w:jc w:val="both"/>
              <w:rPr>
                <w:rFonts w:hint="default" w:ascii="Caladea" w:hAnsi="Caladea" w:cs="Caladea"/>
                <w:sz w:val="28"/>
                <w:szCs w:val="28"/>
              </w:rPr>
            </w:pPr>
            <w:r>
              <w:rPr>
                <w:rFonts w:hint="default" w:ascii="Caladea" w:hAnsi="Caladea" w:cs="Caladea"/>
                <w:sz w:val="28"/>
                <w:szCs w:val="28"/>
              </w:rPr>
              <w:t>32.470</w:t>
            </w:r>
          </w:p>
        </w:tc>
        <w:tc>
          <w:tcPr>
            <w:tcW w:w="1276" w:type="dxa"/>
            <w:noWrap/>
          </w:tcPr>
          <w:p>
            <w:pPr>
              <w:spacing w:after="160" w:line="259" w:lineRule="auto"/>
              <w:jc w:val="both"/>
              <w:rPr>
                <w:rFonts w:hint="default" w:ascii="Caladea" w:hAnsi="Caladea" w:cs="Caladea"/>
                <w:sz w:val="28"/>
                <w:szCs w:val="28"/>
              </w:rPr>
            </w:pPr>
            <w:r>
              <w:rPr>
                <w:rFonts w:hint="default" w:ascii="Caladea" w:hAnsi="Caladea" w:cs="Caladea"/>
                <w:sz w:val="28"/>
                <w:szCs w:val="28"/>
              </w:rPr>
              <w:t>37.942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1" w:hRule="atLeast"/>
        </w:trPr>
        <w:tc>
          <w:tcPr>
            <w:tcW w:w="2547" w:type="dxa"/>
            <w:noWrap/>
          </w:tcPr>
          <w:p>
            <w:pPr>
              <w:spacing w:after="160" w:line="259" w:lineRule="auto"/>
              <w:jc w:val="both"/>
              <w:rPr>
                <w:rFonts w:hint="default" w:ascii="Caladea" w:hAnsi="Caladea" w:cs="Caladea"/>
                <w:b/>
                <w:bCs/>
                <w:sz w:val="28"/>
                <w:szCs w:val="28"/>
              </w:rPr>
            </w:pPr>
            <w:r>
              <w:rPr>
                <w:rFonts w:hint="default" w:ascii="Caladea" w:hAnsi="Caladea" w:cs="Caladea"/>
                <w:b/>
                <w:bCs/>
                <w:sz w:val="28"/>
                <w:szCs w:val="28"/>
              </w:rPr>
              <w:t>Volume(tons)</w:t>
            </w:r>
          </w:p>
        </w:tc>
        <w:tc>
          <w:tcPr>
            <w:tcW w:w="1174" w:type="dxa"/>
            <w:noWrap/>
          </w:tcPr>
          <w:p>
            <w:pPr>
              <w:spacing w:after="0" w:line="240" w:lineRule="auto"/>
              <w:jc w:val="center"/>
              <w:rPr>
                <w:rFonts w:hint="default" w:ascii="Caladea" w:hAnsi="Caladea" w:cs="Caladea"/>
                <w:sz w:val="28"/>
                <w:szCs w:val="28"/>
              </w:rPr>
            </w:pPr>
            <w:r>
              <w:rPr>
                <w:rFonts w:hint="default" w:ascii="Caladea" w:hAnsi="Caladea" w:cs="Caladea"/>
                <w:sz w:val="28"/>
                <w:szCs w:val="28"/>
              </w:rPr>
              <w:t>79,868</w:t>
            </w:r>
          </w:p>
        </w:tc>
        <w:tc>
          <w:tcPr>
            <w:tcW w:w="1348" w:type="dxa"/>
            <w:noWrap/>
          </w:tcPr>
          <w:p>
            <w:pPr>
              <w:spacing w:after="0" w:line="240" w:lineRule="auto"/>
              <w:jc w:val="center"/>
              <w:rPr>
                <w:rFonts w:hint="default" w:ascii="Caladea" w:hAnsi="Caladea" w:cs="Caladea"/>
                <w:sz w:val="28"/>
                <w:szCs w:val="28"/>
              </w:rPr>
            </w:pPr>
            <w:r>
              <w:rPr>
                <w:rFonts w:hint="default" w:ascii="Caladea" w:hAnsi="Caladea" w:cs="Caladea"/>
                <w:sz w:val="28"/>
                <w:szCs w:val="28"/>
              </w:rPr>
              <w:t>100,302</w:t>
            </w:r>
          </w:p>
        </w:tc>
        <w:tc>
          <w:tcPr>
            <w:tcW w:w="1174" w:type="dxa"/>
            <w:noWrap/>
          </w:tcPr>
          <w:p>
            <w:pPr>
              <w:spacing w:after="0" w:line="240" w:lineRule="auto"/>
              <w:jc w:val="center"/>
              <w:rPr>
                <w:rFonts w:hint="default" w:ascii="Caladea" w:hAnsi="Caladea" w:cs="Caladea"/>
                <w:sz w:val="28"/>
                <w:szCs w:val="28"/>
              </w:rPr>
            </w:pPr>
            <w:r>
              <w:rPr>
                <w:rFonts w:hint="default" w:ascii="Caladea" w:hAnsi="Caladea" w:cs="Caladea"/>
                <w:sz w:val="28"/>
                <w:szCs w:val="28"/>
              </w:rPr>
              <w:t>92,575</w:t>
            </w:r>
          </w:p>
        </w:tc>
        <w:tc>
          <w:tcPr>
            <w:tcW w:w="1690" w:type="dxa"/>
            <w:noWrap/>
          </w:tcPr>
          <w:p>
            <w:pPr>
              <w:spacing w:after="0" w:line="240" w:lineRule="auto"/>
              <w:jc w:val="center"/>
              <w:rPr>
                <w:rFonts w:hint="default" w:ascii="Caladea" w:hAnsi="Caladea" w:cs="Caladea"/>
                <w:sz w:val="28"/>
                <w:szCs w:val="28"/>
              </w:rPr>
            </w:pPr>
            <w:r>
              <w:rPr>
                <w:rFonts w:hint="default" w:ascii="Caladea" w:hAnsi="Caladea" w:cs="Caladea"/>
                <w:sz w:val="28"/>
                <w:szCs w:val="28"/>
              </w:rPr>
              <w:t>110,505</w:t>
            </w:r>
          </w:p>
        </w:tc>
        <w:tc>
          <w:tcPr>
            <w:tcW w:w="1276" w:type="dxa"/>
            <w:noWrap/>
          </w:tcPr>
          <w:p>
            <w:pPr>
              <w:spacing w:after="0" w:line="240" w:lineRule="auto"/>
              <w:jc w:val="center"/>
              <w:rPr>
                <w:rFonts w:hint="default" w:ascii="Caladea" w:hAnsi="Caladea" w:cs="Caladea"/>
                <w:sz w:val="28"/>
                <w:szCs w:val="28"/>
              </w:rPr>
            </w:pPr>
            <w:r>
              <w:rPr>
                <w:rFonts w:hint="default" w:ascii="Caladea" w:hAnsi="Caladea" w:cs="Caladea"/>
                <w:sz w:val="28"/>
                <w:szCs w:val="28"/>
              </w:rPr>
              <w:t>107,085</w:t>
            </w:r>
          </w:p>
        </w:tc>
      </w:tr>
    </w:tbl>
    <w:p>
      <w:pPr>
        <w:jc w:val="both"/>
        <w:rPr>
          <w:rFonts w:hint="default" w:ascii="Caladea" w:hAnsi="Caladea" w:cs="Caladea"/>
          <w:b/>
          <w:bCs/>
          <w:sz w:val="28"/>
          <w:szCs w:val="28"/>
        </w:rPr>
      </w:pPr>
      <w:r>
        <w:rPr>
          <w:rFonts w:hint="default" w:ascii="Caladea" w:hAnsi="Caladea" w:cs="Caladea"/>
          <w:b/>
          <w:bCs/>
          <w:sz w:val="28"/>
          <w:szCs w:val="28"/>
        </w:rPr>
        <w:t>Source: UBOS</w:t>
      </w:r>
    </w:p>
    <w:p>
      <w:pPr>
        <w:jc w:val="both"/>
        <w:rPr>
          <w:rFonts w:hint="default" w:ascii="Caladea" w:hAnsi="Caladea" w:cs="Caladea"/>
          <w:sz w:val="28"/>
          <w:szCs w:val="28"/>
        </w:rPr>
      </w:pPr>
      <w:r>
        <w:rPr>
          <w:rFonts w:hint="default" w:ascii="Caladea" w:hAnsi="Caladea" w:cs="Caladea"/>
          <w:sz w:val="28"/>
          <w:szCs w:val="28"/>
        </w:rPr>
        <w:t xml:space="preserve">The above figures have potential to rise exponentially when fertiliser uptake is increased. </w:t>
      </w:r>
    </w:p>
    <w:p>
      <w:pPr>
        <w:jc w:val="both"/>
        <w:rPr>
          <w:rFonts w:hint="default" w:ascii="Caladea" w:hAnsi="Caladea" w:cs="Caladea"/>
          <w:sz w:val="28"/>
          <w:szCs w:val="28"/>
        </w:rPr>
      </w:pPr>
    </w:p>
    <w:p>
      <w:pPr>
        <w:jc w:val="both"/>
        <w:rPr>
          <w:rFonts w:hint="default" w:ascii="Caladea" w:hAnsi="Caladea" w:cs="Caladea"/>
          <w:b/>
          <w:bCs/>
          <w:sz w:val="28"/>
          <w:szCs w:val="28"/>
        </w:rPr>
      </w:pPr>
      <w:r>
        <w:rPr>
          <w:rFonts w:hint="default" w:ascii="Caladea" w:hAnsi="Caladea" w:cs="Caladea"/>
          <w:b/>
          <w:bCs/>
          <w:sz w:val="28"/>
          <w:szCs w:val="28"/>
        </w:rPr>
        <w:t>5.0 INVESTMENT OPPORTUNITIES</w:t>
      </w:r>
    </w:p>
    <w:p>
      <w:pPr>
        <w:jc w:val="both"/>
        <w:rPr>
          <w:rFonts w:hint="default" w:ascii="Caladea" w:hAnsi="Caladea" w:cs="Caladea"/>
          <w:sz w:val="28"/>
          <w:szCs w:val="28"/>
        </w:rPr>
      </w:pPr>
      <w:r>
        <w:rPr>
          <w:rFonts w:hint="default" w:ascii="Caladea" w:hAnsi="Caladea" w:cs="Caladea"/>
          <w:b/>
          <w:bCs/>
          <w:sz w:val="28"/>
          <w:szCs w:val="28"/>
        </w:rPr>
        <w:t xml:space="preserve">Phosphates; </w:t>
      </w:r>
      <w:r>
        <w:rPr>
          <w:rFonts w:hint="default" w:ascii="Caladea" w:hAnsi="Caladea" w:cs="Caladea"/>
          <w:sz w:val="28"/>
          <w:szCs w:val="28"/>
        </w:rPr>
        <w:t xml:space="preserve">Uganda has over 230 million tons of phosphates grade of 13.1% Phosphorous pentoxide (P205) at Sukuru Tororo District and 50 million tons of phosphates grade of 12.8 % Phosphorous pentoxide (P205) at Bukusu that can be used to make phosphate fertilisers. Currently, an investor Dongsong has a mining lease for the Sukulu phosphate deposits and has established a 300,000tonnes per annum plant for the production of fertilisers. The investor is however having internal management disputes with other company directors that led to the suspension of the financing from World Bank and delayed the take-off of this plant. </w:t>
      </w:r>
    </w:p>
    <w:p>
      <w:pPr>
        <w:jc w:val="both"/>
        <w:rPr>
          <w:rFonts w:hint="default" w:ascii="Caladea" w:hAnsi="Caladea" w:cs="Caladea"/>
          <w:sz w:val="28"/>
          <w:szCs w:val="28"/>
        </w:rPr>
      </w:pPr>
      <w:r>
        <w:rPr>
          <w:rFonts w:hint="default" w:ascii="Caladea" w:hAnsi="Caladea" w:cs="Caladea"/>
          <w:b/>
          <w:bCs/>
          <w:sz w:val="28"/>
          <w:szCs w:val="28"/>
        </w:rPr>
        <w:t xml:space="preserve">Nitrogen: </w:t>
      </w:r>
      <w:r>
        <w:rPr>
          <w:rFonts w:hint="default" w:ascii="Caladea" w:hAnsi="Caladea" w:cs="Caladea"/>
          <w:sz w:val="28"/>
          <w:szCs w:val="28"/>
        </w:rPr>
        <w:t>Uganda has deposits of oil and gas that can provide the hydrogen necessary to combine with nitrogen extracted from the air for the production of nitrogen-based fertilisers.</w:t>
      </w:r>
    </w:p>
    <w:p>
      <w:pPr>
        <w:jc w:val="both"/>
        <w:rPr>
          <w:rFonts w:hint="default" w:ascii="Caladea" w:hAnsi="Caladea" w:cs="Caladea"/>
          <w:sz w:val="28"/>
          <w:szCs w:val="28"/>
        </w:rPr>
      </w:pPr>
      <w:r>
        <w:rPr>
          <w:rFonts w:hint="default" w:ascii="Caladea" w:hAnsi="Caladea" w:cs="Caladea"/>
          <w:b/>
          <w:bCs/>
          <w:sz w:val="28"/>
          <w:szCs w:val="28"/>
        </w:rPr>
        <w:t xml:space="preserve">Potassium: </w:t>
      </w:r>
      <w:r>
        <w:rPr>
          <w:rFonts w:hint="default" w:ascii="Caladea" w:hAnsi="Caladea" w:cs="Caladea"/>
          <w:sz w:val="28"/>
          <w:szCs w:val="28"/>
        </w:rPr>
        <w:t>There are no local commercial deposits. A factory that needs to blend the NPK fertilisers will have to import the potassium from abroad.</w:t>
      </w:r>
    </w:p>
    <w:p>
      <w:pPr>
        <w:jc w:val="both"/>
        <w:rPr>
          <w:rFonts w:hint="default" w:ascii="Caladea" w:hAnsi="Caladea" w:cs="Caladea"/>
          <w:sz w:val="28"/>
          <w:szCs w:val="28"/>
        </w:rPr>
      </w:pPr>
      <w:r>
        <w:rPr>
          <w:rFonts w:hint="default" w:ascii="Caladea" w:hAnsi="Caladea" w:cs="Caladea"/>
          <w:b/>
          <w:bCs/>
          <w:sz w:val="28"/>
          <w:szCs w:val="28"/>
        </w:rPr>
        <w:t xml:space="preserve">Vermiculite: </w:t>
      </w:r>
      <w:r>
        <w:rPr>
          <w:rFonts w:hint="default" w:ascii="Caladea" w:hAnsi="Caladea" w:cs="Caladea"/>
          <w:sz w:val="28"/>
          <w:szCs w:val="28"/>
        </w:rPr>
        <w:t>Uganda has deposits in Sukulu in Tororo District and Bukusu Carbonatite Complex (Namekhara, Nakhupa, Surumbusa, Kabatola and Sikusi) in greater Mbale Area. According to Ministry of Energy and Mineral Development, there are 54.9 million tonnes of vermiculite in Namekhara Manafwa district that can also be used in fertiliser production.</w:t>
      </w:r>
    </w:p>
    <w:p>
      <w:pPr>
        <w:jc w:val="both"/>
        <w:rPr>
          <w:rFonts w:hint="default" w:ascii="Caladea" w:hAnsi="Caladea" w:cs="Caladea"/>
          <w:sz w:val="28"/>
          <w:szCs w:val="28"/>
        </w:rPr>
      </w:pPr>
      <w:r>
        <w:rPr>
          <w:rFonts w:hint="default" w:ascii="Caladea" w:hAnsi="Caladea" w:cs="Caladea"/>
          <w:b/>
          <w:bCs/>
          <w:sz w:val="28"/>
          <w:szCs w:val="28"/>
        </w:rPr>
        <w:t>Fertiliser blending plant:</w:t>
      </w:r>
      <w:r>
        <w:rPr>
          <w:rFonts w:hint="default" w:ascii="Caladea" w:hAnsi="Caladea" w:cs="Caladea"/>
          <w:sz w:val="28"/>
          <w:szCs w:val="28"/>
        </w:rPr>
        <w:t xml:space="preserve"> the abundant market and raw materials above create opportunities for the establishment of a fertiliser plant based on blending of inputs, either locally manufactured or imported. One company Grain pulse based in Mukono is locally mixing basic fertilizers to produce crop-specific fertilizer blends. It has an installed capacity of 300,000tons per annum.</w:t>
      </w:r>
    </w:p>
    <w:p>
      <w:pPr>
        <w:jc w:val="both"/>
        <w:rPr>
          <w:rFonts w:hint="default" w:ascii="Caladea" w:hAnsi="Caladea" w:cs="Caladea"/>
          <w:sz w:val="28"/>
          <w:szCs w:val="28"/>
        </w:rPr>
      </w:pPr>
      <w:r>
        <w:rPr>
          <w:rFonts w:hint="default" w:ascii="Caladea" w:hAnsi="Caladea" w:cs="Caladea"/>
          <w:b/>
          <w:bCs/>
          <w:sz w:val="28"/>
          <w:szCs w:val="28"/>
        </w:rPr>
        <w:t xml:space="preserve">Organic fertilisers from biomass: </w:t>
      </w:r>
      <w:r>
        <w:rPr>
          <w:rFonts w:hint="default" w:ascii="Caladea" w:hAnsi="Caladea" w:cs="Caladea"/>
          <w:sz w:val="28"/>
          <w:szCs w:val="28"/>
        </w:rPr>
        <w:t>Uganda has been implementing a project entitled; Uganda Municipal Waste Compost Program</w:t>
      </w:r>
      <w:r>
        <w:rPr>
          <w:rFonts w:hint="default" w:ascii="Caladea" w:hAnsi="Caladea" w:cs="Caladea"/>
          <w:b/>
          <w:bCs/>
          <w:sz w:val="28"/>
          <w:szCs w:val="28"/>
        </w:rPr>
        <w:t xml:space="preserve">, </w:t>
      </w:r>
      <w:r>
        <w:rPr>
          <w:rFonts w:hint="default" w:ascii="Caladea" w:hAnsi="Caladea" w:cs="Caladea"/>
          <w:sz w:val="28"/>
          <w:szCs w:val="28"/>
        </w:rPr>
        <w:t>under the Clean Development Mechanism</w:t>
      </w:r>
      <w:r>
        <w:rPr>
          <w:rFonts w:hint="default" w:ascii="Caladea" w:hAnsi="Caladea" w:cs="Caladea"/>
          <w:b/>
          <w:bCs/>
          <w:sz w:val="28"/>
          <w:szCs w:val="28"/>
        </w:rPr>
        <w:t xml:space="preserve"> </w:t>
      </w:r>
      <w:r>
        <w:rPr>
          <w:rFonts w:hint="default" w:ascii="Caladea" w:hAnsi="Caladea" w:cs="Caladea"/>
          <w:sz w:val="28"/>
          <w:szCs w:val="28"/>
        </w:rPr>
        <w:t xml:space="preserve">with the objective of taking advantage of increasing municipal waste from the rapid urbanisation of the country to produce compost that can be used as fertiliser. The project has been implemented by National Environment Management Agency in conjunction with the local municipalities. An study report  of the project indicates that the lack of sorting of the various kinds of waste has affected the quality of the compost produced and is in most cases unsuitable as fertilizers for crops. An investor with better technology and sorting mechanisms can take advantage of the compost produced and make suitable fertiliser.  </w:t>
      </w:r>
      <w:r>
        <w:rPr>
          <w:rFonts w:hint="default" w:ascii="Caladea" w:hAnsi="Caladea" w:cs="Caladea"/>
          <w:color w:val="222222"/>
          <w:sz w:val="28"/>
          <w:szCs w:val="28"/>
          <w:shd w:val="clear" w:color="auto" w:fill="FFFFFF"/>
        </w:rPr>
        <w:t> </w:t>
      </w:r>
      <w:r>
        <w:rPr>
          <w:rFonts w:hint="default" w:ascii="Caladea" w:hAnsi="Caladea" w:cs="Caladea"/>
          <w:sz w:val="28"/>
          <w:szCs w:val="28"/>
        </w:rPr>
        <w:t xml:space="preserve"> </w:t>
      </w:r>
    </w:p>
    <w:p>
      <w:pPr>
        <w:jc w:val="both"/>
        <w:rPr>
          <w:rFonts w:hint="default" w:ascii="Caladea" w:hAnsi="Caladea" w:cs="Caladea"/>
          <w:sz w:val="28"/>
          <w:szCs w:val="28"/>
        </w:rPr>
      </w:pPr>
    </w:p>
    <w:p>
      <w:pPr>
        <w:jc w:val="both"/>
        <w:rPr>
          <w:rFonts w:hint="default" w:ascii="Caladea" w:hAnsi="Caladea" w:cs="Caladea"/>
          <w:sz w:val="28"/>
          <w:szCs w:val="28"/>
        </w:rPr>
      </w:pPr>
    </w:p>
    <w:sectPr>
      <w:footerReference r:id="rId5" w:type="default"/>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Calibri">
    <w:altName w:val="Trebuchet MS"/>
    <w:panose1 w:val="020F0502020204030204"/>
    <w:charset w:val="86"/>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Calibri">
    <w:altName w:val="Trebuchet MS"/>
    <w:panose1 w:val="00000000000000000000"/>
    <w:charset w:val="00"/>
    <w:family w:val="auto"/>
    <w:pitch w:val="default"/>
    <w:sig w:usb0="00000000" w:usb1="00000000" w:usb2="00000000" w:usb3="00000000" w:csb0="00000000" w:csb1="00000000"/>
  </w:font>
  <w:font w:name="Bookman Old Style">
    <w:altName w:val="mry_KacstQurn"/>
    <w:panose1 w:val="02050604050505020204"/>
    <w:charset w:val="00"/>
    <w:family w:val="roman"/>
    <w:pitch w:val="default"/>
    <w:sig w:usb0="00000000" w:usb1="00000000" w:usb2="00000000" w:usb3="00000000" w:csb0="0000009F" w:csb1="00000000"/>
  </w:font>
  <w:font w:name="mry_KacstQurn">
    <w:panose1 w:val="02060603050605020204"/>
    <w:charset w:val="00"/>
    <w:family w:val="auto"/>
    <w:pitch w:val="default"/>
    <w:sig w:usb0="8000202F" w:usb1="80000008" w:usb2="00000008" w:usb3="00000000" w:csb0="00000040" w:csb1="A0180000"/>
  </w:font>
  <w:font w:name="Abyssinica SIL">
    <w:panose1 w:val="02000000000000000000"/>
    <w:charset w:val="00"/>
    <w:family w:val="auto"/>
    <w:pitch w:val="default"/>
    <w:sig w:usb0="800000EF" w:usb1="5200A14B" w:usb2="08000828" w:usb3="00000000" w:csb0="20000001" w:csb1="00000000"/>
  </w:font>
  <w:font w:name="Arial Black">
    <w:panose1 w:val="020B0A04020102020204"/>
    <w:charset w:val="00"/>
    <w:family w:val="auto"/>
    <w:pitch w:val="default"/>
    <w:sig w:usb0="00000287" w:usb1="00000000" w:usb2="00000000" w:usb3="00000000" w:csb0="2000009F" w:csb1="DFD70000"/>
  </w:font>
  <w:font w:name="DejaVu Sans">
    <w:panose1 w:val="020B0606030804020204"/>
    <w:charset w:val="00"/>
    <w:family w:val="auto"/>
    <w:pitch w:val="default"/>
    <w:sig w:usb0="E7006EFF" w:usb1="D200FDFF" w:usb2="0A246029" w:usb3="0400200C" w:csb0="600001FF" w:csb1="DFFF0000"/>
  </w:font>
  <w:font w:name="Georgia">
    <w:panose1 w:val="02040502050405020303"/>
    <w:charset w:val="00"/>
    <w:family w:val="auto"/>
    <w:pitch w:val="default"/>
    <w:sig w:usb0="00000287" w:usb1="00000000" w:usb2="00000000" w:usb3="00000000" w:csb0="2000009F" w:csb1="00000000"/>
  </w:font>
  <w:font w:name="Caladea">
    <w:panose1 w:val="02040503050406030204"/>
    <w:charset w:val="00"/>
    <w:family w:val="auto"/>
    <w:pitch w:val="default"/>
    <w:sig w:usb0="00000007" w:usb1="00000000" w:usb2="00000000" w:usb3="00000000" w:csb0="2000009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22928246"/>
      <w:docPartObj>
        <w:docPartGallery w:val="AutoText"/>
      </w:docPartObj>
    </w:sdtPr>
    <w:sdtContent>
      <w:p>
        <w:pPr>
          <w:pStyle w:val="4"/>
          <w:jc w:val="center"/>
        </w:pPr>
        <w:r>
          <w:fldChar w:fldCharType="begin"/>
        </w:r>
        <w:r>
          <w:instrText xml:space="preserve"> PAGE   \* MERGEFORMAT </w:instrText>
        </w:r>
        <w:r>
          <w:fldChar w:fldCharType="separate"/>
        </w:r>
        <w:r>
          <w:t>1</w:t>
        </w:r>
        <w:r>
          <w:fldChar w:fldCharType="end"/>
        </w:r>
      </w:p>
    </w:sdtContent>
  </w:sdt>
  <w:p>
    <w:pPr>
      <w:pStyle w:val="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615A51"/>
    <w:multiLevelType w:val="multilevel"/>
    <w:tmpl w:val="06615A51"/>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0C4B3EB6"/>
    <w:multiLevelType w:val="multilevel"/>
    <w:tmpl w:val="0C4B3EB6"/>
    <w:lvl w:ilvl="0" w:tentative="0">
      <w:start w:val="2"/>
      <w:numFmt w:val="decimal"/>
      <w:lvlText w:val="%1.0"/>
      <w:lvlJc w:val="left"/>
      <w:pPr>
        <w:ind w:left="720" w:hanging="720"/>
      </w:pPr>
      <w:rPr>
        <w:rFonts w:hint="default"/>
      </w:rPr>
    </w:lvl>
    <w:lvl w:ilvl="1" w:tentative="0">
      <w:start w:val="1"/>
      <w:numFmt w:val="decimal"/>
      <w:lvlText w:val="%1.%2"/>
      <w:lvlJc w:val="left"/>
      <w:pPr>
        <w:ind w:left="1440" w:hanging="720"/>
      </w:pPr>
      <w:rPr>
        <w:rFonts w:hint="default"/>
      </w:rPr>
    </w:lvl>
    <w:lvl w:ilvl="2" w:tentative="0">
      <w:start w:val="1"/>
      <w:numFmt w:val="decimal"/>
      <w:lvlText w:val="%1.%2.%3"/>
      <w:lvlJc w:val="left"/>
      <w:pPr>
        <w:ind w:left="2160" w:hanging="720"/>
      </w:pPr>
      <w:rPr>
        <w:rFonts w:hint="default"/>
      </w:rPr>
    </w:lvl>
    <w:lvl w:ilvl="3" w:tentative="0">
      <w:start w:val="1"/>
      <w:numFmt w:val="decimal"/>
      <w:lvlText w:val="%1.%2.%3.%4"/>
      <w:lvlJc w:val="left"/>
      <w:pPr>
        <w:ind w:left="3240" w:hanging="1080"/>
      </w:pPr>
      <w:rPr>
        <w:rFonts w:hint="default"/>
      </w:rPr>
    </w:lvl>
    <w:lvl w:ilvl="4" w:tentative="0">
      <w:start w:val="1"/>
      <w:numFmt w:val="decimal"/>
      <w:lvlText w:val="%1.%2.%3.%4.%5"/>
      <w:lvlJc w:val="left"/>
      <w:pPr>
        <w:ind w:left="4320" w:hanging="1440"/>
      </w:pPr>
      <w:rPr>
        <w:rFonts w:hint="default"/>
      </w:rPr>
    </w:lvl>
    <w:lvl w:ilvl="5" w:tentative="0">
      <w:start w:val="1"/>
      <w:numFmt w:val="decimal"/>
      <w:lvlText w:val="%1.%2.%3.%4.%5.%6"/>
      <w:lvlJc w:val="left"/>
      <w:pPr>
        <w:ind w:left="5400" w:hanging="1800"/>
      </w:pPr>
      <w:rPr>
        <w:rFonts w:hint="default"/>
      </w:rPr>
    </w:lvl>
    <w:lvl w:ilvl="6" w:tentative="0">
      <w:start w:val="1"/>
      <w:numFmt w:val="decimal"/>
      <w:lvlText w:val="%1.%2.%3.%4.%5.%6.%7"/>
      <w:lvlJc w:val="left"/>
      <w:pPr>
        <w:ind w:left="6120" w:hanging="1800"/>
      </w:pPr>
      <w:rPr>
        <w:rFonts w:hint="default"/>
      </w:rPr>
    </w:lvl>
    <w:lvl w:ilvl="7" w:tentative="0">
      <w:start w:val="1"/>
      <w:numFmt w:val="decimal"/>
      <w:lvlText w:val="%1.%2.%3.%4.%5.%6.%7.%8"/>
      <w:lvlJc w:val="left"/>
      <w:pPr>
        <w:ind w:left="7200" w:hanging="2160"/>
      </w:pPr>
      <w:rPr>
        <w:rFonts w:hint="default"/>
      </w:rPr>
    </w:lvl>
    <w:lvl w:ilvl="8" w:tentative="0">
      <w:start w:val="1"/>
      <w:numFmt w:val="decimal"/>
      <w:lvlText w:val="%1.%2.%3.%4.%5.%6.%7.%8.%9"/>
      <w:lvlJc w:val="left"/>
      <w:pPr>
        <w:ind w:left="8280" w:hanging="2520"/>
      </w:pPr>
      <w:rPr>
        <w:rFonts w:hint="default"/>
      </w:rPr>
    </w:lvl>
  </w:abstractNum>
  <w:abstractNum w:abstractNumId="2">
    <w:nsid w:val="7A056DF9"/>
    <w:multiLevelType w:val="multilevel"/>
    <w:tmpl w:val="7A056DF9"/>
    <w:lvl w:ilvl="0" w:tentative="0">
      <w:start w:val="1"/>
      <w:numFmt w:val="lowerRoman"/>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2949"/>
    <w:rsid w:val="00040F28"/>
    <w:rsid w:val="000608E0"/>
    <w:rsid w:val="00073A5C"/>
    <w:rsid w:val="00122D6A"/>
    <w:rsid w:val="001506AE"/>
    <w:rsid w:val="0021185E"/>
    <w:rsid w:val="00244E9A"/>
    <w:rsid w:val="002B7A49"/>
    <w:rsid w:val="00322783"/>
    <w:rsid w:val="003519DA"/>
    <w:rsid w:val="004945DC"/>
    <w:rsid w:val="004C5521"/>
    <w:rsid w:val="005324BF"/>
    <w:rsid w:val="00534D49"/>
    <w:rsid w:val="005A6D4D"/>
    <w:rsid w:val="005B4BBA"/>
    <w:rsid w:val="005B7C65"/>
    <w:rsid w:val="005E3B49"/>
    <w:rsid w:val="005E552E"/>
    <w:rsid w:val="006C69DB"/>
    <w:rsid w:val="006F542F"/>
    <w:rsid w:val="007153D9"/>
    <w:rsid w:val="0074378F"/>
    <w:rsid w:val="00786D8F"/>
    <w:rsid w:val="00806185"/>
    <w:rsid w:val="00806DE8"/>
    <w:rsid w:val="008F2694"/>
    <w:rsid w:val="009036DC"/>
    <w:rsid w:val="009352E8"/>
    <w:rsid w:val="009F36DD"/>
    <w:rsid w:val="00AA7429"/>
    <w:rsid w:val="00B31CD8"/>
    <w:rsid w:val="00B34919"/>
    <w:rsid w:val="00B52949"/>
    <w:rsid w:val="00C1460A"/>
    <w:rsid w:val="00CA56BF"/>
    <w:rsid w:val="00CC73AD"/>
    <w:rsid w:val="00DA041C"/>
    <w:rsid w:val="00DC65C5"/>
    <w:rsid w:val="00E101A6"/>
    <w:rsid w:val="00E4064E"/>
    <w:rsid w:val="00EB2056"/>
    <w:rsid w:val="00EE221E"/>
    <w:rsid w:val="00F349C8"/>
    <w:rsid w:val="00FD2775"/>
    <w:rsid w:val="00FD6973"/>
    <w:rsid w:val="636F3368"/>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GB" w:eastAsia="en-US" w:bidi="ar-SA"/>
      <w14:ligatures w14:val="standardContextual"/>
    </w:rPr>
  </w:style>
  <w:style w:type="character" w:default="1" w:styleId="2">
    <w:name w:val="Default Paragraph Font"/>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9"/>
    <w:unhideWhenUsed/>
    <w:qFormat/>
    <w:uiPriority w:val="99"/>
    <w:pPr>
      <w:tabs>
        <w:tab w:val="center" w:pos="4513"/>
        <w:tab w:val="right" w:pos="9026"/>
      </w:tabs>
      <w:spacing w:after="0" w:line="240" w:lineRule="auto"/>
    </w:pPr>
  </w:style>
  <w:style w:type="paragraph" w:styleId="5">
    <w:name w:val="header"/>
    <w:basedOn w:val="1"/>
    <w:link w:val="8"/>
    <w:unhideWhenUsed/>
    <w:qFormat/>
    <w:uiPriority w:val="99"/>
    <w:pPr>
      <w:tabs>
        <w:tab w:val="center" w:pos="4513"/>
        <w:tab w:val="right" w:pos="9026"/>
      </w:tabs>
      <w:spacing w:after="0" w:line="240" w:lineRule="auto"/>
    </w:pPr>
  </w:style>
  <w:style w:type="table" w:styleId="6">
    <w:name w:val="Table Grid"/>
    <w:basedOn w:val="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7">
    <w:name w:val="List Paragraph"/>
    <w:basedOn w:val="1"/>
    <w:qFormat/>
    <w:uiPriority w:val="34"/>
    <w:pPr>
      <w:ind w:left="720"/>
      <w:contextualSpacing/>
    </w:pPr>
  </w:style>
  <w:style w:type="character" w:customStyle="1" w:styleId="8">
    <w:name w:val="Header Char"/>
    <w:basedOn w:val="2"/>
    <w:link w:val="5"/>
    <w:qFormat/>
    <w:uiPriority w:val="99"/>
  </w:style>
  <w:style w:type="character" w:customStyle="1" w:styleId="9">
    <w:name w:val="Footer Char"/>
    <w:basedOn w:val="2"/>
    <w:link w:val="4"/>
    <w:uiPriority w:val="99"/>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1463</Words>
  <Characters>8341</Characters>
  <Lines>69</Lines>
  <Paragraphs>19</Paragraphs>
  <TotalTime>175</TotalTime>
  <ScaleCrop>false</ScaleCrop>
  <LinksUpToDate>false</LinksUpToDate>
  <CharactersWithSpaces>9785</CharactersWithSpaces>
  <Application>WPS Office_11.1.0.11720_F1E327BC-269C-435d-A152-05C5408002CA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2023-03-31T15:02:00Z</dcterms:created>
  <dc:creator>Emmanuel Kamugasha</dc:creator>
  <cp:lastModifiedBy>shiobhan</cp:lastModifiedBy>
  <dcterms:modified xsi:type="dcterms:W3CDTF">2025-07-14T11:50:29Z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1033-11.1.0.11720</vt:lpwstr>
  </property>
</Properties>
</file>