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002B5B"/>
          <w:sz w:val="52"/>
        </w:rPr>
        <w:t>Industrial Diagnostic Study — Report 2</w:t>
      </w:r>
    </w:p>
    <w:p>
      <w:pPr>
        <w:jc w:val="center"/>
      </w:pPr>
      <w:r>
        <w:rPr>
          <w:color w:val="005CA8"/>
          <w:sz w:val="26"/>
        </w:rPr>
        <w:t>Textiles &amp; Garments · Pharmaceuticals · Petrochemicals &amp; Fertilizers · Sugar &amp; Confectionery · Plastics &amp; Packaging · Cement &amp; Building Materials</w:t>
      </w:r>
    </w:p>
    <w:p/>
    <w:p>
      <w:pPr>
        <w:jc w:val="center"/>
      </w:pPr>
      <w:r>
        <w:rPr>
          <w:color w:val="555555"/>
          <w:sz w:val="22"/>
        </w:rPr>
        <w:t>Ministry of Trade, Industry and Cooperatives (MTIC), Uganda</w:t>
      </w:r>
    </w:p>
    <w:p>
      <w:pPr>
        <w:jc w:val="center"/>
      </w:pPr>
      <w:r>
        <w:rPr>
          <w:color w:val="555555"/>
          <w:sz w:val="22"/>
        </w:rPr>
        <w:t>Uganda–UNIDO Programme for Country Partnership (PCP) for Inclusive and Sustainable Industrial Development (ISID)</w:t>
      </w:r>
    </w:p>
    <w:p>
      <w:pPr>
        <w:jc w:val="center"/>
      </w:pPr>
      <w:r>
        <w:rPr>
          <w:i/>
          <w:sz w:val="22"/>
        </w:rPr>
        <w:t>Draft for validation</w:t>
      </w:r>
    </w:p>
    <w:p>
      <w:pPr>
        <w:jc w:val="center"/>
      </w:pPr>
      <w:r>
        <w:rPr>
          <w:color w:val="555555"/>
          <w:sz w:val="19"/>
        </w:rPr>
        <w:t>Sources and citations are provided inline and in per-chapter reference lists for verification.</w:t>
      </w:r>
    </w:p>
    <w:p>
      <w:r>
        <w:br w:type="page"/>
      </w:r>
    </w:p>
    <w:p>
      <w:pPr>
        <w:pStyle w:val="Heading1"/>
      </w:pPr>
      <w:r>
        <w:t>Table of Contents</w:t>
      </w:r>
    </w:p>
    <w:p>
      <w:r>
        <w:fldChar w:fldCharType="begin"/>
        <w:instrText xml:space="preserve">TOC \o "1-2" \h \z \u</w:instrText>
        <w:fldChar w:fldCharType="separate"/>
        <w:t>Right-click and choose “Update Field” to build the contents.</w:t>
        <w:fldChar w:fldCharType="end"/>
      </w:r>
    </w:p>
    <w:p>
      <w:r>
        <w:br w:type="page"/>
      </w:r>
    </w:p>
    <w:p>
      <w:pPr>
        <w:pStyle w:val="Heading1"/>
      </w:pPr>
      <w:r>
        <w:t>Chapter 1: Executive Summary</w:t>
      </w:r>
    </w:p>
    <w:p>
      <w:r>
        <w:rPr>
          <w:b/>
        </w:rPr>
        <w:t>Report:</w:t>
      </w:r>
      <w:r>
        <w:t xml:space="preserve"> Report 2 — Textiles &amp; Garments, Pharmaceuticals, Petrochemicals &amp; Fertilizers, Sugar &amp; Confectionery, Plastics &amp; Packaging, and Cement &amp; Building Materials Value Chains</w:t>
      </w:r>
    </w:p>
    <w:p>
      <w:r>
        <w:rPr>
          <w:b/>
        </w:rPr>
        <w:t>Client:</w:t>
      </w:r>
      <w:r>
        <w:t xml:space="preserve"> Ministry of Trade, Industry and Cooperatives (MTIC), Uganda</w:t>
      </w:r>
    </w:p>
    <w:p>
      <w:r>
        <w:rPr>
          <w:b/>
        </w:rPr>
        <w:t>Programme:</w:t>
      </w:r>
      <w:r>
        <w:t xml:space="preserve"> Uganda–UNIDO Programme for Country Partnership (PCP) for ISID</w:t>
      </w:r>
    </w:p>
    <w:p>
      <w:r>
        <w:rPr>
          <w:b/>
        </w:rPr>
        <w:t>Status:</w:t>
      </w:r>
      <w:r>
        <w:t xml:space="preserve"> Draft for validation</w:t>
      </w:r>
    </w:p>
    <w:p>
      <w:pPr>
        <w:pStyle w:val="Heading2"/>
      </w:pPr>
      <w:r>
        <w:t>The purpose of this report</w:t>
      </w:r>
    </w:p>
    <w:p>
      <w:r>
        <w:t xml:space="preserve">This diagnostic examines six of Uganda's NDP IV priority manufacturing value chains — </w:t>
      </w:r>
      <w:r>
        <w:rPr>
          <w:b/>
        </w:rPr>
        <w:t>Textiles &amp; Garments, Pharmaceuticals, Petrochemicals &amp; Fertilizers, Sugar &amp; Confectionery, Plastics &amp; Packaging, and Cement &amp; Building Materials</w:t>
      </w:r>
      <w:r>
        <w:t xml:space="preserve"> — and identifies, for each, the three to four products Uganda should prioritize for competitive manufacturing. It is a </w:t>
      </w:r>
      <w:r>
        <w:rPr>
          <w:b/>
        </w:rPr>
        <w:t>desk-based diagnostic, offered for validation</w:t>
      </w:r>
      <w:r>
        <w:t xml:space="preserve"> through key informant interviews and a stakeholder workshop (Chapter 3). All trade figures are from ITC TradeMap (2024), cited at the point of use.</w:t>
      </w:r>
    </w:p>
    <w:p>
      <w:r>
        <w:t xml:space="preserve">The guiding principle is discipline: </w:t>
      </w:r>
      <w:r>
        <w:rPr>
          <w:i/>
        </w:rPr>
        <w:t>successful economies are built around a few products done exceptionally well.</w:t>
      </w:r>
      <w:r>
        <w:t xml:space="preserve"> With six chains in scope, this report is deliberately selective — it states what to prioritize and what to set aside.</w:t>
      </w:r>
    </w:p>
    <w:p>
      <w:pPr>
        <w:pStyle w:val="Heading2"/>
      </w:pPr>
      <w:r>
        <w:t>The recurring pattern</w:t>
      </w:r>
    </w:p>
    <w:p>
      <w:r>
        <w:t xml:space="preserve">Across all six chains, one pattern dominates: </w:t>
      </w:r>
      <w:r>
        <w:rPr>
          <w:b/>
        </w:rPr>
        <w:t>Uganda exports or under-processes raw inputs and imports the finished product.</w:t>
      </w:r>
      <w:r>
        <w:t xml:space="preserve"> It exports cotton lint and imports textiles; imports ~90% of medicines; imports clinker while exporting cement; imports plastics and packaging; under-supplies its own fertilizer need. The strategic opportunity in every chain is the same — </w:t>
      </w:r>
      <w:r>
        <w:rPr>
          <w:b/>
        </w:rPr>
        <w:t>move up the value chain, substitute imports, and add value to what Uganda already produces.</w:t>
      </w:r>
    </w:p>
    <w:p>
      <w:pPr>
        <w:pStyle w:val="Heading2"/>
      </w:pPr>
      <w:r>
        <w:t>What the evidence shows</w:t>
      </w:r>
    </w:p>
    <w:p>
      <w:r>
        <w:t xml:space="preserve">Manufacturing is about </w:t>
      </w:r>
      <w:r>
        <w:rPr>
          <w:b/>
        </w:rPr>
        <w:t>15.2% of GDP (2024)</w:t>
      </w:r>
      <w:r>
        <w:t>, below the National Industrial Policy's own ~16% target for 2029/30 (World Bank; NIP 2020). Chain by chain (ITC TradeMap, 2024 unless noted):</w:t>
      </w:r>
    </w:p>
    <w:p>
      <w:pPr>
        <w:pStyle w:val="ListBullet"/>
      </w:pPr>
      <w:r>
        <w:rPr>
          <w:b/>
        </w:rPr>
        <w:t>Textiles &amp; Garments:</w:t>
      </w:r>
      <w:r>
        <w:t xml:space="preserve"> ~90% of cotton lint is exported raw at under USD 1/kg; </w:t>
      </w:r>
      <w:r>
        <w:rPr>
          <w:b/>
        </w:rPr>
        <w:t>39 ginneries run at ~10% capacity</w:t>
      </w:r>
      <w:r>
        <w:t>; only two integrated mills (Nytil, Fine Spinners). The lint-to-garment value gap is among the largest in the economy.</w:t>
      </w:r>
    </w:p>
    <w:p>
      <w:pPr>
        <w:pStyle w:val="ListBullet"/>
      </w:pPr>
      <w:r>
        <w:rPr>
          <w:b/>
        </w:rPr>
        <w:t>Pharmaceuticals:</w:t>
      </w:r>
      <w:r>
        <w:t xml:space="preserve"> ~90% of medicines imported (down from 96% in 2016); medicaments imports </w:t>
      </w:r>
      <w:r>
        <w:rPr>
          <w:b/>
        </w:rPr>
        <w:t>USD 263.4m</w:t>
      </w:r>
      <w:r>
        <w:t>; market ~USD 221m. But Uganda has a proven WHO-GMP base — Cipla QCIL (~1.2bn tablets/year) exporting regionally.</w:t>
      </w:r>
    </w:p>
    <w:p>
      <w:pPr>
        <w:pStyle w:val="ListBullet"/>
      </w:pPr>
      <w:r>
        <w:rPr>
          <w:b/>
        </w:rPr>
        <w:t>Petrochemicals &amp; Fertilizers:</w:t>
      </w:r>
      <w:r>
        <w:t xml:space="preserve"> the Sukulu fertilizer plant has </w:t>
      </w:r>
      <w:r>
        <w:rPr>
          <w:b/>
        </w:rPr>
        <w:t>stalled</w:t>
      </w:r>
      <w:r>
        <w:t xml:space="preserve"> (shut 2021, halted again 2023) while Uganda needs ~1m t of fertilizer and imports ~50,000 t; the </w:t>
      </w:r>
      <w:r>
        <w:rPr>
          <w:b/>
        </w:rPr>
        <w:t>Kabaale refinery + Kabalega petrochemical park</w:t>
      </w:r>
      <w:r>
        <w:t xml:space="preserve"> (Alpha MBM deal, March 2025) is the medium-term feedstock anchor (~2029–30).</w:t>
      </w:r>
    </w:p>
    <w:p>
      <w:pPr>
        <w:pStyle w:val="ListBullet"/>
      </w:pPr>
      <w:r>
        <w:rPr>
          <w:b/>
        </w:rPr>
        <w:t>Sugar &amp; Confectionery:</w:t>
      </w:r>
      <w:r>
        <w:t xml:space="preserve"> structural </w:t>
      </w:r>
      <w:r>
        <w:rPr>
          <w:b/>
        </w:rPr>
        <w:t>surplus</w:t>
      </w:r>
      <w:r>
        <w:t xml:space="preserve"> (~822,000 t output vs ~370,000 t consumption); the opportunity is </w:t>
      </w:r>
      <w:r>
        <w:rPr>
          <w:b/>
        </w:rPr>
        <w:t>downstream</w:t>
      </w:r>
      <w:r>
        <w:t xml:space="preserve"> (industrial sugar, ethanol, co-generation), not more raw sugar — and over-licensing of mills must be disciplined.</w:t>
      </w:r>
    </w:p>
    <w:p>
      <w:pPr>
        <w:pStyle w:val="ListBullet"/>
      </w:pPr>
      <w:r>
        <w:rPr>
          <w:b/>
        </w:rPr>
        <w:t>Plastics &amp; Packaging:</w:t>
      </w:r>
      <w:r>
        <w:t xml:space="preserve"> ~150,000 t/year imported; packaging imports </w:t>
      </w:r>
      <w:r>
        <w:rPr>
          <w:b/>
        </w:rPr>
        <w:t>USD 37.1m</w:t>
      </w:r>
      <w:r>
        <w:t xml:space="preserve">; 600 t/day of plastic waste with &lt;40% collected; a 2025 NEMA single-use-bag ban reshapes the sector toward </w:t>
      </w:r>
      <w:r>
        <w:rPr>
          <w:b/>
        </w:rPr>
        <w:t>recycling and alternatives</w:t>
      </w:r>
      <w:r>
        <w:t>.</w:t>
      </w:r>
    </w:p>
    <w:p>
      <w:pPr>
        <w:pStyle w:val="ListBullet"/>
      </w:pPr>
      <w:r>
        <w:rPr>
          <w:b/>
        </w:rPr>
        <w:t>Cement &amp; Building Materials:</w:t>
      </w:r>
      <w:r>
        <w:t xml:space="preserve"> a </w:t>
      </w:r>
      <w:r>
        <w:rPr>
          <w:b/>
        </w:rPr>
        <w:t>USD 707m market (2024, +12%)</w:t>
      </w:r>
      <w:r>
        <w:t xml:space="preserve"> and a competitive regional exporter (USD 86m), but it </w:t>
      </w:r>
      <w:r>
        <w:rPr>
          <w:b/>
        </w:rPr>
        <w:t>imports &gt;50% of its clinker</w:t>
      </w:r>
      <w:r>
        <w:t xml:space="preserve"> (USD 162m import line) — the clear value-addition prize, with new USD 200–300m clinker plants underway.</w:t>
      </w:r>
    </w:p>
    <w:p>
      <w:pPr>
        <w:pStyle w:val="Heading2"/>
      </w:pPr>
      <w:r>
        <w:t>Prioritized products (the core recommendation)</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Chain</w:t>
            </w:r>
          </w:p>
        </w:tc>
        <w:tc>
          <w:tcPr>
            <w:tcW w:type="dxa" w:w="3135"/>
            <w:shd w:val="clear" w:color="auto" w:fill="002B5B"/>
          </w:tcPr>
          <w:p>
            <w:r>
              <w:rPr>
                <w:b/>
                <w:color w:val="FFFFFF"/>
                <w:sz w:val="18"/>
              </w:rPr>
              <w:t>Priorities</w:t>
            </w:r>
          </w:p>
        </w:tc>
        <w:tc>
          <w:tcPr>
            <w:tcW w:type="dxa" w:w="3135"/>
            <w:shd w:val="clear" w:color="auto" w:fill="002B5B"/>
          </w:tcPr>
          <w:p>
            <w:r>
              <w:rPr>
                <w:b/>
                <w:color w:val="FFFFFF"/>
                <w:sz w:val="18"/>
              </w:rPr>
              <w:t>Deprioritize (for now)</w:t>
            </w:r>
          </w:p>
        </w:tc>
      </w:tr>
      <w:tr>
        <w:tc>
          <w:tcPr>
            <w:tcW w:type="dxa" w:w="3135"/>
            <w:shd w:val="clear" w:color="auto" w:fill="EEF3F9"/>
          </w:tcPr>
          <w:p>
            <w:r>
              <w:rPr>
                <w:b/>
                <w:sz w:val="18"/>
              </w:rPr>
              <w:t>Textiles &amp; Garments</w:t>
            </w:r>
          </w:p>
        </w:tc>
        <w:tc>
          <w:tcPr>
            <w:tcW w:type="dxa" w:w="3135"/>
            <w:shd w:val="clear" w:color="auto" w:fill="EEF3F9"/>
          </w:tcPr>
          <w:p>
            <w:r>
              <w:rPr>
                <w:sz w:val="18"/>
              </w:rPr>
              <w:t>(1) Garments/apparel; (2) Yarn &amp; fabric; (3) Cottonseed oil &amp; cake</w:t>
            </w:r>
          </w:p>
        </w:tc>
        <w:tc>
          <w:tcPr>
            <w:tcW w:type="dxa" w:w="3135"/>
            <w:shd w:val="clear" w:color="auto" w:fill="EEF3F9"/>
          </w:tcPr>
          <w:p>
            <w:r>
              <w:rPr>
                <w:sz w:val="18"/>
              </w:rPr>
              <w:t>Commodity textile export to global market</w:t>
            </w:r>
          </w:p>
        </w:tc>
      </w:tr>
      <w:tr>
        <w:tc>
          <w:tcPr>
            <w:tcW w:type="dxa" w:w="3135"/>
            <w:shd w:val="clear" w:color="auto" w:fill="FFFFFF"/>
          </w:tcPr>
          <w:p>
            <w:r>
              <w:rPr>
                <w:b/>
                <w:sz w:val="18"/>
              </w:rPr>
              <w:t>Pharmaceuticals</w:t>
            </w:r>
          </w:p>
        </w:tc>
        <w:tc>
          <w:tcPr>
            <w:tcW w:type="dxa" w:w="3135"/>
            <w:shd w:val="clear" w:color="auto" w:fill="FFFFFF"/>
          </w:tcPr>
          <w:p>
            <w:r>
              <w:rPr>
                <w:sz w:val="18"/>
              </w:rPr>
              <w:t>(1) Essential generics (ARVs, antimalarials, anti-TB, NCD); (2) Medical consumables; (3) Selective API</w:t>
            </w:r>
          </w:p>
        </w:tc>
        <w:tc>
          <w:tcPr>
            <w:tcW w:type="dxa" w:w="3135"/>
            <w:shd w:val="clear" w:color="auto" w:fill="FFFFFF"/>
          </w:tcPr>
          <w:p>
            <w:r>
              <w:rPr>
                <w:sz w:val="18"/>
              </w:rPr>
              <w:t>Broad-spectrum API synthesis at scale</w:t>
            </w:r>
          </w:p>
        </w:tc>
      </w:tr>
      <w:tr>
        <w:tc>
          <w:tcPr>
            <w:tcW w:type="dxa" w:w="3135"/>
            <w:shd w:val="clear" w:color="auto" w:fill="EEF3F9"/>
          </w:tcPr>
          <w:p>
            <w:r>
              <w:rPr>
                <w:b/>
                <w:sz w:val="18"/>
              </w:rPr>
              <w:t>Petrochemicals &amp; Fertilizers</w:t>
            </w:r>
          </w:p>
        </w:tc>
        <w:tc>
          <w:tcPr>
            <w:tcW w:type="dxa" w:w="3135"/>
            <w:shd w:val="clear" w:color="auto" w:fill="EEF3F9"/>
          </w:tcPr>
          <w:p>
            <w:r>
              <w:rPr>
                <w:sz w:val="18"/>
              </w:rPr>
              <w:t>(1) Fertilizer (blending + phosphate revival); (2) Sulphuric acid/chemicals; (3) Petrochemicals (sequenced to refinery)</w:t>
            </w:r>
          </w:p>
        </w:tc>
        <w:tc>
          <w:tcPr>
            <w:tcW w:type="dxa" w:w="3135"/>
            <w:shd w:val="clear" w:color="auto" w:fill="EEF3F9"/>
          </w:tcPr>
          <w:p>
            <w:r>
              <w:rPr>
                <w:sz w:val="18"/>
              </w:rPr>
              <w:t>Greenfield specialty chemicals; premature refined-product export</w:t>
            </w:r>
          </w:p>
        </w:tc>
      </w:tr>
      <w:tr>
        <w:tc>
          <w:tcPr>
            <w:tcW w:type="dxa" w:w="3135"/>
            <w:shd w:val="clear" w:color="auto" w:fill="FFFFFF"/>
          </w:tcPr>
          <w:p>
            <w:r>
              <w:rPr>
                <w:b/>
                <w:sz w:val="18"/>
              </w:rPr>
              <w:t>Sugar &amp; Confectionery</w:t>
            </w:r>
          </w:p>
        </w:tc>
        <w:tc>
          <w:tcPr>
            <w:tcW w:type="dxa" w:w="3135"/>
            <w:shd w:val="clear" w:color="auto" w:fill="FFFFFF"/>
          </w:tcPr>
          <w:p>
            <w:r>
              <w:rPr>
                <w:sz w:val="18"/>
              </w:rPr>
              <w:t>(1) Industrial/refined sugar; (2) Ethanol; (3) Co-generation</w:t>
            </w:r>
          </w:p>
        </w:tc>
        <w:tc>
          <w:tcPr>
            <w:tcW w:type="dxa" w:w="3135"/>
            <w:shd w:val="clear" w:color="auto" w:fill="FFFFFF"/>
          </w:tcPr>
          <w:p>
            <w:r>
              <w:rPr>
                <w:sz w:val="18"/>
              </w:rPr>
              <w:t>More raw brown-sugar capacity (already in surplus)</w:t>
            </w:r>
          </w:p>
        </w:tc>
      </w:tr>
      <w:tr>
        <w:tc>
          <w:tcPr>
            <w:tcW w:type="dxa" w:w="3135"/>
            <w:shd w:val="clear" w:color="auto" w:fill="EEF3F9"/>
          </w:tcPr>
          <w:p>
            <w:r>
              <w:rPr>
                <w:b/>
                <w:sz w:val="18"/>
              </w:rPr>
              <w:t>Plastics &amp; Packaging</w:t>
            </w:r>
          </w:p>
        </w:tc>
        <w:tc>
          <w:tcPr>
            <w:tcW w:type="dxa" w:w="3135"/>
            <w:shd w:val="clear" w:color="auto" w:fill="EEF3F9"/>
          </w:tcPr>
          <w:p>
            <w:r>
              <w:rPr>
                <w:sz w:val="18"/>
              </w:rPr>
              <w:t>(1) Industrial/food packaging; (2) Recycling; (3) Agri/cement packaging</w:t>
            </w:r>
          </w:p>
        </w:tc>
        <w:tc>
          <w:tcPr>
            <w:tcW w:type="dxa" w:w="3135"/>
            <w:shd w:val="clear" w:color="auto" w:fill="EEF3F9"/>
          </w:tcPr>
          <w:p>
            <w:r>
              <w:rPr>
                <w:sz w:val="18"/>
              </w:rPr>
              <w:t>Single-use carrier bags (2025 ban)</w:t>
            </w:r>
          </w:p>
        </w:tc>
      </w:tr>
      <w:tr>
        <w:tc>
          <w:tcPr>
            <w:tcW w:type="dxa" w:w="3135"/>
            <w:shd w:val="clear" w:color="auto" w:fill="FFFFFF"/>
          </w:tcPr>
          <w:p>
            <w:r>
              <w:rPr>
                <w:b/>
                <w:sz w:val="18"/>
              </w:rPr>
              <w:t>Cement &amp; Building Materials</w:t>
            </w:r>
          </w:p>
        </w:tc>
        <w:tc>
          <w:tcPr>
            <w:tcW w:type="dxa" w:w="3135"/>
            <w:shd w:val="clear" w:color="auto" w:fill="FFFFFF"/>
          </w:tcPr>
          <w:p>
            <w:r>
              <w:rPr>
                <w:sz w:val="18"/>
              </w:rPr>
              <w:t>(1) Clinker production; (2) Finished cement (regional export); (3) Higher-value building materials</w:t>
            </w:r>
          </w:p>
        </w:tc>
        <w:tc>
          <w:tcPr>
            <w:tcW w:type="dxa" w:w="3135"/>
            <w:shd w:val="clear" w:color="auto" w:fill="FFFFFF"/>
          </w:tcPr>
          <w:p>
            <w:r>
              <w:rPr>
                <w:sz w:val="18"/>
              </w:rPr>
              <w:t>Specialty/white cement</w:t>
            </w:r>
          </w:p>
        </w:tc>
      </w:tr>
    </w:tbl>
    <w:p/>
    <w:p>
      <w:pPr>
        <w:pStyle w:val="Heading2"/>
      </w:pPr>
      <w:r>
        <w:t>The seven cross-cutting actions</w:t>
      </w:r>
    </w:p>
    <w:p>
      <w:pPr>
        <w:pStyle w:val="ListNumber"/>
      </w:pPr>
      <w:r>
        <w:rPr>
          <w:b/>
        </w:rPr>
        <w:t>Favour domestic value addition</w:t>
      </w:r>
      <w:r>
        <w:t xml:space="preserve"> over raw-commodity export / finished-goods import.</w:t>
      </w:r>
    </w:p>
    <w:p>
      <w:pPr>
        <w:pStyle w:val="ListNumber"/>
      </w:pPr>
      <w:r>
        <w:rPr>
          <w:b/>
        </w:rPr>
        <w:t>Enforce UNBS and NDA standards</w:t>
      </w:r>
      <w:r>
        <w:t xml:space="preserve"> — the highest-leverage quick win for Report 2.</w:t>
      </w:r>
    </w:p>
    <w:p>
      <w:pPr>
        <w:pStyle w:val="ListNumber"/>
      </w:pPr>
      <w:r>
        <w:rPr>
          <w:b/>
        </w:rPr>
        <w:t>Anchor demand through public procurement</w:t>
      </w:r>
      <w:r>
        <w:t xml:space="preserve"> (medicines, uniforms, cement, fertilizer).</w:t>
      </w:r>
    </w:p>
    <w:p>
      <w:pPr>
        <w:pStyle w:val="ListNumber"/>
      </w:pPr>
      <w:r>
        <w:rPr>
          <w:b/>
        </w:rPr>
        <w:t>Build parks, utilities, effluent, and circular-economy infrastructure.</w:t>
      </w:r>
    </w:p>
    <w:p>
      <w:pPr>
        <w:pStyle w:val="ListNumber"/>
      </w:pPr>
      <w:r>
        <w:rPr>
          <w:b/>
        </w:rPr>
        <w:t>Create a long-term industrial-finance facility</w:t>
      </w:r>
      <w:r>
        <w:t xml:space="preserve"> (2025 liquidity tightening has crowded out private credit).</w:t>
      </w:r>
    </w:p>
    <w:p>
      <w:pPr>
        <w:pStyle w:val="ListNumber"/>
      </w:pPr>
      <w:r>
        <w:rPr>
          <w:b/>
        </w:rPr>
        <w:t>Launch a cross-sector skills compact</w:t>
      </w:r>
      <w:r>
        <w:t xml:space="preserve"> (68% of manufacturers cannot find needed technical skills).</w:t>
      </w:r>
    </w:p>
    <w:p>
      <w:pPr>
        <w:pStyle w:val="ListNumber"/>
      </w:pPr>
      <w:r>
        <w:rPr>
          <w:b/>
        </w:rPr>
        <w:t>Sequence the petrochemical park</w:t>
      </w:r>
      <w:r>
        <w:t xml:space="preserve"> and prepare its downstream linkages (plastics, fertilizer) now.</w:t>
      </w:r>
    </w:p>
    <w:p>
      <w:pPr>
        <w:pStyle w:val="Heading2"/>
      </w:pPr>
      <w:r>
        <w:t>Investment portfolio</w:t>
      </w:r>
    </w:p>
    <w:p>
      <w:r>
        <w:t xml:space="preserve">Excluding the investor-financed refinery (~USD 4bn, separately anchored), the priority investments total an </w:t>
      </w:r>
      <w:r>
        <w:rPr>
          <w:b/>
        </w:rPr>
        <w:t>indicative USD 0.6–1.3 billion over five years</w:t>
      </w:r>
      <w:r>
        <w:t xml:space="preserve"> (figures indicative, pending feasibility), mostly private-led. The roadmap front-loads policy, standards, and procurement (Year 1), builds finance/skills/infrastructure (Years 2–3), and commissions major capital — including the refinery/petrochemical park — in Years 4–5. Full profiles are in Chapter 11.</w:t>
      </w:r>
    </w:p>
    <w:p>
      <w:pPr>
        <w:pStyle w:val="Heading2"/>
      </w:pPr>
      <w:r>
        <w:t>Bottom line for decision-makers</w:t>
      </w:r>
    </w:p>
    <w:p>
      <w:r>
        <w:t>Report 2's chains divide into three groups, each with a clear move:</w:t>
      </w:r>
    </w:p>
    <w:p>
      <w:pPr>
        <w:pStyle w:val="ListBullet"/>
      </w:pPr>
      <w:r>
        <w:rPr>
          <w:b/>
        </w:rPr>
        <w:t>Build on proven strength</w:t>
      </w:r>
      <w:r>
        <w:t xml:space="preserve"> — sugar (go downstream), cement (close the clinker gap), pharmaceuticals (scale GMP generics).</w:t>
      </w:r>
    </w:p>
    <w:p>
      <w:pPr>
        <w:pStyle w:val="ListBullet"/>
      </w:pPr>
      <w:r>
        <w:rPr>
          <w:b/>
        </w:rPr>
        <w:t>Capture the value being exported raw</w:t>
      </w:r>
      <w:r>
        <w:t xml:space="preserve"> — textiles (process the lint), fertilizer (supply the farms).</w:t>
      </w:r>
    </w:p>
    <w:p>
      <w:pPr>
        <w:pStyle w:val="ListBullet"/>
      </w:pPr>
      <w:r>
        <w:rPr>
          <w:b/>
        </w:rPr>
        <w:t>Sequence the transformational bet</w:t>
      </w:r>
      <w:r>
        <w:t xml:space="preserve"> — the petrochemical park, with plastics recycling and packaging prepared to use its output.</w:t>
      </w:r>
    </w:p>
    <w:p>
      <w:r>
        <w:t xml:space="preserve">The decision this report supports is to </w:t>
      </w:r>
      <w:r>
        <w:rPr>
          <w:b/>
        </w:rPr>
        <w:t>concentrate scarce resources on the prioritized products and the seven cross-cutting actions</w:t>
      </w:r>
      <w:r>
        <w:t xml:space="preserve"> — turning Uganda's agricultural base, established sugar and cement industries, proven pharmaceutical capability, and emerging oil sector into a value-adding, import-substituting industrial system, rather than spreading effort across everything.</w:t>
      </w:r>
    </w:p>
    <w:p>
      <w:r>
        <w:rPr>
          <w:i/>
        </w:rPr>
        <w:t>This summary reflects desk-based findings to be confirmed through the validation step in Chapter 3.</w:t>
      </w:r>
    </w:p>
    <w:p>
      <w:r>
        <w:br w:type="page"/>
      </w:r>
    </w:p>
    <w:p>
      <w:pPr>
        <w:pStyle w:val="Heading1"/>
      </w:pPr>
      <w:r>
        <w:t>Chapter 2: Background and Policy Context</w:t>
      </w:r>
    </w:p>
    <w:p>
      <w:r>
        <w:rPr>
          <w:b/>
        </w:rPr>
        <w:t>Report:</w:t>
      </w:r>
      <w:r>
        <w:t xml:space="preserve"> Report 2 — Textiles &amp; Garments, Pharmaceuticals, Petrochemicals &amp; Fertilizers, Sugar &amp; Confectionery, Plastics &amp; Packaging, and Cement &amp; Building Materials Value Chains</w:t>
      </w:r>
    </w:p>
    <w:p>
      <w:r>
        <w:rPr>
          <w:b/>
        </w:rPr>
        <w:t>Status:</w:t>
      </w:r>
      <w:r>
        <w:t xml:space="preserve"> Draft for validation</w:t>
      </w:r>
    </w:p>
    <w:p>
      <w:r>
        <w:rPr>
          <w:b/>
        </w:rPr>
        <w:t>ToR Reference:</w:t>
      </w:r>
      <w:r>
        <w:t xml:space="preserve"> MTIC-Diagnostic Study on Textiles, Garments.docx</w:t>
      </w:r>
    </w:p>
    <w:p>
      <w:pPr>
        <w:pStyle w:val="Heading2"/>
      </w:pPr>
      <w:r>
        <w:t>2.1 Uganda's Industrialization Ambition</w:t>
      </w:r>
    </w:p>
    <w:p>
      <w:r>
        <w:t>Uganda's long-term industrialization trajectory is anchored in a hierarchy of national planning instruments that define the targets, sectoral priorities, and institutional responsibilities framing this diagnostic.</w:t>
      </w:r>
    </w:p>
    <w:p>
      <w:r>
        <w:rPr>
          <w:b/>
        </w:rPr>
        <w:t>Uganda Vision 2040</w:t>
      </w:r>
      <w:r>
        <w:t xml:space="preserve"> sets the overarching direction: transformation to a competitive upper-middle-income country, targeting a GDP of approximately USD 581 billion and per-capita income of USD 9,500 by 2040, with industrialization — particularly agro-processing and resource-based manufacturing — as a central engine (National Planning Authority, </w:t>
      </w:r>
      <w:r>
        <w:rPr>
          <w:i/>
        </w:rPr>
        <w:t>Uganda Vision 2040</w:t>
      </w:r>
      <w:r>
        <w:t>).</w:t>
      </w:r>
    </w:p>
    <w:p>
      <w:r>
        <w:rPr>
          <w:b/>
        </w:rPr>
        <w:t>The Fourth National Development Plan (NDP IV), FY2025/26–2029/30</w:t>
      </w:r>
      <w:r>
        <w:t xml:space="preserve">, approved by Parliament in January 2026 under the theme </w:t>
      </w:r>
      <w:r>
        <w:rPr>
          <w:i/>
        </w:rPr>
        <w:t>"Sustainable Industrialization for inclusive growth, employment, and wealth creation,"</w:t>
      </w:r>
      <w:r>
        <w:t xml:space="preserve"> targets GDP of USD 158 billion by FY2029/30 (from USD 53.2 billion in FY2023/24), per-capita income of USD 2,008, and 10.1% annual growth by FY2029/30 (Parliament of Uganda; Ministry of Finance, Planning and Economic Development). The six value chains in this report — Textiles &amp; Garments, Pharmaceuticals, Petrochemicals &amp; Fertilizers, Sugar &amp; Confectionery, Plastics &amp; Packaging, and Cement &amp; Building Materials — are among the priority manufacturing chains identified for industrial-policy support, anchored largely in Uganda's agricultural base and its import-substitution opportunities.</w:t>
      </w:r>
    </w:p>
    <w:p>
      <w:r>
        <w:rPr>
          <w:b/>
        </w:rPr>
        <w:t>The National Industrial Policy (NIP) 2020</w:t>
      </w:r>
      <w:r>
        <w:t xml:space="preserve"> provides the sector framework: raising manufacturing's contribution to GDP, deepening domestic value addition, and reducing dependence on imported intermediate and finished goods (MTIC, </w:t>
      </w:r>
      <w:r>
        <w:rPr>
          <w:i/>
        </w:rPr>
        <w:t>NIP 2020</w:t>
      </w:r>
      <w:r>
        <w:t>). It designates MTIC as lead coordinating ministry and calls for value-chain diagnostics — the mandate for this study.</w:t>
      </w:r>
    </w:p>
    <w:p>
      <w:r>
        <w:rPr>
          <w:b/>
        </w:rPr>
        <w:t>The MTIC Strategic Plan</w:t>
      </w:r>
      <w:r>
        <w:t xml:space="preserve"> translates these objectives into ministerial priorities: facilitating private investment, leading value-chain technical working groups, and coordinating UIA, UEPB, UNBS, NDA, NEMA, and other agencies.</w:t>
      </w:r>
    </w:p>
    <w:p>
      <w:r>
        <w:rPr>
          <w:b/>
        </w:rPr>
        <w:t>The Tenfold Growth Strategy</w:t>
      </w:r>
      <w:r>
        <w:t xml:space="preserve"> targets growing the economy roughly tenfold (≈USD 50bn → USD 500bn), organized around </w:t>
      </w:r>
      <w:r>
        <w:rPr>
          <w:b/>
        </w:rPr>
        <w:t>ATMs — Agro-industrialization, Tourism, Minerals, and Science, Technology &amp; Innovation (STI)</w:t>
      </w:r>
      <w:r>
        <w:t xml:space="preserve">. For Report 2, </w:t>
      </w:r>
      <w:r>
        <w:rPr>
          <w:b/>
        </w:rPr>
        <w:t>agro-industrialization</w:t>
      </w:r>
      <w:r>
        <w:t xml:space="preserve"> is the dominant driver: textiles (cotton), sugar, and pharmaceuticals all build on Uganda's agricultural and resource base, while cement, plastics, and fertilizers are core import-substitution and input industries.</w:t>
      </w:r>
    </w:p>
    <w:p>
      <w:pPr>
        <w:pStyle w:val="Heading2"/>
      </w:pPr>
      <w:r>
        <w:t>2.2 The Uganda–UNIDO Programme for Country Partnership</w:t>
      </w:r>
    </w:p>
    <w:p>
      <w:r>
        <w:t xml:space="preserve">The Uganda–UNIDO Programme for Country Partnership (PCP) for Inclusive and Sustainable Industrial Development (ISID) is the framework within which this study is produced — a government-led model to mobilize coordinated technical assistance and investment around Uganda's industrial priorities (UNIDO, </w:t>
      </w:r>
      <w:r>
        <w:rPr>
          <w:i/>
        </w:rPr>
        <w:t>Programme for Country Partnership</w:t>
      </w:r>
      <w:r>
        <w:t>).</w:t>
      </w:r>
    </w:p>
    <w:p>
      <w:r>
        <w:t>The Uganda PCP operates across six priority areas:</w:t>
      </w:r>
    </w:p>
    <w:p>
      <w:pPr>
        <w:pStyle w:val="ListNumber"/>
      </w:pPr>
      <w:r>
        <w:rPr>
          <w:b/>
        </w:rPr>
        <w:t>Strengthening industrial policy implementation and institutional coordination.</w:t>
      </w:r>
    </w:p>
    <w:p>
      <w:pPr>
        <w:pStyle w:val="ListNumber"/>
      </w:pPr>
      <w:r>
        <w:rPr>
          <w:b/>
        </w:rPr>
        <w:t>Mobilizing large-scale public and private investment for agro- and mineral-based industrialization.</w:t>
      </w:r>
    </w:p>
    <w:p>
      <w:pPr>
        <w:pStyle w:val="ListNumber"/>
      </w:pPr>
      <w:r>
        <w:rPr>
          <w:b/>
        </w:rPr>
        <w:t>Supporting sustainable industrial parks and free zones.</w:t>
      </w:r>
    </w:p>
    <w:p>
      <w:pPr>
        <w:pStyle w:val="ListNumber"/>
      </w:pPr>
      <w:r>
        <w:rPr>
          <w:b/>
        </w:rPr>
        <w:t>Strengthening national standards, quality infrastructure, and accreditation systems</w:t>
      </w:r>
      <w:r>
        <w:t xml:space="preserve"> — especially important for pharmaceuticals (NDA/WHO-GMP) and food/cement standards.</w:t>
      </w:r>
    </w:p>
    <w:p>
      <w:pPr>
        <w:pStyle w:val="ListNumber"/>
      </w:pPr>
      <w:r>
        <w:rPr>
          <w:b/>
        </w:rPr>
        <w:t>Advancing green industry, circular economy, and Industry 4.0 solutions</w:t>
      </w:r>
      <w:r>
        <w:t xml:space="preserve"> — directly relevant to plastics circularity.</w:t>
      </w:r>
    </w:p>
    <w:p>
      <w:pPr>
        <w:pStyle w:val="ListNumber"/>
      </w:pPr>
      <w:r>
        <w:rPr>
          <w:b/>
        </w:rPr>
        <w:t>Supporting productive use of renewable energy and energy efficiency</w:t>
      </w:r>
      <w:r>
        <w:t xml:space="preserve"> — relevant to energy-intensive cement.</w:t>
      </w:r>
    </w:p>
    <w:p>
      <w:r>
        <w:t>This study supports PCP Priority Areas 1 and 2, providing technical inputs for the six Report 2 value chains.</w:t>
      </w:r>
    </w:p>
    <w:p>
      <w:pPr>
        <w:pStyle w:val="Heading2"/>
      </w:pPr>
      <w:r>
        <w:t>2.3 Current State of Uganda's Manufacturing Sector</w:t>
      </w:r>
    </w:p>
    <w:p>
      <w:r>
        <w:t xml:space="preserve">Manufacturing value added was about </w:t>
      </w:r>
      <w:r>
        <w:rPr>
          <w:b/>
        </w:rPr>
        <w:t>15.2% of GDP in 2024</w:t>
      </w:r>
      <w:r>
        <w:t xml:space="preserve"> (World Bank, WDI), below the NIP 2020 target of ~16% by FY2029/30, at roughly 30% capacity utilization (indicative; to be confirmed from latest UBOS data).</w:t>
      </w:r>
    </w:p>
    <w:p>
      <w:pPr>
        <w:pStyle w:val="IntenseQuote"/>
      </w:pPr>
      <w:r>
        <w:rPr>
          <w:b/>
        </w:rPr>
        <w:t>DATA NOTE:</w:t>
      </w:r>
      <w:r>
        <w:t xml:space="preserve"> The "~30% capacity utilization" figure should be confirmed against the latest UBOS data before finalization; it is used here as indicative and attributed accordingly.</w:t>
      </w:r>
    </w:p>
    <w:p>
      <w:r>
        <w:t>Structural characteristics relevant to Report 2:</w:t>
      </w:r>
    </w:p>
    <w:p>
      <w:pPr>
        <w:pStyle w:val="ListBullet"/>
      </w:pPr>
      <w:r>
        <w:rPr>
          <w:b/>
        </w:rPr>
        <w:t>Agro-processing under-capture</w:t>
      </w:r>
      <w:r>
        <w:t xml:space="preserve"> — Uganda exports raw agricultural commodities (notably cotton lint) and imports the processed product (textiles, garments), forgoing value addition (ITC TradeMap, 2024).</w:t>
      </w:r>
    </w:p>
    <w:p>
      <w:pPr>
        <w:pStyle w:val="ListBullet"/>
      </w:pPr>
      <w:r>
        <w:rPr>
          <w:b/>
        </w:rPr>
        <w:t>High import dependence in manufactured essentials</w:t>
      </w:r>
      <w:r>
        <w:t xml:space="preserve"> — pharmaceuticals, fertilizers, plastics, and cement clinker are substantially imported, creating both current-account pressure and import-substitution opportunity.</w:t>
      </w:r>
    </w:p>
    <w:p>
      <w:pPr>
        <w:pStyle w:val="ListBullet"/>
      </w:pPr>
      <w:r>
        <w:rPr>
          <w:b/>
        </w:rPr>
        <w:t>Established processing in sugar and cement</w:t>
      </w:r>
      <w:r>
        <w:t xml:space="preserve"> — unlike Report 1's metals, sugar and cement are areas where Uganda already has competitive domestic production and, in sugar, structural surplus.</w:t>
      </w:r>
    </w:p>
    <w:p>
      <w:pPr>
        <w:pStyle w:val="ListBullet"/>
      </w:pPr>
      <w:r>
        <w:rPr>
          <w:b/>
        </w:rPr>
        <w:t>Strong regional export orientation</w:t>
      </w:r>
      <w:r>
        <w:t xml:space="preserve"> — over 70% of Uganda's manufactured exports go to regional markets (Uganda Investment Authority, 2025).</w:t>
      </w:r>
    </w:p>
    <w:p>
      <w:pPr>
        <w:pStyle w:val="Heading2"/>
      </w:pPr>
      <w:r>
        <w:t>2.4 Rationale for the Six Priority Value Chains in This Report</w:t>
      </w:r>
    </w:p>
    <w:p>
      <w:r>
        <w:t>The six chains were selected through MTIC's prioritization process drawing on NDP IV, NIP priorities, Uganda's agricultural and resource base, and import-substitution potential.</w:t>
      </w:r>
    </w:p>
    <w:p>
      <w:r>
        <w:rPr>
          <w:b/>
        </w:rPr>
        <w:t>Textiles &amp; Garments</w:t>
      </w:r>
      <w:r>
        <w:t xml:space="preserve"> — Uganda grows cotton but exports ~90% of its lint raw at under USD 1/kg, with only two vertically integrated mills consuming the rest (Cotton Development Organisation; EPRC). The value-addition gap from lint to fabric to garment is among the largest in the economy.</w:t>
      </w:r>
    </w:p>
    <w:p>
      <w:r>
        <w:rPr>
          <w:b/>
        </w:rPr>
        <w:t>Pharmaceuticals</w:t>
      </w:r>
      <w:r>
        <w:t xml:space="preserve"> — Uganda imports ~90% of its medicines (down from 96% in 2016); the medical and pharmaceutical import bill reached </w:t>
      </w:r>
      <w:r>
        <w:rPr>
          <w:b/>
        </w:rPr>
        <w:t>USD 534 million in 2023</w:t>
      </w:r>
      <w:r>
        <w:t>, with a domestic market around USD 221 million and a small but growing WHO-GMP manufacturing base led by Cipla QCIL (Statista; UNIDO Pharmaceutical Sector Profile; NDA).</w:t>
      </w:r>
    </w:p>
    <w:p>
      <w:r>
        <w:rPr>
          <w:b/>
        </w:rPr>
        <w:t>Petrochemicals &amp; Fertilizers</w:t>
      </w:r>
      <w:r>
        <w:t xml:space="preserve"> — Uganda's emerging oil sector (the Kabaale refinery and Kabalega Petrochemical Industrial Park) creates a future petrochemical feedstock base, while fertilizer demand vastly exceeds the stalled domestic supply at Sukulu — a critical agricultural-input gap (UNOC; PAU; Osukuru complex records).</w:t>
      </w:r>
    </w:p>
    <w:p>
      <w:r>
        <w:rPr>
          <w:b/>
        </w:rPr>
        <w:t>Sugar &amp; Confectionery</w:t>
      </w:r>
      <w:r>
        <w:t xml:space="preserve"> — Uganda is in structural sugar surplus (~822,000 t output vs ~370,000 t consumption), making downstream diversification (industrial sugar, confectionery, ethanol, co-generation) the priority rather than more raw sugar (Uganda Sugar Manufacturers' Association; sector data).</w:t>
      </w:r>
    </w:p>
    <w:p>
      <w:r>
        <w:rPr>
          <w:b/>
        </w:rPr>
        <w:t>Plastics &amp; Packaging</w:t>
      </w:r>
      <w:r>
        <w:t xml:space="preserve"> — Uganda imports ~150,000 t of plastics a year and is a net importer of packaging, while facing a 2025 policy shift toward a single-use-plastic ban and circularity (NEMA).</w:t>
      </w:r>
    </w:p>
    <w:p>
      <w:r>
        <w:rPr>
          <w:b/>
        </w:rPr>
        <w:t>Cement &amp; Building Materials</w:t>
      </w:r>
      <w:r>
        <w:t xml:space="preserve"> — a domestic-production success with a market of </w:t>
      </w:r>
      <w:r>
        <w:rPr>
          <w:b/>
        </w:rPr>
        <w:t>USD 707 million (2024)</w:t>
      </w:r>
      <w:r>
        <w:t>, but dependent on imported clinker (&gt;50%) — the clear value-addition and import-substitution target (IndexBox; CemNet).</w:t>
      </w:r>
    </w:p>
    <w:p>
      <w:r>
        <w:t xml:space="preserve">The analytical question is identical across all six: </w:t>
      </w:r>
      <w:r>
        <w:rPr>
          <w:b/>
        </w:rPr>
        <w:t>which 3–4 products or sub-sectors offer the most credible path to competitive manufacturing at scale?</w:t>
      </w:r>
    </w:p>
    <w:p>
      <w:pPr>
        <w:pStyle w:val="Heading2"/>
      </w:pPr>
      <w:r>
        <w:t>2.5 NDP IV and Tenfold Targets Relevant to This Report</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Indicator</w:t>
            </w:r>
          </w:p>
        </w:tc>
        <w:tc>
          <w:tcPr>
            <w:tcW w:type="dxa" w:w="2351"/>
            <w:shd w:val="clear" w:color="auto" w:fill="002B5B"/>
          </w:tcPr>
          <w:p>
            <w:r>
              <w:rPr>
                <w:b/>
                <w:color w:val="FFFFFF"/>
                <w:sz w:val="18"/>
              </w:rPr>
              <w:t>Current Baseline</w:t>
            </w:r>
          </w:p>
        </w:tc>
        <w:tc>
          <w:tcPr>
            <w:tcW w:type="dxa" w:w="2351"/>
            <w:shd w:val="clear" w:color="auto" w:fill="002B5B"/>
          </w:tcPr>
          <w:p>
            <w:r>
              <w:rPr>
                <w:b/>
                <w:color w:val="FFFFFF"/>
                <w:sz w:val="18"/>
              </w:rPr>
              <w:t>NDP IV / NIP direction</w:t>
            </w:r>
          </w:p>
        </w:tc>
        <w:tc>
          <w:tcPr>
            <w:tcW w:type="dxa" w:w="2351"/>
            <w:shd w:val="clear" w:color="auto" w:fill="002B5B"/>
          </w:tcPr>
          <w:p>
            <w:r>
              <w:rPr>
                <w:b/>
                <w:color w:val="FFFFFF"/>
                <w:sz w:val="18"/>
              </w:rPr>
              <w:t>Tenfold horizon (2040)</w:t>
            </w:r>
          </w:p>
        </w:tc>
      </w:tr>
      <w:tr>
        <w:tc>
          <w:tcPr>
            <w:tcW w:type="dxa" w:w="2351"/>
            <w:shd w:val="clear" w:color="auto" w:fill="EEF3F9"/>
          </w:tcPr>
          <w:p>
            <w:r>
              <w:rPr>
                <w:sz w:val="18"/>
              </w:rPr>
              <w:t>Manufacturing share of GDP</w:t>
            </w:r>
          </w:p>
        </w:tc>
        <w:tc>
          <w:tcPr>
            <w:tcW w:type="dxa" w:w="2351"/>
            <w:shd w:val="clear" w:color="auto" w:fill="EEF3F9"/>
          </w:tcPr>
          <w:p>
            <w:r>
              <w:rPr>
                <w:sz w:val="18"/>
              </w:rPr>
              <w:t>15.2% (2024, World Bank)</w:t>
            </w:r>
          </w:p>
        </w:tc>
        <w:tc>
          <w:tcPr>
            <w:tcW w:type="dxa" w:w="2351"/>
            <w:shd w:val="clear" w:color="auto" w:fill="EEF3F9"/>
          </w:tcPr>
          <w:p>
            <w:r>
              <w:rPr>
                <w:sz w:val="18"/>
              </w:rPr>
              <w:t>toward 16%+ by FY29/30 (NIP)</w:t>
            </w:r>
          </w:p>
        </w:tc>
        <w:tc>
          <w:tcPr>
            <w:tcW w:type="dxa" w:w="2351"/>
            <w:shd w:val="clear" w:color="auto" w:fill="EEF3F9"/>
          </w:tcPr>
          <w:p>
            <w:r>
              <w:rPr>
                <w:sz w:val="18"/>
              </w:rPr>
              <w:t>20%+ (Vision 2040)</w:t>
            </w:r>
          </w:p>
        </w:tc>
      </w:tr>
      <w:tr>
        <w:tc>
          <w:tcPr>
            <w:tcW w:type="dxa" w:w="2351"/>
            <w:shd w:val="clear" w:color="auto" w:fill="FFFFFF"/>
          </w:tcPr>
          <w:p>
            <w:r>
              <w:rPr>
                <w:sz w:val="18"/>
              </w:rPr>
              <w:t>GDP</w:t>
            </w:r>
          </w:p>
        </w:tc>
        <w:tc>
          <w:tcPr>
            <w:tcW w:type="dxa" w:w="2351"/>
            <w:shd w:val="clear" w:color="auto" w:fill="FFFFFF"/>
          </w:tcPr>
          <w:p>
            <w:r>
              <w:rPr>
                <w:sz w:val="18"/>
              </w:rPr>
              <w:t>USD 53.2bn (FY23/24)</w:t>
            </w:r>
          </w:p>
        </w:tc>
        <w:tc>
          <w:tcPr>
            <w:tcW w:type="dxa" w:w="2351"/>
            <w:shd w:val="clear" w:color="auto" w:fill="FFFFFF"/>
          </w:tcPr>
          <w:p>
            <w:r>
              <w:rPr>
                <w:sz w:val="18"/>
              </w:rPr>
              <w:t>USD 158bn by FY29/30 (NDP IV)</w:t>
            </w:r>
          </w:p>
        </w:tc>
        <w:tc>
          <w:tcPr>
            <w:tcW w:type="dxa" w:w="2351"/>
            <w:shd w:val="clear" w:color="auto" w:fill="FFFFFF"/>
          </w:tcPr>
          <w:p>
            <w:r>
              <w:rPr>
                <w:sz w:val="18"/>
              </w:rPr>
              <w:t>~USD 500bn (Tenfold)</w:t>
            </w:r>
          </w:p>
        </w:tc>
      </w:tr>
      <w:tr>
        <w:tc>
          <w:tcPr>
            <w:tcW w:type="dxa" w:w="2351"/>
            <w:shd w:val="clear" w:color="auto" w:fill="EEF3F9"/>
          </w:tcPr>
          <w:p>
            <w:r>
              <w:rPr>
                <w:sz w:val="18"/>
              </w:rPr>
              <w:t>Per capita income</w:t>
            </w:r>
          </w:p>
        </w:tc>
        <w:tc>
          <w:tcPr>
            <w:tcW w:type="dxa" w:w="2351"/>
            <w:shd w:val="clear" w:color="auto" w:fill="EEF3F9"/>
          </w:tcPr>
          <w:p>
            <w:r>
              <w:rPr>
                <w:sz w:val="18"/>
              </w:rPr>
              <w:t>USD 1,146 (FY23/24)</w:t>
            </w:r>
          </w:p>
        </w:tc>
        <w:tc>
          <w:tcPr>
            <w:tcW w:type="dxa" w:w="2351"/>
            <w:shd w:val="clear" w:color="auto" w:fill="EEF3F9"/>
          </w:tcPr>
          <w:p>
            <w:r>
              <w:rPr>
                <w:sz w:val="18"/>
              </w:rPr>
              <w:t>USD 2,008 by FY29/30 (NDP IV)</w:t>
            </w:r>
          </w:p>
        </w:tc>
        <w:tc>
          <w:tcPr>
            <w:tcW w:type="dxa" w:w="2351"/>
            <w:shd w:val="clear" w:color="auto" w:fill="EEF3F9"/>
          </w:tcPr>
          <w:p>
            <w:r>
              <w:rPr>
                <w:sz w:val="18"/>
              </w:rPr>
              <w:t>USD 9,500 (Vision 2040)</w:t>
            </w:r>
          </w:p>
        </w:tc>
      </w:tr>
      <w:tr>
        <w:tc>
          <w:tcPr>
            <w:tcW w:type="dxa" w:w="2351"/>
            <w:shd w:val="clear" w:color="auto" w:fill="FFFFFF"/>
          </w:tcPr>
          <w:p>
            <w:r>
              <w:rPr>
                <w:sz w:val="18"/>
              </w:rPr>
              <w:t>Manufactured exports to region</w:t>
            </w:r>
          </w:p>
        </w:tc>
        <w:tc>
          <w:tcPr>
            <w:tcW w:type="dxa" w:w="2351"/>
            <w:shd w:val="clear" w:color="auto" w:fill="FFFFFF"/>
          </w:tcPr>
          <w:p>
            <w:r>
              <w:rPr>
                <w:sz w:val="18"/>
              </w:rPr>
              <w:t>&gt;70% regional (UIA 2025)</w:t>
            </w:r>
          </w:p>
        </w:tc>
        <w:tc>
          <w:tcPr>
            <w:tcW w:type="dxa" w:w="2351"/>
            <w:shd w:val="clear" w:color="auto" w:fill="FFFFFF"/>
          </w:tcPr>
          <w:p>
            <w:r>
              <w:rPr>
                <w:sz w:val="18"/>
              </w:rPr>
              <w:t>rising</w:t>
            </w:r>
          </w:p>
        </w:tc>
        <w:tc>
          <w:tcPr>
            <w:tcW w:type="dxa" w:w="2351"/>
            <w:shd w:val="clear" w:color="auto" w:fill="FFFFFF"/>
          </w:tcPr>
          <w:p>
            <w:r>
              <w:rPr>
                <w:sz w:val="18"/>
              </w:rPr>
              <w:t>dominant</w:t>
            </w:r>
          </w:p>
        </w:tc>
      </w:tr>
      <w:tr>
        <w:tc>
          <w:tcPr>
            <w:tcW w:type="dxa" w:w="2351"/>
            <w:shd w:val="clear" w:color="auto" w:fill="EEF3F9"/>
          </w:tcPr>
          <w:p>
            <w:r>
              <w:rPr>
                <w:sz w:val="18"/>
              </w:rPr>
              <w:t>Cotton lint value addition</w:t>
            </w:r>
          </w:p>
        </w:tc>
        <w:tc>
          <w:tcPr>
            <w:tcW w:type="dxa" w:w="2351"/>
            <w:shd w:val="clear" w:color="auto" w:fill="EEF3F9"/>
          </w:tcPr>
          <w:p>
            <w:r>
              <w:rPr>
                <w:sz w:val="18"/>
              </w:rPr>
              <w:t>~10% processed domestically</w:t>
            </w:r>
          </w:p>
        </w:tc>
        <w:tc>
          <w:tcPr>
            <w:tcW w:type="dxa" w:w="2351"/>
            <w:shd w:val="clear" w:color="auto" w:fill="EEF3F9"/>
          </w:tcPr>
          <w:p>
            <w:r>
              <w:rPr>
                <w:sz w:val="18"/>
              </w:rPr>
              <w:t>rising</w:t>
            </w:r>
          </w:p>
        </w:tc>
        <w:tc>
          <w:tcPr>
            <w:tcW w:type="dxa" w:w="2351"/>
            <w:shd w:val="clear" w:color="auto" w:fill="EEF3F9"/>
          </w:tcPr>
          <w:p>
            <w:r>
              <w:rPr>
                <w:sz w:val="18"/>
              </w:rPr>
              <w:t>majority processed</w:t>
            </w:r>
          </w:p>
        </w:tc>
      </w:tr>
      <w:tr>
        <w:tc>
          <w:tcPr>
            <w:tcW w:type="dxa" w:w="2351"/>
            <w:shd w:val="clear" w:color="auto" w:fill="FFFFFF"/>
          </w:tcPr>
          <w:p>
            <w:r>
              <w:rPr>
                <w:sz w:val="18"/>
              </w:rPr>
              <w:t>Pharmaceutical local production</w:t>
            </w:r>
          </w:p>
        </w:tc>
        <w:tc>
          <w:tcPr>
            <w:tcW w:type="dxa" w:w="2351"/>
            <w:shd w:val="clear" w:color="auto" w:fill="FFFFFF"/>
          </w:tcPr>
          <w:p>
            <w:r>
              <w:rPr>
                <w:sz w:val="18"/>
              </w:rPr>
              <w:t>~10% of market</w:t>
            </w:r>
          </w:p>
        </w:tc>
        <w:tc>
          <w:tcPr>
            <w:tcW w:type="dxa" w:w="2351"/>
            <w:shd w:val="clear" w:color="auto" w:fill="FFFFFF"/>
          </w:tcPr>
          <w:p>
            <w:r>
              <w:rPr>
                <w:sz w:val="18"/>
              </w:rPr>
              <w:t>rising</w:t>
            </w:r>
          </w:p>
        </w:tc>
        <w:tc>
          <w:tcPr>
            <w:tcW w:type="dxa" w:w="2351"/>
            <w:shd w:val="clear" w:color="auto" w:fill="FFFFFF"/>
          </w:tcPr>
          <w:p>
            <w:r>
              <w:rPr>
                <w:sz w:val="18"/>
              </w:rPr>
              <w:t>substantial</w:t>
            </w:r>
          </w:p>
        </w:tc>
      </w:tr>
    </w:tbl>
    <w:p/>
    <w:p>
      <w:r>
        <w:t>Achieving these targets requires moving from raw-commodity export and finished-goods import toward domestic value addition. Chapters 4–9 provide the chain-by-chain prioritization.</w:t>
      </w:r>
    </w:p>
    <w:p>
      <w:pPr>
        <w:pStyle w:val="Heading2"/>
      </w:pPr>
      <w:r>
        <w:t>References</w:t>
      </w:r>
    </w:p>
    <w:p>
      <w:pPr>
        <w:pStyle w:val="ListBullet"/>
      </w:pPr>
      <w:r>
        <w:t xml:space="preserve">National Planning Authority, </w:t>
      </w:r>
      <w:r>
        <w:rPr>
          <w:i/>
        </w:rPr>
        <w:t>Uganda Vision 2040</w:t>
      </w:r>
      <w:r>
        <w:t xml:space="preserve">; </w:t>
      </w:r>
      <w:r>
        <w:rPr>
          <w:i/>
        </w:rPr>
        <w:t>NDP IV (FY2025/26–2029/30)</w:t>
      </w:r>
      <w:r>
        <w:t>. https://npa.go.ug/national-development-plan/</w:t>
      </w:r>
    </w:p>
    <w:p>
      <w:pPr>
        <w:pStyle w:val="ListBullet"/>
      </w:pPr>
      <w:r>
        <w:t>Parliament of Uganda, NDP IV launch. https://www.parliament.go.ug/news/3724/president-launches-ndp-iv-drive-ugandas-economic-transformation</w:t>
      </w:r>
    </w:p>
    <w:p>
      <w:pPr>
        <w:pStyle w:val="ListBullet"/>
      </w:pPr>
      <w:r>
        <w:t xml:space="preserve">MTIC, </w:t>
      </w:r>
      <w:r>
        <w:rPr>
          <w:i/>
        </w:rPr>
        <w:t>National Industrial Policy 2020</w:t>
      </w:r>
      <w:r>
        <w:t>. https://www.mtic.go.ug/</w:t>
      </w:r>
    </w:p>
    <w:p>
      <w:pPr>
        <w:pStyle w:val="ListBullet"/>
      </w:pPr>
      <w:r>
        <w:t xml:space="preserve">UNIDO, </w:t>
      </w:r>
      <w:r>
        <w:rPr>
          <w:i/>
        </w:rPr>
        <w:t>Programme for Country Partnership</w:t>
      </w:r>
      <w:r>
        <w:t>. https://www.unido.org/programme-country-partnership</w:t>
      </w:r>
    </w:p>
    <w:p>
      <w:pPr>
        <w:pStyle w:val="ListBullet"/>
      </w:pPr>
      <w:r>
        <w:t xml:space="preserve">World Bank, </w:t>
      </w:r>
      <w:r>
        <w:rPr>
          <w:i/>
        </w:rPr>
        <w:t>World Development Indicators</w:t>
      </w:r>
      <w:r>
        <w:t>. https://data.worldbank.org/indicator/NV.IND.MANF.ZS?locations=UG</w:t>
      </w:r>
    </w:p>
    <w:p>
      <w:pPr>
        <w:pStyle w:val="ListBullet"/>
      </w:pPr>
      <w:r>
        <w:t>Cotton Development Organisation. https://www.cdouga.org/</w:t>
      </w:r>
    </w:p>
    <w:p>
      <w:pPr>
        <w:pStyle w:val="ListBullet"/>
      </w:pPr>
      <w:r>
        <w:t xml:space="preserve">UNIDO, </w:t>
      </w:r>
      <w:r>
        <w:rPr>
          <w:i/>
        </w:rPr>
        <w:t>Pharmaceutical Sector Profile — Uganda</w:t>
      </w:r>
      <w:r>
        <w:t>. https://open.unido.org/</w:t>
      </w:r>
    </w:p>
    <w:p>
      <w:pPr>
        <w:pStyle w:val="ListBullet"/>
      </w:pPr>
      <w:r>
        <w:t>Uganda Investment Authority (2025). https://ugandainvest.go.ug/</w:t>
      </w:r>
    </w:p>
    <w:p>
      <w:pPr>
        <w:pStyle w:val="ListBullet"/>
      </w:pPr>
      <w:r>
        <w:t>ITC TradeMap. https://www.trademap.org</w:t>
      </w:r>
    </w:p>
    <w:p>
      <w:r>
        <w:br w:type="page"/>
      </w:r>
    </w:p>
    <w:p>
      <w:pPr>
        <w:pStyle w:val="Heading1"/>
      </w:pPr>
      <w:r>
        <w:t>Chapter 3: Methodology and Analytical Framework</w:t>
      </w:r>
    </w:p>
    <w:p>
      <w:r>
        <w:rPr>
          <w:b/>
        </w:rPr>
        <w:t>Report:</w:t>
      </w:r>
      <w:r>
        <w:t xml:space="preserve"> Report 2 — Textiles &amp; Garments, Pharmaceuticals, Petrochemicals &amp; Fertilizers, Sugar &amp; Confectionery, Plastics &amp; Packaging, and Cement &amp; Building Materials Value Chains</w:t>
      </w:r>
    </w:p>
    <w:p>
      <w:r>
        <w:rPr>
          <w:b/>
        </w:rPr>
        <w:t>Status:</w:t>
      </w:r>
      <w:r>
        <w:t xml:space="preserve"> Draft for validation</w:t>
      </w:r>
    </w:p>
    <w:p>
      <w:r>
        <w:rPr>
          <w:b/>
        </w:rPr>
        <w:t>ToR Reference:</w:t>
      </w:r>
      <w:r>
        <w:t xml:space="preserve"> MTIC-Diagnostic Study on Textiles, Garments.docx</w:t>
      </w:r>
    </w:p>
    <w:p>
      <w:pPr>
        <w:pStyle w:val="Heading2"/>
      </w:pPr>
      <w:r>
        <w:t>3.1 Overview of the Research Approach</w:t>
      </w:r>
    </w:p>
    <w:p>
      <w:r>
        <w:t xml:space="preserve">This is a </w:t>
      </w:r>
      <w:r>
        <w:rPr>
          <w:b/>
        </w:rPr>
        <w:t>desk-based diagnostic</w:t>
      </w:r>
      <w:r>
        <w:t>. Its findings are built from a structured review of government and sector documents provided by MTIC, official Ugandan data sources, live international trade data, and current published evidence — not from primary fieldwork. This is stated plainly because the credibility of a diagnostic that will inform national investment decisions depends on an honest account of how it was produced.</w:t>
      </w:r>
    </w:p>
    <w:p>
      <w:r>
        <w:t>The study was preceded by an Inception Report documenting the study design, diagnostic framework, data plan, and stakeholder-consultation plan, submitted to the Technical Working Group (TWG) prior to the diagnostic phase. The work proceeded in three phases: (1) evidence assembly; (2) value-chain analysis and prioritization scoring; and (3) validation (planned, post-submission).</w:t>
      </w:r>
    </w:p>
    <w:p>
      <w:r>
        <w:rPr>
          <w:b/>
        </w:rPr>
        <w:t>The findings in this report are presented for validation.</w:t>
      </w:r>
      <w:r>
        <w:t xml:space="preserve"> Where the report states a finding, it reflects the best available desk evidence at the time of writing and is subject to the validation step in Section 3.7.</w:t>
      </w:r>
    </w:p>
    <w:p>
      <w:pPr>
        <w:pStyle w:val="Heading2"/>
      </w:pPr>
      <w:r>
        <w:t>3.2 Evidence Base and Data Sources</w:t>
      </w:r>
    </w:p>
    <w:p>
      <w:r>
        <w:rPr>
          <w:b/>
        </w:rPr>
        <w:t>Government policy and planning</w:t>
      </w:r>
      <w:r>
        <w:t xml:space="preserve"> — Vision 2040; NDP IV (FY2025/26–2029/30); NIP 2020; MTIC Strategic Plan; Tenfold Growth Strategy.</w:t>
      </w:r>
    </w:p>
    <w:p>
      <w:r>
        <w:rPr>
          <w:b/>
        </w:rPr>
        <w:t>Sector studies and regulator data provided by or sourced for MTIC</w:t>
      </w:r>
      <w:r>
        <w:t xml:space="preserve"> — Cotton Development Organisation (CDO) data; National Drug Authority (NDA) National Drug Register (June 2024) and reports; Uganda Sugar Manufacturers' Association (USMA) data; NEMA plastics strategy; cement and fertilizer sector records.</w:t>
      </w:r>
    </w:p>
    <w:p>
      <w:r>
        <w:rPr>
          <w:b/>
        </w:rPr>
        <w:t>Official Ugandan data sources</w:t>
      </w:r>
      <w:r>
        <w:t xml:space="preserve"> — UBOS (production, employment, national accounts); UNBS (standards and certified-manufacturer registers); NEMA (environmental standards and plastics circularity); ERA (energy tariffs); UIA (investment pipeline); UNOC and the Petroleum Authority of Uganda (PAU) for the refinery/petrochemical programme.</w:t>
      </w:r>
    </w:p>
    <w:p>
      <w:r>
        <w:rPr>
          <w:b/>
        </w:rPr>
        <w:t>Trade data</w:t>
      </w:r>
      <w:r>
        <w:t xml:space="preserve"> — </w:t>
      </w:r>
      <w:r>
        <w:rPr>
          <w:b/>
        </w:rPr>
        <w:t>ITC TradeMap</w:t>
      </w:r>
      <w:r>
        <w:t xml:space="preserve"> is the source for all import/export values, partner breakdowns, and time series, drawing on the same underlying data as UN Comtrade. TradeMap figures are pulled directly and cited inline with HS code and year.</w:t>
      </w:r>
    </w:p>
    <w:p>
      <w:r>
        <w:rPr>
          <w:b/>
        </w:rPr>
        <w:t>Global benchmarks</w:t>
      </w:r>
      <w:r>
        <w:t xml:space="preserve"> — UNIDO and WHO (pharmaceuticals); World Cement Association / CemNet (cement); IFA and AfricaFertilizer (fertilizer); and reputable market-intelligence sources, cited where used.</w:t>
      </w:r>
    </w:p>
    <w:p>
      <w:r>
        <w:t xml:space="preserve">Estimates, proxies, and currency caveats are flagged in each chapter; material gaps are marked </w:t>
      </w:r>
      <w:r>
        <w:rPr>
          <w:rFonts w:ascii="Consolas" w:hAnsi="Consolas"/>
          <w:sz w:val="19"/>
        </w:rPr>
        <w:t>DATA NEEDED</w:t>
      </w:r>
      <w:r>
        <w:t xml:space="preserve"> for the validation step to target.</w:t>
      </w:r>
    </w:p>
    <w:p>
      <w:pPr>
        <w:pStyle w:val="Heading2"/>
      </w:pPr>
      <w:r>
        <w:t>3.3 Analytical Framework</w:t>
      </w:r>
    </w:p>
    <w:p>
      <w:r>
        <w:t>Each of the six value chains was analysed using a consistent six-part framework:</w:t>
      </w:r>
    </w:p>
    <w:p>
      <w:r>
        <w:rPr>
          <w:b/>
        </w:rPr>
        <w:t>a. Value Chain Mapping</w:t>
      </w:r>
      <w:r>
        <w:t xml:space="preserve"> — from primary inputs through processing to final products, identifying where Uganda participates, where value leaks (raw-commodity export / finished-goods import), and where opportunities lie. Each chain is also rendered in the accompanying interactive Value Chains application.</w:t>
      </w:r>
    </w:p>
    <w:p>
      <w:r>
        <w:rPr>
          <w:b/>
        </w:rPr>
        <w:t>b. Current State Assessment</w:t>
      </w:r>
      <w:r>
        <w:t xml:space="preserve"> — production, firms, employment, capacity utilization, and import/export values, with key players identified.</w:t>
      </w:r>
    </w:p>
    <w:p>
      <w:r>
        <w:rPr>
          <w:b/>
        </w:rPr>
        <w:t>c. Binding Constraints Analysis</w:t>
      </w:r>
      <w:r>
        <w:t xml:space="preserve"> — ten dimensions (Section 3.4).</w:t>
      </w:r>
    </w:p>
    <w:p>
      <w:r>
        <w:rPr>
          <w:b/>
        </w:rPr>
        <w:t>d. Market Assessment</w:t>
      </w:r>
      <w:r>
        <w:t xml:space="preserve"> — domestic, regional (EAC/COMESA), and global levels.</w:t>
      </w:r>
    </w:p>
    <w:p>
      <w:r>
        <w:rPr>
          <w:b/>
        </w:rPr>
        <w:t>e. Prioritization Scoring</w:t>
      </w:r>
      <w:r>
        <w:t xml:space="preserve"> — five weighted criteria (Section 3.5) → 3–4 priorities per chain.</w:t>
      </w:r>
    </w:p>
    <w:p>
      <w:r>
        <w:rPr>
          <w:b/>
        </w:rPr>
        <w:t>f. Priority Action Matrix</w:t>
      </w:r>
      <w:r>
        <w:t xml:space="preserve"> — quick wins (0–12m), reforms (1–3y), investments (3–5y).</w:t>
      </w:r>
    </w:p>
    <w:p>
      <w:pPr>
        <w:pStyle w:val="Heading2"/>
      </w:pPr>
      <w:r>
        <w:t>3.4 Binding-Constraints Dimensions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Dimension</w:t>
            </w:r>
          </w:p>
        </w:tc>
        <w:tc>
          <w:tcPr>
            <w:tcW w:type="dxa" w:w="4703"/>
            <w:shd w:val="clear" w:color="auto" w:fill="002B5B"/>
          </w:tcPr>
          <w:p>
            <w:r>
              <w:rPr>
                <w:b/>
                <w:color w:val="FFFFFF"/>
                <w:sz w:val="18"/>
              </w:rPr>
              <w:t>Primary evidence used</w:t>
            </w:r>
          </w:p>
        </w:tc>
      </w:tr>
      <w:tr>
        <w:tc>
          <w:tcPr>
            <w:tcW w:type="dxa" w:w="4703"/>
            <w:shd w:val="clear" w:color="auto" w:fill="EEF3F9"/>
          </w:tcPr>
          <w:p>
            <w:r>
              <w:rPr>
                <w:sz w:val="18"/>
              </w:rPr>
              <w:t>Inputs and raw materials</w:t>
            </w:r>
          </w:p>
        </w:tc>
        <w:tc>
          <w:tcPr>
            <w:tcW w:type="dxa" w:w="4703"/>
            <w:shd w:val="clear" w:color="auto" w:fill="EEF3F9"/>
          </w:tcPr>
          <w:p>
            <w:r>
              <w:rPr>
                <w:sz w:val="18"/>
              </w:rPr>
              <w:t>Sector studies; agricultural data (cotton, cane); TradeMap</w:t>
            </w:r>
          </w:p>
        </w:tc>
      </w:tr>
      <w:tr>
        <w:tc>
          <w:tcPr>
            <w:tcW w:type="dxa" w:w="4703"/>
            <w:shd w:val="clear" w:color="auto" w:fill="FFFFFF"/>
          </w:tcPr>
          <w:p>
            <w:r>
              <w:rPr>
                <w:sz w:val="18"/>
              </w:rPr>
              <w:t>Technology and productivity</w:t>
            </w:r>
          </w:p>
        </w:tc>
        <w:tc>
          <w:tcPr>
            <w:tcW w:type="dxa" w:w="4703"/>
            <w:shd w:val="clear" w:color="auto" w:fill="FFFFFF"/>
          </w:tcPr>
          <w:p>
            <w:r>
              <w:rPr>
                <w:sz w:val="18"/>
              </w:rPr>
              <w:t>Sector studies; global benchmarks</w:t>
            </w:r>
          </w:p>
        </w:tc>
      </w:tr>
      <w:tr>
        <w:tc>
          <w:tcPr>
            <w:tcW w:type="dxa" w:w="4703"/>
            <w:shd w:val="clear" w:color="auto" w:fill="EEF3F9"/>
          </w:tcPr>
          <w:p>
            <w:r>
              <w:rPr>
                <w:sz w:val="18"/>
              </w:rPr>
              <w:t>Energy</w:t>
            </w:r>
          </w:p>
        </w:tc>
        <w:tc>
          <w:tcPr>
            <w:tcW w:type="dxa" w:w="4703"/>
            <w:shd w:val="clear" w:color="auto" w:fill="EEF3F9"/>
          </w:tcPr>
          <w:p>
            <w:r>
              <w:rPr>
                <w:sz w:val="18"/>
              </w:rPr>
              <w:t>ERA tariffs 2025 (cement especially energy-intensive)</w:t>
            </w:r>
          </w:p>
        </w:tc>
      </w:tr>
      <w:tr>
        <w:tc>
          <w:tcPr>
            <w:tcW w:type="dxa" w:w="4703"/>
            <w:shd w:val="clear" w:color="auto" w:fill="FFFFFF"/>
          </w:tcPr>
          <w:p>
            <w:r>
              <w:rPr>
                <w:sz w:val="18"/>
              </w:rPr>
              <w:t>Water</w:t>
            </w:r>
          </w:p>
        </w:tc>
        <w:tc>
          <w:tcPr>
            <w:tcW w:type="dxa" w:w="4703"/>
            <w:shd w:val="clear" w:color="auto" w:fill="FFFFFF"/>
          </w:tcPr>
          <w:p>
            <w:r>
              <w:rPr>
                <w:sz w:val="18"/>
              </w:rPr>
              <w:t>NWSC; NEMA (textiles wet-processing, sugar)</w:t>
            </w:r>
          </w:p>
        </w:tc>
      </w:tr>
      <w:tr>
        <w:tc>
          <w:tcPr>
            <w:tcW w:type="dxa" w:w="4703"/>
            <w:shd w:val="clear" w:color="auto" w:fill="EEF3F9"/>
          </w:tcPr>
          <w:p>
            <w:r>
              <w:rPr>
                <w:sz w:val="18"/>
              </w:rPr>
              <w:t>Logistics and transport</w:t>
            </w:r>
          </w:p>
        </w:tc>
        <w:tc>
          <w:tcPr>
            <w:tcW w:type="dxa" w:w="4703"/>
            <w:shd w:val="clear" w:color="auto" w:fill="EEF3F9"/>
          </w:tcPr>
          <w:p>
            <w:r>
              <w:rPr>
                <w:sz w:val="18"/>
              </w:rPr>
              <w:t>Sector analyses (logistics ≈18–20% of sale price)</w:t>
            </w:r>
          </w:p>
        </w:tc>
      </w:tr>
      <w:tr>
        <w:tc>
          <w:tcPr>
            <w:tcW w:type="dxa" w:w="4703"/>
            <w:shd w:val="clear" w:color="auto" w:fill="FFFFFF"/>
          </w:tcPr>
          <w:p>
            <w:r>
              <w:rPr>
                <w:sz w:val="18"/>
              </w:rPr>
              <w:t>Waste and effluent management</w:t>
            </w:r>
          </w:p>
        </w:tc>
        <w:tc>
          <w:tcPr>
            <w:tcW w:type="dxa" w:w="4703"/>
            <w:shd w:val="clear" w:color="auto" w:fill="FFFFFF"/>
          </w:tcPr>
          <w:p>
            <w:r>
              <w:rPr>
                <w:sz w:val="18"/>
              </w:rPr>
              <w:t>NEMA Effluent Regulations 2020; Plastics Circularity Strategy 2023–2028</w:t>
            </w:r>
          </w:p>
        </w:tc>
      </w:tr>
      <w:tr>
        <w:tc>
          <w:tcPr>
            <w:tcW w:type="dxa" w:w="4703"/>
            <w:shd w:val="clear" w:color="auto" w:fill="EEF3F9"/>
          </w:tcPr>
          <w:p>
            <w:r>
              <w:rPr>
                <w:sz w:val="18"/>
              </w:rPr>
              <w:t>Finance and investment</w:t>
            </w:r>
          </w:p>
        </w:tc>
        <w:tc>
          <w:tcPr>
            <w:tcW w:type="dxa" w:w="4703"/>
            <w:shd w:val="clear" w:color="auto" w:fill="EEF3F9"/>
          </w:tcPr>
          <w:p>
            <w:r>
              <w:rPr>
                <w:sz w:val="18"/>
              </w:rPr>
              <w:t>KPMG Budget Brief 2025/26; UDB</w:t>
            </w:r>
          </w:p>
        </w:tc>
      </w:tr>
      <w:tr>
        <w:tc>
          <w:tcPr>
            <w:tcW w:type="dxa" w:w="4703"/>
            <w:shd w:val="clear" w:color="auto" w:fill="FFFFFF"/>
          </w:tcPr>
          <w:p>
            <w:r>
              <w:rPr>
                <w:sz w:val="18"/>
              </w:rPr>
              <w:t>Skills and workforce</w:t>
            </w:r>
          </w:p>
        </w:tc>
        <w:tc>
          <w:tcPr>
            <w:tcW w:type="dxa" w:w="4703"/>
            <w:shd w:val="clear" w:color="auto" w:fill="FFFFFF"/>
          </w:tcPr>
          <w:p>
            <w:r>
              <w:rPr>
                <w:sz w:val="18"/>
              </w:rPr>
              <w:t>UMA/UNIDO skills evidence</w:t>
            </w:r>
          </w:p>
        </w:tc>
      </w:tr>
      <w:tr>
        <w:tc>
          <w:tcPr>
            <w:tcW w:type="dxa" w:w="4703"/>
            <w:shd w:val="clear" w:color="auto" w:fill="EEF3F9"/>
          </w:tcPr>
          <w:p>
            <w:r>
              <w:rPr>
                <w:sz w:val="18"/>
              </w:rPr>
              <w:t>Standards and quality</w:t>
            </w:r>
          </w:p>
        </w:tc>
        <w:tc>
          <w:tcPr>
            <w:tcW w:type="dxa" w:w="4703"/>
            <w:shd w:val="clear" w:color="auto" w:fill="EEF3F9"/>
          </w:tcPr>
          <w:p>
            <w:r>
              <w:rPr>
                <w:sz w:val="18"/>
              </w:rPr>
              <w:t>UNBS; NDA/WHO-GMP for pharmaceuticals</w:t>
            </w:r>
          </w:p>
        </w:tc>
      </w:tr>
      <w:tr>
        <w:tc>
          <w:tcPr>
            <w:tcW w:type="dxa" w:w="4703"/>
            <w:shd w:val="clear" w:color="auto" w:fill="FFFFFF"/>
          </w:tcPr>
          <w:p>
            <w:r>
              <w:rPr>
                <w:sz w:val="18"/>
              </w:rPr>
              <w:t>Policy and regulatory</w:t>
            </w:r>
          </w:p>
        </w:tc>
        <w:tc>
          <w:tcPr>
            <w:tcW w:type="dxa" w:w="4703"/>
            <w:shd w:val="clear" w:color="auto" w:fill="FFFFFF"/>
          </w:tcPr>
          <w:p>
            <w:r>
              <w:rPr>
                <w:sz w:val="18"/>
              </w:rPr>
              <w:t>NIP 2020; sector Acts; EAC CET; NEMA plastics policy 2025</w:t>
            </w:r>
          </w:p>
        </w:tc>
      </w:tr>
    </w:tbl>
    <w:p/>
    <w:p>
      <w:pPr>
        <w:pStyle w:val="Heading2"/>
      </w:pPr>
      <w:r>
        <w:t>3.5 Prioritization Framework</w:t>
      </w:r>
    </w:p>
    <w:p>
      <w:r>
        <w:t xml:space="preserve">A transparent, criteria-based scoring framework was applied consistently across all six chains, reflecting the study's core principle: </w:t>
      </w:r>
      <w:r>
        <w:rPr>
          <w:b/>
        </w:rPr>
        <w:t>successful industrial economies are built around a small number of products done exceptionally well.</w:t>
      </w:r>
      <w:r>
        <w:t xml:space="preserve"> With six chains in scope, this discipline is especially important — the risk of recommending too many products across too many chains is high.</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Criterion</w:t>
            </w:r>
          </w:p>
        </w:tc>
        <w:tc>
          <w:tcPr>
            <w:tcW w:type="dxa" w:w="3135"/>
            <w:shd w:val="clear" w:color="auto" w:fill="002B5B"/>
          </w:tcPr>
          <w:p>
            <w:r>
              <w:rPr>
                <w:b/>
                <w:color w:val="FFFFFF"/>
                <w:sz w:val="18"/>
              </w:rPr>
              <w:t>Description</w:t>
            </w:r>
          </w:p>
        </w:tc>
        <w:tc>
          <w:tcPr>
            <w:tcW w:type="dxa" w:w="3135"/>
            <w:shd w:val="clear" w:color="auto" w:fill="002B5B"/>
          </w:tcPr>
          <w:p>
            <w:r>
              <w:rPr>
                <w:b/>
                <w:color w:val="FFFFFF"/>
                <w:sz w:val="18"/>
              </w:rPr>
              <w:t>Weight</w:t>
            </w:r>
          </w:p>
        </w:tc>
      </w:tr>
      <w:tr>
        <w:tc>
          <w:tcPr>
            <w:tcW w:type="dxa" w:w="3135"/>
            <w:shd w:val="clear" w:color="auto" w:fill="EEF3F9"/>
          </w:tcPr>
          <w:p>
            <w:r>
              <w:rPr>
                <w:sz w:val="18"/>
              </w:rPr>
              <w:t>1. Accessible market size</w:t>
            </w:r>
          </w:p>
        </w:tc>
        <w:tc>
          <w:tcPr>
            <w:tcW w:type="dxa" w:w="3135"/>
            <w:shd w:val="clear" w:color="auto" w:fill="EEF3F9"/>
          </w:tcPr>
          <w:p>
            <w:r>
              <w:rPr>
                <w:sz w:val="18"/>
              </w:rPr>
              <w:t>Domestic, regional, export market realistically accessible</w:t>
            </w:r>
          </w:p>
        </w:tc>
        <w:tc>
          <w:tcPr>
            <w:tcW w:type="dxa" w:w="3135"/>
            <w:shd w:val="clear" w:color="auto" w:fill="EEF3F9"/>
          </w:tcPr>
          <w:p>
            <w:r>
              <w:rPr>
                <w:sz w:val="18"/>
              </w:rPr>
              <w:t>25%</w:t>
            </w:r>
          </w:p>
        </w:tc>
      </w:tr>
      <w:tr>
        <w:tc>
          <w:tcPr>
            <w:tcW w:type="dxa" w:w="3135"/>
            <w:shd w:val="clear" w:color="auto" w:fill="FFFFFF"/>
          </w:tcPr>
          <w:p>
            <w:r>
              <w:rPr>
                <w:sz w:val="18"/>
              </w:rPr>
              <w:t>2. Uganda's comparative advantage</w:t>
            </w:r>
          </w:p>
        </w:tc>
        <w:tc>
          <w:tcPr>
            <w:tcW w:type="dxa" w:w="3135"/>
            <w:shd w:val="clear" w:color="auto" w:fill="FFFFFF"/>
          </w:tcPr>
          <w:p>
            <w:r>
              <w:rPr>
                <w:sz w:val="18"/>
              </w:rPr>
              <w:t>Inputs, existing base, proximity</w:t>
            </w:r>
          </w:p>
        </w:tc>
        <w:tc>
          <w:tcPr>
            <w:tcW w:type="dxa" w:w="3135"/>
            <w:shd w:val="clear" w:color="auto" w:fill="FFFFFF"/>
          </w:tcPr>
          <w:p>
            <w:r>
              <w:rPr>
                <w:sz w:val="18"/>
              </w:rPr>
              <w:t>25%</w:t>
            </w:r>
          </w:p>
        </w:tc>
      </w:tr>
      <w:tr>
        <w:tc>
          <w:tcPr>
            <w:tcW w:type="dxa" w:w="3135"/>
            <w:shd w:val="clear" w:color="auto" w:fill="EEF3F9"/>
          </w:tcPr>
          <w:p>
            <w:r>
              <w:rPr>
                <w:sz w:val="18"/>
              </w:rPr>
              <w:t>3. Feasibility</w:t>
            </w:r>
          </w:p>
        </w:tc>
        <w:tc>
          <w:tcPr>
            <w:tcW w:type="dxa" w:w="3135"/>
            <w:shd w:val="clear" w:color="auto" w:fill="EEF3F9"/>
          </w:tcPr>
          <w:p>
            <w:r>
              <w:rPr>
                <w:sz w:val="18"/>
              </w:rPr>
              <w:t>Capital, technology readiness, lead time, management</w:t>
            </w:r>
          </w:p>
        </w:tc>
        <w:tc>
          <w:tcPr>
            <w:tcW w:type="dxa" w:w="3135"/>
            <w:shd w:val="clear" w:color="auto" w:fill="EEF3F9"/>
          </w:tcPr>
          <w:p>
            <w:r>
              <w:rPr>
                <w:sz w:val="18"/>
              </w:rPr>
              <w:t>20%</w:t>
            </w:r>
          </w:p>
        </w:tc>
      </w:tr>
      <w:tr>
        <w:tc>
          <w:tcPr>
            <w:tcW w:type="dxa" w:w="3135"/>
            <w:shd w:val="clear" w:color="auto" w:fill="FFFFFF"/>
          </w:tcPr>
          <w:p>
            <w:r>
              <w:rPr>
                <w:sz w:val="18"/>
              </w:rPr>
              <w:t>4. Job creation and income potential</w:t>
            </w:r>
          </w:p>
        </w:tc>
        <w:tc>
          <w:tcPr>
            <w:tcW w:type="dxa" w:w="3135"/>
            <w:shd w:val="clear" w:color="auto" w:fill="FFFFFF"/>
          </w:tcPr>
          <w:p>
            <w:r>
              <w:rPr>
                <w:sz w:val="18"/>
              </w:rPr>
              <w:t>Direct/indirect employment, wages, linkages</w:t>
            </w:r>
          </w:p>
        </w:tc>
        <w:tc>
          <w:tcPr>
            <w:tcW w:type="dxa" w:w="3135"/>
            <w:shd w:val="clear" w:color="auto" w:fill="FFFFFF"/>
          </w:tcPr>
          <w:p>
            <w:r>
              <w:rPr>
                <w:sz w:val="18"/>
              </w:rPr>
              <w:t>15%</w:t>
            </w:r>
          </w:p>
        </w:tc>
      </w:tr>
      <w:tr>
        <w:tc>
          <w:tcPr>
            <w:tcW w:type="dxa" w:w="3135"/>
            <w:shd w:val="clear" w:color="auto" w:fill="EEF3F9"/>
          </w:tcPr>
          <w:p>
            <w:r>
              <w:rPr>
                <w:sz w:val="18"/>
              </w:rPr>
              <w:t>5. Import substitution impact</w:t>
            </w:r>
          </w:p>
        </w:tc>
        <w:tc>
          <w:tcPr>
            <w:tcW w:type="dxa" w:w="3135"/>
            <w:shd w:val="clear" w:color="auto" w:fill="EEF3F9"/>
          </w:tcPr>
          <w:p>
            <w:r>
              <w:rPr>
                <w:sz w:val="18"/>
              </w:rPr>
              <w:t>Imports domestic production could displace</w:t>
            </w:r>
          </w:p>
        </w:tc>
        <w:tc>
          <w:tcPr>
            <w:tcW w:type="dxa" w:w="3135"/>
            <w:shd w:val="clear" w:color="auto" w:fill="EEF3F9"/>
          </w:tcPr>
          <w:p>
            <w:r>
              <w:rPr>
                <w:sz w:val="18"/>
              </w:rPr>
              <w:t>15%</w:t>
            </w:r>
          </w:p>
        </w:tc>
      </w:tr>
    </w:tbl>
    <w:p/>
    <w:p>
      <w:r>
        <w:t xml:space="preserve">Each product/sub-sector is scored 1–5 per criterion and weighted. Above 3.5 = priority; below 2.5 = explicitly deprioritized; in between = conditional. </w:t>
      </w:r>
      <w:r>
        <w:rPr>
          <w:b/>
        </w:rPr>
        <w:t>Explicit deprioritization is a required output</w:t>
      </w:r>
      <w:r>
        <w:t xml:space="preserve"> for each chain.</w:t>
      </w:r>
    </w:p>
    <w:p>
      <w:pPr>
        <w:pStyle w:val="Heading2"/>
      </w:pPr>
      <w:r>
        <w:t>3.6 The Value Chains Application</w:t>
      </w:r>
    </w:p>
    <w:p>
      <w:r>
        <w:t>Each chain is modelled as a single underlying data graph that drives both this report and an interactive Value Chains application, in which every node carries its function, HS codes, live ITC TradeMap trade data, and sources. The analysis is produced once and presented in both forms, keeping report and tool consistent.</w:t>
      </w:r>
    </w:p>
    <w:p>
      <w:pPr>
        <w:pStyle w:val="Heading2"/>
      </w:pPr>
      <w:r>
        <w:t>3.7 Validation (Planned)</w:t>
      </w:r>
    </w:p>
    <w:p>
      <w:r>
        <w:t xml:space="preserve">Validation follows submission. </w:t>
      </w:r>
      <w:r>
        <w:rPr>
          <w:b/>
        </w:rPr>
        <w:t>Key informant interviews</w:t>
      </w:r>
      <w:r>
        <w:t xml:space="preserve"> are planned with public-sector institutions (MTIC, UIA, URA, UBOS, UNBS, NDA, CDO, USMA/Uganda Sugar Board, NEMA, Ministry of Energy/PAU/UNOC), private-sector manufacturers across the six chains, industry associations (UMA, Uganda Pharmaceutical Manufacturers Association), financial institutions, and research institutions. A </w:t>
      </w:r>
      <w:r>
        <w:rPr>
          <w:b/>
        </w:rPr>
        <w:t>stakeholder validation workshop</w:t>
      </w:r>
      <w:r>
        <w:t xml:space="preserve"> (which may be held jointly with the Report 1 workshop) will test the prioritization findings and action matrices. Inputs will be incorporated into the final version.</w:t>
      </w:r>
    </w:p>
    <w:p>
      <w:pPr>
        <w:pStyle w:val="Heading2"/>
      </w:pPr>
      <w:r>
        <w:t>3.8 Limitations</w:t>
      </w:r>
    </w:p>
    <w:p>
      <w:pPr>
        <w:pStyle w:val="ListBullet"/>
      </w:pPr>
      <w:r>
        <w:rPr>
          <w:b/>
        </w:rPr>
        <w:t>Desk-based scope</w:t>
      </w:r>
      <w:r>
        <w:t xml:space="preserve"> — findings rest on documentary and statistical evidence; the planned KIIs and workshop are how firm-level realities will be tested.</w:t>
      </w:r>
    </w:p>
    <w:p>
      <w:pPr>
        <w:pStyle w:val="ListBullet"/>
      </w:pPr>
      <w:r>
        <w:rPr>
          <w:b/>
        </w:rPr>
        <w:t>Uneven data depth</w:t>
      </w:r>
      <w:r>
        <w:t xml:space="preserve"> — sugar, cement, and pharmaceuticals are relatively well-documented; petrochemicals (pre-production) and parts of plastics rely on programme documents and proxies.</w:t>
      </w:r>
    </w:p>
    <w:p>
      <w:pPr>
        <w:pStyle w:val="ListBullet"/>
      </w:pPr>
      <w:r>
        <w:rPr>
          <w:b/>
        </w:rPr>
        <w:t>Firm-level statistics</w:t>
      </w:r>
      <w:r>
        <w:t xml:space="preserve"> — comprehensive current firm-level production/employment data are not uniformly available; figures are triangulated and flagged.</w:t>
      </w:r>
    </w:p>
    <w:p>
      <w:pPr>
        <w:pStyle w:val="ListBullet"/>
      </w:pPr>
      <w:r>
        <w:rPr>
          <w:b/>
        </w:rPr>
        <w:t>Indicative investment figures</w:t>
      </w:r>
      <w:r>
        <w:t xml:space="preserve"> — CAPEX/OPEX in the investment chapter are indicative planning estimates, labelled as such.</w:t>
      </w:r>
    </w:p>
    <w:p>
      <w:pPr>
        <w:pStyle w:val="ListBullet"/>
      </w:pPr>
      <w:r>
        <w:rPr>
          <w:b/>
        </w:rPr>
        <w:t>Trade-data basis</w:t>
      </w:r>
      <w:r>
        <w:t xml:space="preserve"> — figures are ITC TradeMap, latest available year (generally 2024); some partner cells are suppressed or lag.</w:t>
      </w:r>
    </w:p>
    <w:p>
      <w:r>
        <w:t>These limitations define where validation and monitoring will most strengthen the evidence base; they do not alter the direction of the conclusions.</w:t>
      </w:r>
    </w:p>
    <w:p>
      <w:pPr>
        <w:pStyle w:val="Heading2"/>
      </w:pPr>
      <w:r>
        <w:t>References</w:t>
      </w:r>
    </w:p>
    <w:p>
      <w:pPr>
        <w:pStyle w:val="ListBullet"/>
      </w:pPr>
      <w:r>
        <w:t xml:space="preserve">National Planning Authority, </w:t>
      </w:r>
      <w:r>
        <w:rPr>
          <w:i/>
        </w:rPr>
        <w:t>Vision 2040</w:t>
      </w:r>
      <w:r>
        <w:t xml:space="preserve">; </w:t>
      </w:r>
      <w:r>
        <w:rPr>
          <w:i/>
        </w:rPr>
        <w:t>NDP IV</w:t>
      </w:r>
      <w:r>
        <w:t>. https://npa.go.ug/national-development-plan/</w:t>
      </w:r>
    </w:p>
    <w:p>
      <w:pPr>
        <w:pStyle w:val="ListBullet"/>
      </w:pPr>
      <w:r>
        <w:t xml:space="preserve">MTIC, </w:t>
      </w:r>
      <w:r>
        <w:rPr>
          <w:i/>
        </w:rPr>
        <w:t>National Industrial Policy 2020</w:t>
      </w:r>
      <w:r>
        <w:t>. https://www.mtic.go.ug/</w:t>
      </w:r>
    </w:p>
    <w:p>
      <w:pPr>
        <w:pStyle w:val="ListBullet"/>
      </w:pPr>
      <w:r>
        <w:t xml:space="preserve">National Drug Authority, </w:t>
      </w:r>
      <w:r>
        <w:rPr>
          <w:i/>
        </w:rPr>
        <w:t>National Drug Register</w:t>
      </w:r>
      <w:r>
        <w:t xml:space="preserve"> (June 2024). https://www.nda.or.ug/</w:t>
      </w:r>
    </w:p>
    <w:p>
      <w:pPr>
        <w:pStyle w:val="ListBullet"/>
      </w:pPr>
      <w:r>
        <w:t xml:space="preserve">NEMA, </w:t>
      </w:r>
      <w:r>
        <w:rPr>
          <w:i/>
        </w:rPr>
        <w:t>National Strategy for Plastics Circularity 2023–2028</w:t>
      </w:r>
      <w:r>
        <w:t xml:space="preserve">; </w:t>
      </w:r>
      <w:r>
        <w:rPr>
          <w:i/>
        </w:rPr>
        <w:t>Effluent Discharge Regulations 2020</w:t>
      </w:r>
      <w:r>
        <w:t>. https://www.nema.go.ug/</w:t>
      </w:r>
    </w:p>
    <w:p>
      <w:pPr>
        <w:pStyle w:val="ListBullet"/>
      </w:pPr>
      <w:r>
        <w:t>Electricity Regulatory Authority, tariffs 2025. https://www.era.go.ug/</w:t>
      </w:r>
    </w:p>
    <w:p>
      <w:pPr>
        <w:pStyle w:val="ListBullet"/>
      </w:pPr>
      <w:r>
        <w:t xml:space="preserve">World Bank, </w:t>
      </w:r>
      <w:r>
        <w:rPr>
          <w:i/>
        </w:rPr>
        <w:t>World Development Indicators</w:t>
      </w:r>
      <w:r>
        <w:t>. https://data.worldbank.org/country/UG</w:t>
      </w:r>
    </w:p>
    <w:p>
      <w:pPr>
        <w:pStyle w:val="ListBullet"/>
      </w:pPr>
      <w:r>
        <w:t>ITC TradeMap. https://www.trademap.org</w:t>
      </w:r>
    </w:p>
    <w:p>
      <w:r>
        <w:br w:type="page"/>
      </w:r>
    </w:p>
    <w:p>
      <w:pPr>
        <w:pStyle w:val="Heading1"/>
      </w:pPr>
      <w:r>
        <w:t>Chapter 4: Textiles &amp; Garments Value Chain</w:t>
      </w:r>
    </w:p>
    <w:p>
      <w:r>
        <w:rPr>
          <w:b/>
        </w:rPr>
        <w:t>Report:</w:t>
      </w:r>
      <w:r>
        <w:t xml:space="preserve"> Report 2</w:t>
      </w:r>
    </w:p>
    <w:p>
      <w:r>
        <w:rPr>
          <w:b/>
        </w:rPr>
        <w:t>Status:</w:t>
      </w:r>
      <w:r>
        <w:t xml:space="preserve"> Draft for validation</w:t>
      </w:r>
    </w:p>
    <w:p>
      <w:r>
        <w:rPr>
          <w:b/>
        </w:rPr>
        <w:t>Primary sources:</w:t>
      </w:r>
      <w:r>
        <w:t xml:space="preserve"> Cotton Development Organisation (CDO); EPRC cotton value-chain study; ITC TradeMap (2024).</w:t>
      </w:r>
    </w:p>
    <w:p>
      <w:pPr>
        <w:pStyle w:val="Heading2"/>
      </w:pPr>
      <w:r>
        <w:t>4.A Value Chain Map</w:t>
      </w:r>
    </w:p>
    <w:p>
      <w:r>
        <w:t xml:space="preserve">The textiles and garments chain runs from cotton cultivation through ginning, spinning, weaving/knitting, and finishing to garment manufacture. Uganda participates strongly at the </w:t>
      </w:r>
      <w:r>
        <w:rPr>
          <w:b/>
        </w:rPr>
        <w:t>raw end (cotton growing and ginning)</w:t>
      </w:r>
      <w:r>
        <w:t xml:space="preserve"> and the </w:t>
      </w:r>
      <w:r>
        <w:rPr>
          <w:b/>
        </w:rPr>
        <w:t>finished end (limited integrated mills)</w:t>
      </w:r>
      <w:r>
        <w:t>, but exports most of its lint raw — the defining value-leak of the chain.</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Phase</w:t>
            </w:r>
          </w:p>
        </w:tc>
        <w:tc>
          <w:tcPr>
            <w:tcW w:type="dxa" w:w="2351"/>
            <w:shd w:val="clear" w:color="auto" w:fill="002B5B"/>
          </w:tcPr>
          <w:p>
            <w:r>
              <w:rPr>
                <w:b/>
                <w:color w:val="FFFFFF"/>
                <w:sz w:val="18"/>
              </w:rPr>
              <w:t>Activity</w:t>
            </w:r>
          </w:p>
        </w:tc>
        <w:tc>
          <w:tcPr>
            <w:tcW w:type="dxa" w:w="2351"/>
            <w:shd w:val="clear" w:color="auto" w:fill="002B5B"/>
          </w:tcPr>
          <w:p>
            <w:r>
              <w:rPr>
                <w:b/>
                <w:color w:val="FFFFFF"/>
                <w:sz w:val="18"/>
              </w:rPr>
              <w:t>Main inputs</w:t>
            </w:r>
          </w:p>
        </w:tc>
        <w:tc>
          <w:tcPr>
            <w:tcW w:type="dxa" w:w="2351"/>
            <w:shd w:val="clear" w:color="auto" w:fill="002B5B"/>
          </w:tcPr>
          <w:p>
            <w:r>
              <w:rPr>
                <w:b/>
                <w:color w:val="FFFFFF"/>
                <w:sz w:val="18"/>
              </w:rPr>
              <w:t>Output</w:t>
            </w:r>
          </w:p>
        </w:tc>
      </w:tr>
      <w:tr>
        <w:tc>
          <w:tcPr>
            <w:tcW w:type="dxa" w:w="2351"/>
            <w:shd w:val="clear" w:color="auto" w:fill="EEF3F9"/>
          </w:tcPr>
          <w:p>
            <w:r>
              <w:rPr>
                <w:sz w:val="18"/>
              </w:rPr>
              <w:t>I</w:t>
            </w:r>
          </w:p>
        </w:tc>
        <w:tc>
          <w:tcPr>
            <w:tcW w:type="dxa" w:w="2351"/>
            <w:shd w:val="clear" w:color="auto" w:fill="EEF3F9"/>
          </w:tcPr>
          <w:p>
            <w:r>
              <w:rPr>
                <w:sz w:val="18"/>
              </w:rPr>
              <w:t>Cotton growing</w:t>
            </w:r>
          </w:p>
        </w:tc>
        <w:tc>
          <w:tcPr>
            <w:tcW w:type="dxa" w:w="2351"/>
            <w:shd w:val="clear" w:color="auto" w:fill="EEF3F9"/>
          </w:tcPr>
          <w:p>
            <w:r>
              <w:rPr>
                <w:sz w:val="18"/>
              </w:rPr>
              <w:t>Seed, inputs</w:t>
            </w:r>
          </w:p>
        </w:tc>
        <w:tc>
          <w:tcPr>
            <w:tcW w:type="dxa" w:w="2351"/>
            <w:shd w:val="clear" w:color="auto" w:fill="EEF3F9"/>
          </w:tcPr>
          <w:p>
            <w:r>
              <w:rPr>
                <w:sz w:val="18"/>
              </w:rPr>
              <w:t>Seed cotton</w:t>
            </w:r>
          </w:p>
        </w:tc>
      </w:tr>
      <w:tr>
        <w:tc>
          <w:tcPr>
            <w:tcW w:type="dxa" w:w="2351"/>
            <w:shd w:val="clear" w:color="auto" w:fill="FFFFFF"/>
          </w:tcPr>
          <w:p>
            <w:r>
              <w:rPr>
                <w:sz w:val="18"/>
              </w:rPr>
              <w:t>II</w:t>
            </w:r>
          </w:p>
        </w:tc>
        <w:tc>
          <w:tcPr>
            <w:tcW w:type="dxa" w:w="2351"/>
            <w:shd w:val="clear" w:color="auto" w:fill="FFFFFF"/>
          </w:tcPr>
          <w:p>
            <w:r>
              <w:rPr>
                <w:sz w:val="18"/>
              </w:rPr>
              <w:t>Ginning</w:t>
            </w:r>
          </w:p>
        </w:tc>
        <w:tc>
          <w:tcPr>
            <w:tcW w:type="dxa" w:w="2351"/>
            <w:shd w:val="clear" w:color="auto" w:fill="FFFFFF"/>
          </w:tcPr>
          <w:p>
            <w:r>
              <w:rPr>
                <w:sz w:val="18"/>
              </w:rPr>
              <w:t>Seed cotton</w:t>
            </w:r>
          </w:p>
        </w:tc>
        <w:tc>
          <w:tcPr>
            <w:tcW w:type="dxa" w:w="2351"/>
            <w:shd w:val="clear" w:color="auto" w:fill="FFFFFF"/>
          </w:tcPr>
          <w:p>
            <w:r>
              <w:rPr>
                <w:sz w:val="18"/>
              </w:rPr>
              <w:t>Lint + cottonseed</w:t>
            </w:r>
          </w:p>
        </w:tc>
      </w:tr>
      <w:tr>
        <w:tc>
          <w:tcPr>
            <w:tcW w:type="dxa" w:w="2351"/>
            <w:shd w:val="clear" w:color="auto" w:fill="EEF3F9"/>
          </w:tcPr>
          <w:p>
            <w:r>
              <w:rPr>
                <w:sz w:val="18"/>
              </w:rPr>
              <w:t>III</w:t>
            </w:r>
          </w:p>
        </w:tc>
        <w:tc>
          <w:tcPr>
            <w:tcW w:type="dxa" w:w="2351"/>
            <w:shd w:val="clear" w:color="auto" w:fill="EEF3F9"/>
          </w:tcPr>
          <w:p>
            <w:r>
              <w:rPr>
                <w:sz w:val="18"/>
              </w:rPr>
              <w:t>Spinning</w:t>
            </w:r>
          </w:p>
        </w:tc>
        <w:tc>
          <w:tcPr>
            <w:tcW w:type="dxa" w:w="2351"/>
            <w:shd w:val="clear" w:color="auto" w:fill="EEF3F9"/>
          </w:tcPr>
          <w:p>
            <w:r>
              <w:rPr>
                <w:sz w:val="18"/>
              </w:rPr>
              <w:t>Lint</w:t>
            </w:r>
          </w:p>
        </w:tc>
        <w:tc>
          <w:tcPr>
            <w:tcW w:type="dxa" w:w="2351"/>
            <w:shd w:val="clear" w:color="auto" w:fill="EEF3F9"/>
          </w:tcPr>
          <w:p>
            <w:r>
              <w:rPr>
                <w:sz w:val="18"/>
              </w:rPr>
              <w:t>Yarn</w:t>
            </w:r>
          </w:p>
        </w:tc>
      </w:tr>
      <w:tr>
        <w:tc>
          <w:tcPr>
            <w:tcW w:type="dxa" w:w="2351"/>
            <w:shd w:val="clear" w:color="auto" w:fill="FFFFFF"/>
          </w:tcPr>
          <w:p>
            <w:r>
              <w:rPr>
                <w:sz w:val="18"/>
              </w:rPr>
              <w:t>IV</w:t>
            </w:r>
          </w:p>
        </w:tc>
        <w:tc>
          <w:tcPr>
            <w:tcW w:type="dxa" w:w="2351"/>
            <w:shd w:val="clear" w:color="auto" w:fill="FFFFFF"/>
          </w:tcPr>
          <w:p>
            <w:r>
              <w:rPr>
                <w:sz w:val="18"/>
              </w:rPr>
              <w:t>Weaving / knitting</w:t>
            </w:r>
          </w:p>
        </w:tc>
        <w:tc>
          <w:tcPr>
            <w:tcW w:type="dxa" w:w="2351"/>
            <w:shd w:val="clear" w:color="auto" w:fill="FFFFFF"/>
          </w:tcPr>
          <w:p>
            <w:r>
              <w:rPr>
                <w:sz w:val="18"/>
              </w:rPr>
              <w:t>Yarn</w:t>
            </w:r>
          </w:p>
        </w:tc>
        <w:tc>
          <w:tcPr>
            <w:tcW w:type="dxa" w:w="2351"/>
            <w:shd w:val="clear" w:color="auto" w:fill="FFFFFF"/>
          </w:tcPr>
          <w:p>
            <w:r>
              <w:rPr>
                <w:sz w:val="18"/>
              </w:rPr>
              <w:t>Fabric</w:t>
            </w:r>
          </w:p>
        </w:tc>
      </w:tr>
      <w:tr>
        <w:tc>
          <w:tcPr>
            <w:tcW w:type="dxa" w:w="2351"/>
            <w:shd w:val="clear" w:color="auto" w:fill="EEF3F9"/>
          </w:tcPr>
          <w:p>
            <w:r>
              <w:rPr>
                <w:sz w:val="18"/>
              </w:rPr>
              <w:t>V</w:t>
            </w:r>
          </w:p>
        </w:tc>
        <w:tc>
          <w:tcPr>
            <w:tcW w:type="dxa" w:w="2351"/>
            <w:shd w:val="clear" w:color="auto" w:fill="EEF3F9"/>
          </w:tcPr>
          <w:p>
            <w:r>
              <w:rPr>
                <w:sz w:val="18"/>
              </w:rPr>
              <w:t>Wet processing &amp; finishing</w:t>
            </w:r>
          </w:p>
        </w:tc>
        <w:tc>
          <w:tcPr>
            <w:tcW w:type="dxa" w:w="2351"/>
            <w:shd w:val="clear" w:color="auto" w:fill="EEF3F9"/>
          </w:tcPr>
          <w:p>
            <w:r>
              <w:rPr>
                <w:sz w:val="18"/>
              </w:rPr>
              <w:t>Fabric</w:t>
            </w:r>
          </w:p>
        </w:tc>
        <w:tc>
          <w:tcPr>
            <w:tcW w:type="dxa" w:w="2351"/>
            <w:shd w:val="clear" w:color="auto" w:fill="EEF3F9"/>
          </w:tcPr>
          <w:p>
            <w:r>
              <w:rPr>
                <w:sz w:val="18"/>
              </w:rPr>
              <w:t>Dyed/finished fabric</w:t>
            </w:r>
          </w:p>
        </w:tc>
      </w:tr>
      <w:tr>
        <w:tc>
          <w:tcPr>
            <w:tcW w:type="dxa" w:w="2351"/>
            <w:shd w:val="clear" w:color="auto" w:fill="FFFFFF"/>
          </w:tcPr>
          <w:p>
            <w:r>
              <w:rPr>
                <w:sz w:val="18"/>
              </w:rPr>
              <w:t>VI</w:t>
            </w:r>
          </w:p>
        </w:tc>
        <w:tc>
          <w:tcPr>
            <w:tcW w:type="dxa" w:w="2351"/>
            <w:shd w:val="clear" w:color="auto" w:fill="FFFFFF"/>
          </w:tcPr>
          <w:p>
            <w:r>
              <w:rPr>
                <w:sz w:val="18"/>
              </w:rPr>
              <w:t>Garment manufacture</w:t>
            </w:r>
          </w:p>
        </w:tc>
        <w:tc>
          <w:tcPr>
            <w:tcW w:type="dxa" w:w="2351"/>
            <w:shd w:val="clear" w:color="auto" w:fill="FFFFFF"/>
          </w:tcPr>
          <w:p>
            <w:r>
              <w:rPr>
                <w:sz w:val="18"/>
              </w:rPr>
              <w:t>Fabric</w:t>
            </w:r>
          </w:p>
        </w:tc>
        <w:tc>
          <w:tcPr>
            <w:tcW w:type="dxa" w:w="2351"/>
            <w:shd w:val="clear" w:color="auto" w:fill="FFFFFF"/>
          </w:tcPr>
          <w:p>
            <w:r>
              <w:rPr>
                <w:sz w:val="18"/>
              </w:rPr>
              <w:t>Garments, apparel, home textiles</w:t>
            </w:r>
          </w:p>
        </w:tc>
      </w:tr>
    </w:tbl>
    <w:p/>
    <w:p>
      <w:r>
        <w:rPr>
          <w:b/>
        </w:rPr>
        <w:t>Where value is captured and lost.</w:t>
      </w:r>
      <w:r>
        <w:t xml:space="preserve"> Uganda exports roughly </w:t>
      </w:r>
      <w:r>
        <w:rPr>
          <w:b/>
        </w:rPr>
        <w:t>90% of its cotton lint raw at under USD 1/kg</w:t>
      </w:r>
      <w:r>
        <w:t xml:space="preserve"> — exporting about </w:t>
      </w:r>
      <w:r>
        <w:rPr>
          <w:b/>
        </w:rPr>
        <w:t>USD 11.3 million of cotton (HS 5201) in 2024</w:t>
      </w:r>
      <w:r>
        <w:t xml:space="preserve"> (ITC TradeMap) — while only two vertically integrated mills consume the remaining ~10% domestically (CDO; EPRC). The country then imports finished textiles and garments. The opportunity is to move lint into domestic yarn, fabric, and garments.</w:t>
      </w:r>
    </w:p>
    <w:p>
      <w:pPr>
        <w:pStyle w:val="Heading2"/>
      </w:pPr>
      <w:r>
        <w:t>4.B Current State Assessment</w:t>
      </w:r>
    </w:p>
    <w:p>
      <w:r>
        <w:rPr>
          <w:b/>
        </w:rPr>
        <w:t>Cotton production.</w:t>
      </w:r>
      <w:r>
        <w:t xml:space="preserve"> Uganda produced about </w:t>
      </w:r>
      <w:r>
        <w:rPr>
          <w:b/>
        </w:rPr>
        <w:t>116,000 bales in 2023</w:t>
      </w:r>
      <w:r>
        <w:t xml:space="preserve"> (≈200 kg lint each), with ~130,000 bales anticipated for 2024, against a good-year potential of up to 250,000 bales (CDO; sector reporting). There are </w:t>
      </w:r>
      <w:r>
        <w:rPr>
          <w:b/>
        </w:rPr>
        <w:t>39 ginneries with installed capacity near one million bales/year — operating at only ~10% of capacity</w:t>
      </w:r>
      <w:r>
        <w:t xml:space="preserve"> (CDO), a striking measure of under-utilization.</w:t>
      </w:r>
    </w:p>
    <w:p>
      <w:r>
        <w:rPr>
          <w:b/>
        </w:rPr>
        <w:t>Mills and value addition.</w:t>
      </w:r>
      <w:r>
        <w:t xml:space="preserve"> Uganda has </w:t>
      </w:r>
      <w:r>
        <w:rPr>
          <w:b/>
        </w:rPr>
        <w:t>two vertically integrated mills</w:t>
      </w:r>
      <w:r>
        <w:t xml:space="preserve">: </w:t>
      </w:r>
      <w:r>
        <w:rPr>
          <w:b/>
        </w:rPr>
        <w:t>Southern Range Nyanza (Nytil)</w:t>
      </w:r>
      <w:r>
        <w:t xml:space="preserve"> and </w:t>
      </w:r>
      <w:r>
        <w:rPr>
          <w:b/>
        </w:rPr>
        <w:t>Fine Spinners Ltd</w:t>
      </w:r>
      <w:r>
        <w:t xml:space="preserve">, together consuming ~10% of national lint and generating around </w:t>
      </w:r>
      <w:r>
        <w:rPr>
          <w:b/>
        </w:rPr>
        <w:t>USD 50 million annual turnover</w:t>
      </w:r>
      <w:r>
        <w:t>; Fine Spinners alone is associated with ~18,000 jobs across its operations and outgrower base (ChimpReports; UIA). New investment includes the Lira spinning facility under the cotton-development programme.</w:t>
      </w:r>
    </w:p>
    <w:p>
      <w:r>
        <w:rPr>
          <w:b/>
        </w:rPr>
        <w:t>Trade position (ITC TradeMap, 2024).</w:t>
      </w:r>
      <w:r>
        <w:t xml:space="preserve"> Cotton lint exports ~USD 11.3m; imports of knitted T-shirts (HS 6109) ~USD 6.7m, alongside broader apparel and fabric imports. Uganda is a </w:t>
      </w:r>
      <w:r>
        <w:rPr>
          <w:b/>
        </w:rPr>
        <w:t>net exporter of raw lint and a net importer of finished textiles/garments</w:t>
      </w:r>
      <w:r>
        <w:t xml:space="preserve"> — the inverse of a value-adding industry.</w:t>
      </w:r>
    </w:p>
    <w:p>
      <w:pPr>
        <w:pStyle w:val="Heading2"/>
      </w:pPr>
      <w:r>
        <w:t>4.C Binding Constraints Analysis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Dimension</w:t>
            </w:r>
          </w:p>
        </w:tc>
        <w:tc>
          <w:tcPr>
            <w:tcW w:type="dxa" w:w="4703"/>
            <w:shd w:val="clear" w:color="auto" w:fill="002B5B"/>
          </w:tcPr>
          <w:p>
            <w:r>
              <w:rPr>
                <w:b/>
                <w:color w:val="FFFFFF"/>
                <w:sz w:val="18"/>
              </w:rPr>
              <w:t>Assessment</w:t>
            </w:r>
          </w:p>
        </w:tc>
      </w:tr>
      <w:tr>
        <w:tc>
          <w:tcPr>
            <w:tcW w:type="dxa" w:w="4703"/>
            <w:shd w:val="clear" w:color="auto" w:fill="EEF3F9"/>
          </w:tcPr>
          <w:p>
            <w:r>
              <w:rPr>
                <w:b/>
                <w:sz w:val="18"/>
              </w:rPr>
              <w:t>Inputs / raw materials</w:t>
            </w:r>
          </w:p>
        </w:tc>
        <w:tc>
          <w:tcPr>
            <w:tcW w:type="dxa" w:w="4703"/>
            <w:shd w:val="clear" w:color="auto" w:fill="EEF3F9"/>
          </w:tcPr>
          <w:p>
            <w:r>
              <w:rPr>
                <w:sz w:val="18"/>
              </w:rPr>
              <w:t>Cotton output is volatile and well below capacity; seed quality and agronomy limit yields. Lint is abundant relative to domestic processing.</w:t>
            </w:r>
          </w:p>
        </w:tc>
      </w:tr>
      <w:tr>
        <w:tc>
          <w:tcPr>
            <w:tcW w:type="dxa" w:w="4703"/>
            <w:shd w:val="clear" w:color="auto" w:fill="FFFFFF"/>
          </w:tcPr>
          <w:p>
            <w:r>
              <w:rPr>
                <w:b/>
                <w:sz w:val="18"/>
              </w:rPr>
              <w:t>Technology &amp; productivity</w:t>
            </w:r>
          </w:p>
        </w:tc>
        <w:tc>
          <w:tcPr>
            <w:tcW w:type="dxa" w:w="4703"/>
            <w:shd w:val="clear" w:color="auto" w:fill="FFFFFF"/>
          </w:tcPr>
          <w:p>
            <w:r>
              <w:rPr>
                <w:sz w:val="18"/>
              </w:rPr>
              <w:t>Spinning/weaving capacity is small; much equipment is dated; wet-processing (dyeing/finishing) is a particular gap.</w:t>
            </w:r>
          </w:p>
        </w:tc>
      </w:tr>
      <w:tr>
        <w:tc>
          <w:tcPr>
            <w:tcW w:type="dxa" w:w="4703"/>
            <w:shd w:val="clear" w:color="auto" w:fill="EEF3F9"/>
          </w:tcPr>
          <w:p>
            <w:r>
              <w:rPr>
                <w:b/>
                <w:sz w:val="18"/>
              </w:rPr>
              <w:t>Energy</w:t>
            </w:r>
          </w:p>
        </w:tc>
        <w:tc>
          <w:tcPr>
            <w:tcW w:type="dxa" w:w="4703"/>
            <w:shd w:val="clear" w:color="auto" w:fill="EEF3F9"/>
          </w:tcPr>
          <w:p>
            <w:r>
              <w:rPr>
                <w:sz w:val="18"/>
              </w:rPr>
              <w:t>Spinning and wet-processing are energy- and water-intensive; tariff/reliability matter.</w:t>
            </w:r>
          </w:p>
        </w:tc>
      </w:tr>
      <w:tr>
        <w:tc>
          <w:tcPr>
            <w:tcW w:type="dxa" w:w="4703"/>
            <w:shd w:val="clear" w:color="auto" w:fill="FFFFFF"/>
          </w:tcPr>
          <w:p>
            <w:r>
              <w:rPr>
                <w:b/>
                <w:sz w:val="18"/>
              </w:rPr>
              <w:t>Water</w:t>
            </w:r>
          </w:p>
        </w:tc>
        <w:tc>
          <w:tcPr>
            <w:tcW w:type="dxa" w:w="4703"/>
            <w:shd w:val="clear" w:color="auto" w:fill="FFFFFF"/>
          </w:tcPr>
          <w:p>
            <w:r>
              <w:rPr>
                <w:sz w:val="18"/>
              </w:rPr>
              <w:t>Wet-processing needs reliable, treatable water; effluent compliance (NEMA) is a constraint and cost.</w:t>
            </w:r>
          </w:p>
        </w:tc>
      </w:tr>
      <w:tr>
        <w:tc>
          <w:tcPr>
            <w:tcW w:type="dxa" w:w="4703"/>
            <w:shd w:val="clear" w:color="auto" w:fill="EEF3F9"/>
          </w:tcPr>
          <w:p>
            <w:r>
              <w:rPr>
                <w:b/>
                <w:sz w:val="18"/>
              </w:rPr>
              <w:t>Logistics</w:t>
            </w:r>
          </w:p>
        </w:tc>
        <w:tc>
          <w:tcPr>
            <w:tcW w:type="dxa" w:w="4703"/>
            <w:shd w:val="clear" w:color="auto" w:fill="EEF3F9"/>
          </w:tcPr>
          <w:p>
            <w:r>
              <w:rPr>
                <w:sz w:val="18"/>
              </w:rPr>
              <w:t>Landlocked costs (~18–20% of sale price) erode competitiveness against Asian textile exporters.</w:t>
            </w:r>
          </w:p>
        </w:tc>
      </w:tr>
      <w:tr>
        <w:tc>
          <w:tcPr>
            <w:tcW w:type="dxa" w:w="4703"/>
            <w:shd w:val="clear" w:color="auto" w:fill="FFFFFF"/>
          </w:tcPr>
          <w:p>
            <w:r>
              <w:rPr>
                <w:b/>
                <w:sz w:val="18"/>
              </w:rPr>
              <w:t>Waste &amp; effluent</w:t>
            </w:r>
          </w:p>
        </w:tc>
        <w:tc>
          <w:tcPr>
            <w:tcW w:type="dxa" w:w="4703"/>
            <w:shd w:val="clear" w:color="auto" w:fill="FFFFFF"/>
          </w:tcPr>
          <w:p>
            <w:r>
              <w:rPr>
                <w:sz w:val="18"/>
              </w:rPr>
              <w:t>Dyeing effluent regulated under NEMA 2020; treatment capacity needed for scale-up.</w:t>
            </w:r>
          </w:p>
        </w:tc>
      </w:tr>
      <w:tr>
        <w:tc>
          <w:tcPr>
            <w:tcW w:type="dxa" w:w="4703"/>
            <w:shd w:val="clear" w:color="auto" w:fill="EEF3F9"/>
          </w:tcPr>
          <w:p>
            <w:r>
              <w:rPr>
                <w:b/>
                <w:sz w:val="18"/>
              </w:rPr>
              <w:t>Finance &amp; investment</w:t>
            </w:r>
          </w:p>
        </w:tc>
        <w:tc>
          <w:tcPr>
            <w:tcW w:type="dxa" w:w="4703"/>
            <w:shd w:val="clear" w:color="auto" w:fill="EEF3F9"/>
          </w:tcPr>
          <w:p>
            <w:r>
              <w:rPr>
                <w:sz w:val="18"/>
              </w:rPr>
              <w:t>Spinning/weaving mills are capital-intensive; long-term finance scarce.</w:t>
            </w:r>
          </w:p>
        </w:tc>
      </w:tr>
      <w:tr>
        <w:tc>
          <w:tcPr>
            <w:tcW w:type="dxa" w:w="4703"/>
            <w:shd w:val="clear" w:color="auto" w:fill="FFFFFF"/>
          </w:tcPr>
          <w:p>
            <w:r>
              <w:rPr>
                <w:b/>
                <w:sz w:val="18"/>
              </w:rPr>
              <w:t>Skills &amp; workforce</w:t>
            </w:r>
          </w:p>
        </w:tc>
        <w:tc>
          <w:tcPr>
            <w:tcW w:type="dxa" w:w="4703"/>
            <w:shd w:val="clear" w:color="auto" w:fill="FFFFFF"/>
          </w:tcPr>
          <w:p>
            <w:r>
              <w:rPr>
                <w:sz w:val="18"/>
              </w:rPr>
              <w:t>Textile-engineering and garment-supervisory skills limited; garment work is trainable and job-rich.</w:t>
            </w:r>
          </w:p>
        </w:tc>
      </w:tr>
      <w:tr>
        <w:tc>
          <w:tcPr>
            <w:tcW w:type="dxa" w:w="4703"/>
            <w:shd w:val="clear" w:color="auto" w:fill="EEF3F9"/>
          </w:tcPr>
          <w:p>
            <w:r>
              <w:rPr>
                <w:b/>
                <w:sz w:val="18"/>
              </w:rPr>
              <w:t>Standards &amp; quality</w:t>
            </w:r>
          </w:p>
        </w:tc>
        <w:tc>
          <w:tcPr>
            <w:tcW w:type="dxa" w:w="4703"/>
            <w:shd w:val="clear" w:color="auto" w:fill="EEF3F9"/>
          </w:tcPr>
          <w:p>
            <w:r>
              <w:rPr>
                <w:sz w:val="18"/>
              </w:rPr>
              <w:t>Standards and consistency needed to access export and regional markets.</w:t>
            </w:r>
          </w:p>
        </w:tc>
      </w:tr>
      <w:tr>
        <w:tc>
          <w:tcPr>
            <w:tcW w:type="dxa" w:w="4703"/>
            <w:shd w:val="clear" w:color="auto" w:fill="FFFFFF"/>
          </w:tcPr>
          <w:p>
            <w:r>
              <w:rPr>
                <w:b/>
                <w:sz w:val="18"/>
              </w:rPr>
              <w:t>Policy &amp; regulatory</w:t>
            </w:r>
          </w:p>
        </w:tc>
        <w:tc>
          <w:tcPr>
            <w:tcW w:type="dxa" w:w="4703"/>
            <w:shd w:val="clear" w:color="auto" w:fill="FFFFFF"/>
          </w:tcPr>
          <w:p>
            <w:r>
              <w:rPr>
                <w:sz w:val="18"/>
              </w:rPr>
              <w:t>EAC used-clothing (mivumba) policy, cotton-sector regulation (CDO), and incentives shape the chain. Used-clothing imports compete directly with domestic garments.</w:t>
            </w:r>
          </w:p>
        </w:tc>
      </w:tr>
    </w:tbl>
    <w:p/>
    <w:p>
      <w:pPr>
        <w:pStyle w:val="Heading2"/>
      </w:pPr>
      <w:r>
        <w:t>4.D Market Assessment</w:t>
      </w:r>
    </w:p>
    <w:p>
      <w:r>
        <w:rPr>
          <w:b/>
        </w:rPr>
        <w:t>Domestic.</w:t>
      </w:r>
      <w:r>
        <w:t xml:space="preserve"> Growing demand for apparel, uniforms, and home textiles, currently met substantially by imports and used clothing. Institutional demand (uniforms for schools, security, health) is an addressable anchor.</w:t>
      </w:r>
    </w:p>
    <w:p>
      <w:r>
        <w:rPr>
          <w:b/>
        </w:rPr>
        <w:t>Regional (EAC/COMESA).</w:t>
      </w:r>
      <w:r>
        <w:t xml:space="preserve"> Regional apparel and fabric markets are accessible; Uganda's cotton base is a comparative advantage if processed. AGOA/EU access has historically supported garment export, subject to policy continuity.</w:t>
      </w:r>
    </w:p>
    <w:p>
      <w:r>
        <w:rPr>
          <w:b/>
        </w:rPr>
        <w:t>Global.</w:t>
      </w:r>
      <w:r>
        <w:t xml:space="preserve"> Commodity textile export is highly competitive (Asia dominates); Uganda's realistic global niche is </w:t>
      </w:r>
      <w:r>
        <w:rPr>
          <w:b/>
        </w:rPr>
        <w:t>organic/traceable cotton and specialty apparel</w:t>
      </w:r>
      <w:r>
        <w:t>, not commodity volume.</w:t>
      </w:r>
    </w:p>
    <w:p>
      <w:r>
        <w:rPr>
          <w:b/>
        </w:rPr>
        <w:t>Accessible market conclusion.</w:t>
      </w:r>
      <w:r>
        <w:t xml:space="preserve"> Prioritize </w:t>
      </w:r>
      <w:r>
        <w:rPr>
          <w:b/>
        </w:rPr>
        <w:t>domestic and regional garments/home textiles</w:t>
      </w:r>
      <w:r>
        <w:t xml:space="preserve"> and </w:t>
      </w:r>
      <w:r>
        <w:rPr>
          <w:b/>
        </w:rPr>
        <w:t>yarn/fabric for those markets</w:t>
      </w:r>
      <w:r>
        <w:t xml:space="preserve">, anchored on Uganda's own cotton; plus a </w:t>
      </w:r>
      <w:r>
        <w:rPr>
          <w:b/>
        </w:rPr>
        <w:t>premium organic-cotton</w:t>
      </w:r>
      <w:r>
        <w:t xml:space="preserve"> export niche.</w:t>
      </w:r>
    </w:p>
    <w:p>
      <w:pPr>
        <w:pStyle w:val="Heading2"/>
      </w:pPr>
      <w:r>
        <w:t>4.E Prioritized Products</w:t>
      </w:r>
    </w:p>
    <w:tbl>
      <w:tblPr>
        <w:tblStyle w:val="TableGrid"/>
        <w:tblW w:type="auto" w:w="0"/>
        <w:jc w:val="left"/>
        <w:tblLook w:firstColumn="1" w:firstRow="1" w:lastColumn="0" w:lastRow="0" w:noHBand="0" w:noVBand="1" w:val="04A0"/>
      </w:tblPr>
      <w:tblGrid>
        <w:gridCol w:w="1344"/>
        <w:gridCol w:w="1344"/>
        <w:gridCol w:w="1344"/>
        <w:gridCol w:w="1344"/>
        <w:gridCol w:w="1344"/>
        <w:gridCol w:w="1344"/>
        <w:gridCol w:w="1344"/>
      </w:tblGrid>
      <w:tr>
        <w:tc>
          <w:tcPr>
            <w:tcW w:type="dxa" w:w="1344"/>
            <w:shd w:val="clear" w:color="auto" w:fill="002B5B"/>
          </w:tcPr>
          <w:p>
            <w:r>
              <w:rPr>
                <w:b/>
                <w:color w:val="FFFFFF"/>
                <w:sz w:val="18"/>
              </w:rPr>
              <w:t>Product / sub-sector</w:t>
            </w:r>
          </w:p>
        </w:tc>
        <w:tc>
          <w:tcPr>
            <w:tcW w:type="dxa" w:w="1344"/>
            <w:shd w:val="clear" w:color="auto" w:fill="002B5B"/>
          </w:tcPr>
          <w:p>
            <w:r>
              <w:rPr>
                <w:b/>
                <w:color w:val="FFFFFF"/>
                <w:sz w:val="18"/>
              </w:rPr>
              <w:t>Market</w:t>
            </w:r>
          </w:p>
        </w:tc>
        <w:tc>
          <w:tcPr>
            <w:tcW w:type="dxa" w:w="1344"/>
            <w:shd w:val="clear" w:color="auto" w:fill="002B5B"/>
          </w:tcPr>
          <w:p>
            <w:r>
              <w:rPr>
                <w:b/>
                <w:color w:val="FFFFFF"/>
                <w:sz w:val="18"/>
              </w:rPr>
              <w:t>Comp. adv.</w:t>
            </w:r>
          </w:p>
        </w:tc>
        <w:tc>
          <w:tcPr>
            <w:tcW w:type="dxa" w:w="1344"/>
            <w:shd w:val="clear" w:color="auto" w:fill="002B5B"/>
          </w:tcPr>
          <w:p>
            <w:r>
              <w:rPr>
                <w:b/>
                <w:color w:val="FFFFFF"/>
                <w:sz w:val="18"/>
              </w:rPr>
              <w:t>Feasibility</w:t>
            </w:r>
          </w:p>
        </w:tc>
        <w:tc>
          <w:tcPr>
            <w:tcW w:type="dxa" w:w="1344"/>
            <w:shd w:val="clear" w:color="auto" w:fill="002B5B"/>
          </w:tcPr>
          <w:p>
            <w:r>
              <w:rPr>
                <w:b/>
                <w:color w:val="FFFFFF"/>
                <w:sz w:val="18"/>
              </w:rPr>
              <w:t>Jobs</w:t>
            </w:r>
          </w:p>
        </w:tc>
        <w:tc>
          <w:tcPr>
            <w:tcW w:type="dxa" w:w="1344"/>
            <w:shd w:val="clear" w:color="auto" w:fill="002B5B"/>
          </w:tcPr>
          <w:p>
            <w:r>
              <w:rPr>
                <w:b/>
                <w:color w:val="FFFFFF"/>
                <w:sz w:val="18"/>
              </w:rPr>
              <w:t>Import subst.</w:t>
            </w:r>
          </w:p>
        </w:tc>
        <w:tc>
          <w:tcPr>
            <w:tcW w:type="dxa" w:w="1344"/>
            <w:shd w:val="clear" w:color="auto" w:fill="002B5B"/>
          </w:tcPr>
          <w:p>
            <w:r>
              <w:rPr>
                <w:b/>
                <w:color w:val="FFFFFF"/>
                <w:sz w:val="18"/>
              </w:rPr>
              <w:t>Priority</w:t>
            </w:r>
          </w:p>
        </w:tc>
      </w:tr>
      <w:tr>
        <w:tc>
          <w:tcPr>
            <w:tcW w:type="dxa" w:w="1344"/>
            <w:shd w:val="clear" w:color="auto" w:fill="EEF3F9"/>
          </w:tcPr>
          <w:p>
            <w:r>
              <w:rPr>
                <w:b/>
                <w:sz w:val="18"/>
              </w:rPr>
              <w:t>Garments &amp; apparel (incl. institutional uniforms)</w:t>
            </w:r>
          </w:p>
        </w:tc>
        <w:tc>
          <w:tcPr>
            <w:tcW w:type="dxa" w:w="1344"/>
            <w:shd w:val="clear" w:color="auto" w:fill="EEF3F9"/>
          </w:tcPr>
          <w:p>
            <w:r>
              <w:rPr>
                <w:sz w:val="18"/>
              </w:rPr>
              <w:t>High</w:t>
            </w:r>
          </w:p>
        </w:tc>
        <w:tc>
          <w:tcPr>
            <w:tcW w:type="dxa" w:w="1344"/>
            <w:shd w:val="clear" w:color="auto" w:fill="EEF3F9"/>
          </w:tcPr>
          <w:p>
            <w:r>
              <w:rPr>
                <w:sz w:val="18"/>
              </w:rPr>
              <w:t>Medium</w:t>
            </w:r>
          </w:p>
        </w:tc>
        <w:tc>
          <w:tcPr>
            <w:tcW w:type="dxa" w:w="1344"/>
            <w:shd w:val="clear" w:color="auto" w:fill="EEF3F9"/>
          </w:tcPr>
          <w:p>
            <w:r>
              <w:rPr>
                <w:sz w:val="18"/>
              </w:rPr>
              <w:t>High</w:t>
            </w:r>
          </w:p>
        </w:tc>
        <w:tc>
          <w:tcPr>
            <w:tcW w:type="dxa" w:w="1344"/>
            <w:shd w:val="clear" w:color="auto" w:fill="EEF3F9"/>
          </w:tcPr>
          <w:p>
            <w:r>
              <w:rPr>
                <w:sz w:val="18"/>
              </w:rPr>
              <w:t>Very high</w:t>
            </w:r>
          </w:p>
        </w:tc>
        <w:tc>
          <w:tcPr>
            <w:tcW w:type="dxa" w:w="1344"/>
            <w:shd w:val="clear" w:color="auto" w:fill="EEF3F9"/>
          </w:tcPr>
          <w:p>
            <w:r>
              <w:rPr>
                <w:sz w:val="18"/>
              </w:rPr>
              <w:t>High</w:t>
            </w:r>
          </w:p>
        </w:tc>
        <w:tc>
          <w:tcPr>
            <w:tcW w:type="dxa" w:w="1344"/>
            <w:shd w:val="clear" w:color="auto" w:fill="EEF3F9"/>
          </w:tcPr>
          <w:p>
            <w:r>
              <w:rPr>
                <w:b/>
                <w:sz w:val="18"/>
              </w:rPr>
              <w:t>Priority</w:t>
            </w:r>
          </w:p>
        </w:tc>
      </w:tr>
      <w:tr>
        <w:tc>
          <w:tcPr>
            <w:tcW w:type="dxa" w:w="1344"/>
            <w:shd w:val="clear" w:color="auto" w:fill="FFFFFF"/>
          </w:tcPr>
          <w:p>
            <w:r>
              <w:rPr>
                <w:b/>
                <w:sz w:val="18"/>
              </w:rPr>
              <w:t>Yarn &amp; fabric (spinning/weaving)</w:t>
            </w:r>
          </w:p>
        </w:tc>
        <w:tc>
          <w:tcPr>
            <w:tcW w:type="dxa" w:w="1344"/>
            <w:shd w:val="clear" w:color="auto" w:fill="FFFFFF"/>
          </w:tcPr>
          <w:p>
            <w:r>
              <w:rPr>
                <w:sz w:val="18"/>
              </w:rPr>
              <w:t>High</w:t>
            </w:r>
          </w:p>
        </w:tc>
        <w:tc>
          <w:tcPr>
            <w:tcW w:type="dxa" w:w="1344"/>
            <w:shd w:val="clear" w:color="auto" w:fill="FFFFFF"/>
          </w:tcPr>
          <w:p>
            <w:r>
              <w:rPr>
                <w:sz w:val="18"/>
              </w:rPr>
              <w:t>High (lint)</w:t>
            </w:r>
          </w:p>
        </w:tc>
        <w:tc>
          <w:tcPr>
            <w:tcW w:type="dxa" w:w="1344"/>
            <w:shd w:val="clear" w:color="auto" w:fill="FFFFFF"/>
          </w:tcPr>
          <w:p>
            <w:r>
              <w:rPr>
                <w:sz w:val="18"/>
              </w:rPr>
              <w:t>Medium</w:t>
            </w:r>
          </w:p>
        </w:tc>
        <w:tc>
          <w:tcPr>
            <w:tcW w:type="dxa" w:w="1344"/>
            <w:shd w:val="clear" w:color="auto" w:fill="FFFFFF"/>
          </w:tcPr>
          <w:p>
            <w:r>
              <w:rPr>
                <w:sz w:val="18"/>
              </w:rPr>
              <w:t>High</w:t>
            </w:r>
          </w:p>
        </w:tc>
        <w:tc>
          <w:tcPr>
            <w:tcW w:type="dxa" w:w="1344"/>
            <w:shd w:val="clear" w:color="auto" w:fill="FFFFFF"/>
          </w:tcPr>
          <w:p>
            <w:r>
              <w:rPr>
                <w:sz w:val="18"/>
              </w:rPr>
              <w:t>High</w:t>
            </w:r>
          </w:p>
        </w:tc>
        <w:tc>
          <w:tcPr>
            <w:tcW w:type="dxa" w:w="1344"/>
            <w:shd w:val="clear" w:color="auto" w:fill="FFFFFF"/>
          </w:tcPr>
          <w:p>
            <w:r>
              <w:rPr>
                <w:b/>
                <w:sz w:val="18"/>
              </w:rPr>
              <w:t>Priority</w:t>
            </w:r>
          </w:p>
        </w:tc>
      </w:tr>
      <w:tr>
        <w:tc>
          <w:tcPr>
            <w:tcW w:type="dxa" w:w="1344"/>
            <w:shd w:val="clear" w:color="auto" w:fill="EEF3F9"/>
          </w:tcPr>
          <w:p>
            <w:r>
              <w:rPr>
                <w:b/>
                <w:sz w:val="18"/>
              </w:rPr>
              <w:t>Cottonseed oil &amp; cake (by-products)</w:t>
            </w:r>
          </w:p>
        </w:tc>
        <w:tc>
          <w:tcPr>
            <w:tcW w:type="dxa" w:w="1344"/>
            <w:shd w:val="clear" w:color="auto" w:fill="EEF3F9"/>
          </w:tcPr>
          <w:p>
            <w:r>
              <w:rPr>
                <w:sz w:val="18"/>
              </w:rPr>
              <w:t>Medium</w:t>
            </w:r>
          </w:p>
        </w:tc>
        <w:tc>
          <w:tcPr>
            <w:tcW w:type="dxa" w:w="1344"/>
            <w:shd w:val="clear" w:color="auto" w:fill="EEF3F9"/>
          </w:tcPr>
          <w:p>
            <w:r>
              <w:rPr>
                <w:sz w:val="18"/>
              </w:rPr>
              <w:t>High</w:t>
            </w:r>
          </w:p>
        </w:tc>
        <w:tc>
          <w:tcPr>
            <w:tcW w:type="dxa" w:w="1344"/>
            <w:shd w:val="clear" w:color="auto" w:fill="EEF3F9"/>
          </w:tcPr>
          <w:p>
            <w:r>
              <w:rPr>
                <w:sz w:val="18"/>
              </w:rPr>
              <w:t>High</w:t>
            </w:r>
          </w:p>
        </w:tc>
        <w:tc>
          <w:tcPr>
            <w:tcW w:type="dxa" w:w="1344"/>
            <w:shd w:val="clear" w:color="auto" w:fill="EEF3F9"/>
          </w:tcPr>
          <w:p>
            <w:r>
              <w:rPr>
                <w:sz w:val="18"/>
              </w:rPr>
              <w:t>Medium</w:t>
            </w:r>
          </w:p>
        </w:tc>
        <w:tc>
          <w:tcPr>
            <w:tcW w:type="dxa" w:w="1344"/>
            <w:shd w:val="clear" w:color="auto" w:fill="EEF3F9"/>
          </w:tcPr>
          <w:p>
            <w:r>
              <w:rPr>
                <w:sz w:val="18"/>
              </w:rPr>
              <w:t>Medium</w:t>
            </w:r>
          </w:p>
        </w:tc>
        <w:tc>
          <w:tcPr>
            <w:tcW w:type="dxa" w:w="1344"/>
            <w:shd w:val="clear" w:color="auto" w:fill="EEF3F9"/>
          </w:tcPr>
          <w:p>
            <w:r>
              <w:rPr>
                <w:b/>
                <w:sz w:val="18"/>
              </w:rPr>
              <w:t>Priority</w:t>
            </w:r>
          </w:p>
        </w:tc>
      </w:tr>
      <w:tr>
        <w:tc>
          <w:tcPr>
            <w:tcW w:type="dxa" w:w="1344"/>
            <w:shd w:val="clear" w:color="auto" w:fill="FFFFFF"/>
          </w:tcPr>
          <w:p>
            <w:r>
              <w:rPr>
                <w:sz w:val="18"/>
              </w:rPr>
              <w:t>Organic/traceable cotton (premium export)</w:t>
            </w:r>
          </w:p>
        </w:tc>
        <w:tc>
          <w:tcPr>
            <w:tcW w:type="dxa" w:w="1344"/>
            <w:shd w:val="clear" w:color="auto" w:fill="FFFFFF"/>
          </w:tcPr>
          <w:p>
            <w:r>
              <w:rPr>
                <w:sz w:val="18"/>
              </w:rPr>
              <w:t>Medium</w:t>
            </w:r>
          </w:p>
        </w:tc>
        <w:tc>
          <w:tcPr>
            <w:tcW w:type="dxa" w:w="1344"/>
            <w:shd w:val="clear" w:color="auto" w:fill="FFFFFF"/>
          </w:tcPr>
          <w:p>
            <w:r>
              <w:rPr>
                <w:sz w:val="18"/>
              </w:rPr>
              <w:t>High</w:t>
            </w:r>
          </w:p>
        </w:tc>
        <w:tc>
          <w:tcPr>
            <w:tcW w:type="dxa" w:w="1344"/>
            <w:shd w:val="clear" w:color="auto" w:fill="FFFFFF"/>
          </w:tcPr>
          <w:p>
            <w:r>
              <w:rPr>
                <w:sz w:val="18"/>
              </w:rPr>
              <w:t>Medium</w:t>
            </w:r>
          </w:p>
        </w:tc>
        <w:tc>
          <w:tcPr>
            <w:tcW w:type="dxa" w:w="1344"/>
            <w:shd w:val="clear" w:color="auto" w:fill="FFFFFF"/>
          </w:tcPr>
          <w:p>
            <w:r>
              <w:rPr>
                <w:sz w:val="18"/>
              </w:rPr>
              <w:t>Medium</w:t>
            </w:r>
          </w:p>
        </w:tc>
        <w:tc>
          <w:tcPr>
            <w:tcW w:type="dxa" w:w="1344"/>
            <w:shd w:val="clear" w:color="auto" w:fill="FFFFFF"/>
          </w:tcPr>
          <w:p>
            <w:r>
              <w:rPr>
                <w:sz w:val="18"/>
              </w:rPr>
              <w:t>n/a</w:t>
            </w:r>
          </w:p>
        </w:tc>
        <w:tc>
          <w:tcPr>
            <w:tcW w:type="dxa" w:w="1344"/>
            <w:shd w:val="clear" w:color="auto" w:fill="FFFFFF"/>
          </w:tcPr>
          <w:p>
            <w:r>
              <w:rPr>
                <w:sz w:val="18"/>
              </w:rPr>
              <w:t>Conditional</w:t>
            </w:r>
          </w:p>
        </w:tc>
      </w:tr>
      <w:tr>
        <w:tc>
          <w:tcPr>
            <w:tcW w:type="dxa" w:w="1344"/>
            <w:shd w:val="clear" w:color="auto" w:fill="EEF3F9"/>
          </w:tcPr>
          <w:p>
            <w:r>
              <w:rPr>
                <w:sz w:val="18"/>
              </w:rPr>
              <w:t>Commodity textile export to global market</w:t>
            </w:r>
          </w:p>
        </w:tc>
        <w:tc>
          <w:tcPr>
            <w:tcW w:type="dxa" w:w="1344"/>
            <w:shd w:val="clear" w:color="auto" w:fill="EEF3F9"/>
          </w:tcPr>
          <w:p>
            <w:r>
              <w:rPr>
                <w:sz w:val="18"/>
              </w:rPr>
              <w:t>Low</w:t>
            </w:r>
          </w:p>
        </w:tc>
        <w:tc>
          <w:tcPr>
            <w:tcW w:type="dxa" w:w="1344"/>
            <w:shd w:val="clear" w:color="auto" w:fill="EEF3F9"/>
          </w:tcPr>
          <w:p>
            <w:r>
              <w:rPr>
                <w:sz w:val="18"/>
              </w:rPr>
              <w:t>Low</w:t>
            </w:r>
          </w:p>
        </w:tc>
        <w:tc>
          <w:tcPr>
            <w:tcW w:type="dxa" w:w="1344"/>
            <w:shd w:val="clear" w:color="auto" w:fill="EEF3F9"/>
          </w:tcPr>
          <w:p>
            <w:r>
              <w:rPr>
                <w:sz w:val="18"/>
              </w:rPr>
              <w:t>Low</w:t>
            </w:r>
          </w:p>
        </w:tc>
        <w:tc>
          <w:tcPr>
            <w:tcW w:type="dxa" w:w="1344"/>
            <w:shd w:val="clear" w:color="auto" w:fill="EEF3F9"/>
          </w:tcPr>
          <w:p>
            <w:r>
              <w:rPr>
                <w:sz w:val="18"/>
              </w:rPr>
              <w:t>Medium</w:t>
            </w:r>
          </w:p>
        </w:tc>
        <w:tc>
          <w:tcPr>
            <w:tcW w:type="dxa" w:w="1344"/>
            <w:shd w:val="clear" w:color="auto" w:fill="EEF3F9"/>
          </w:tcPr>
          <w:p>
            <w:r>
              <w:rPr>
                <w:sz w:val="18"/>
              </w:rPr>
              <w:t>Low</w:t>
            </w:r>
          </w:p>
        </w:tc>
        <w:tc>
          <w:tcPr>
            <w:tcW w:type="dxa" w:w="1344"/>
            <w:shd w:val="clear" w:color="auto" w:fill="EEF3F9"/>
          </w:tcPr>
          <w:p>
            <w:r>
              <w:rPr>
                <w:sz w:val="18"/>
              </w:rPr>
              <w:t>Deprioritize</w:t>
            </w:r>
          </w:p>
        </w:tc>
      </w:tr>
    </w:tbl>
    <w:p/>
    <w:p>
      <w:r>
        <w:rPr>
          <w:b/>
        </w:rPr>
        <w:t>The three-to-four priorities for Textiles &amp; Garments:</w:t>
      </w:r>
    </w:p>
    <w:p>
      <w:pPr>
        <w:pStyle w:val="ListNumber"/>
      </w:pPr>
      <w:r>
        <w:rPr>
          <w:b/>
        </w:rPr>
        <w:t>Garments &amp; apparel</w:t>
      </w:r>
      <w:r>
        <w:t xml:space="preserve"> — the most job-rich step, anchored by institutional/uniform demand and regional markets; converts fabric into the highest-value, highest-employment product.</w:t>
      </w:r>
    </w:p>
    <w:p>
      <w:pPr>
        <w:pStyle w:val="ListNumber"/>
      </w:pPr>
      <w:r>
        <w:rPr>
          <w:b/>
        </w:rPr>
        <w:t>Yarn &amp; fabric (spinning/weaving)</w:t>
      </w:r>
      <w:r>
        <w:t xml:space="preserve"> — process domestic lint instead of exporting it raw; the core value-addition move. Build on Nytil, Fine Spinners, and the Lira facility.</w:t>
      </w:r>
    </w:p>
    <w:p>
      <w:pPr>
        <w:pStyle w:val="ListNumber"/>
      </w:pPr>
      <w:r>
        <w:rPr>
          <w:b/>
        </w:rPr>
        <w:t>Cottonseed oil &amp; cake</w:t>
      </w:r>
      <w:r>
        <w:t xml:space="preserve"> — capture ginning by-products (edible oil, animal feed), a feasible quick value-add.</w:t>
      </w:r>
    </w:p>
    <w:p>
      <w:r>
        <w:rPr>
          <w:b/>
        </w:rPr>
        <w:t>Explicit deprioritization.</w:t>
      </w:r>
      <w:r>
        <w:t xml:space="preserve"> Uganda should </w:t>
      </w:r>
      <w:r>
        <w:rPr>
          <w:b/>
        </w:rPr>
        <w:t>not</w:t>
      </w:r>
      <w:r>
        <w:t xml:space="preserve"> chase commodity textile export to global markets against Asian scale. Focus on </w:t>
      </w:r>
      <w:r>
        <w:rPr>
          <w:b/>
        </w:rPr>
        <w:t>domestic/regional garments and fabric from Ugandan cotton</w:t>
      </w:r>
      <w:r>
        <w:t>, with organic cotton as a premium niche.</w:t>
      </w:r>
    </w:p>
    <w:p>
      <w:pPr>
        <w:pStyle w:val="Heading2"/>
      </w:pPr>
      <w:r>
        <w:t>4.F Priority Action Matrix</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Timeframe</w:t>
            </w:r>
          </w:p>
        </w:tc>
        <w:tc>
          <w:tcPr>
            <w:tcW w:type="dxa" w:w="2351"/>
            <w:shd w:val="clear" w:color="auto" w:fill="002B5B"/>
          </w:tcPr>
          <w:p>
            <w:r>
              <w:rPr>
                <w:b/>
                <w:color w:val="FFFFFF"/>
                <w:sz w:val="18"/>
              </w:rPr>
              <w:t>Action</w:t>
            </w:r>
          </w:p>
        </w:tc>
        <w:tc>
          <w:tcPr>
            <w:tcW w:type="dxa" w:w="2351"/>
            <w:shd w:val="clear" w:color="auto" w:fill="002B5B"/>
          </w:tcPr>
          <w:p>
            <w:r>
              <w:rPr>
                <w:b/>
                <w:color w:val="FFFFFF"/>
                <w:sz w:val="18"/>
              </w:rPr>
              <w:t>Lead</w:t>
            </w:r>
          </w:p>
        </w:tc>
        <w:tc>
          <w:tcPr>
            <w:tcW w:type="dxa" w:w="2351"/>
            <w:shd w:val="clear" w:color="auto" w:fill="002B5B"/>
          </w:tcPr>
          <w:p>
            <w:r>
              <w:rPr>
                <w:b/>
                <w:color w:val="FFFFFF"/>
                <w:sz w:val="18"/>
              </w:rPr>
              <w:t>Indicative cost</w:t>
            </w:r>
          </w:p>
        </w:tc>
      </w:tr>
      <w:tr>
        <w:tc>
          <w:tcPr>
            <w:tcW w:type="dxa" w:w="2351"/>
            <w:shd w:val="clear" w:color="auto" w:fill="EEF3F9"/>
          </w:tcPr>
          <w:p>
            <w:r>
              <w:rPr>
                <w:b/>
                <w:sz w:val="18"/>
              </w:rPr>
              <w:t>Quick win (0–12m)</w:t>
            </w:r>
          </w:p>
        </w:tc>
        <w:tc>
          <w:tcPr>
            <w:tcW w:type="dxa" w:w="2351"/>
            <w:shd w:val="clear" w:color="auto" w:fill="EEF3F9"/>
          </w:tcPr>
          <w:p>
            <w:r>
              <w:rPr>
                <w:sz w:val="18"/>
              </w:rPr>
              <w:t>Institutional-uniform procurement from domestic garment makers; review used-clothing policy</w:t>
            </w:r>
          </w:p>
        </w:tc>
        <w:tc>
          <w:tcPr>
            <w:tcW w:type="dxa" w:w="2351"/>
            <w:shd w:val="clear" w:color="auto" w:fill="EEF3F9"/>
          </w:tcPr>
          <w:p>
            <w:r>
              <w:rPr>
                <w:sz w:val="18"/>
              </w:rPr>
              <w:t>MTIC, MoFPED, MDAs</w:t>
            </w:r>
          </w:p>
        </w:tc>
        <w:tc>
          <w:tcPr>
            <w:tcW w:type="dxa" w:w="2351"/>
            <w:shd w:val="clear" w:color="auto" w:fill="EEF3F9"/>
          </w:tcPr>
          <w:p>
            <w:r>
              <w:rPr>
                <w:sz w:val="18"/>
              </w:rPr>
              <w:t>Procurement</w:t>
            </w:r>
          </w:p>
        </w:tc>
      </w:tr>
      <w:tr>
        <w:tc>
          <w:tcPr>
            <w:tcW w:type="dxa" w:w="2351"/>
            <w:shd w:val="clear" w:color="auto" w:fill="FFFFFF"/>
          </w:tcPr>
          <w:p>
            <w:r>
              <w:rPr>
                <w:sz w:val="18"/>
              </w:rPr>
              <w:t>Quick win (0–12m)</w:t>
            </w:r>
          </w:p>
        </w:tc>
        <w:tc>
          <w:tcPr>
            <w:tcW w:type="dxa" w:w="2351"/>
            <w:shd w:val="clear" w:color="auto" w:fill="FFFFFF"/>
          </w:tcPr>
          <w:p>
            <w:r>
              <w:rPr>
                <w:sz w:val="18"/>
              </w:rPr>
              <w:t>Cotton agronomy/seed programme to raise yields and ginnery utilization</w:t>
            </w:r>
          </w:p>
        </w:tc>
        <w:tc>
          <w:tcPr>
            <w:tcW w:type="dxa" w:w="2351"/>
            <w:shd w:val="clear" w:color="auto" w:fill="FFFFFF"/>
          </w:tcPr>
          <w:p>
            <w:r>
              <w:rPr>
                <w:sz w:val="18"/>
              </w:rPr>
              <w:t>CDO, MAAIF</w:t>
            </w:r>
          </w:p>
        </w:tc>
        <w:tc>
          <w:tcPr>
            <w:tcW w:type="dxa" w:w="2351"/>
            <w:shd w:val="clear" w:color="auto" w:fill="FFFFFF"/>
          </w:tcPr>
          <w:p>
            <w:r>
              <w:rPr>
                <w:sz w:val="18"/>
              </w:rPr>
              <w:t>Low–Medium</w:t>
            </w:r>
          </w:p>
        </w:tc>
      </w:tr>
      <w:tr>
        <w:tc>
          <w:tcPr>
            <w:tcW w:type="dxa" w:w="2351"/>
            <w:shd w:val="clear" w:color="auto" w:fill="EEF3F9"/>
          </w:tcPr>
          <w:p>
            <w:r>
              <w:rPr>
                <w:b/>
                <w:sz w:val="18"/>
              </w:rPr>
              <w:t>Reform (1–3y)</w:t>
            </w:r>
          </w:p>
        </w:tc>
        <w:tc>
          <w:tcPr>
            <w:tcW w:type="dxa" w:w="2351"/>
            <w:shd w:val="clear" w:color="auto" w:fill="EEF3F9"/>
          </w:tcPr>
          <w:p>
            <w:r>
              <w:rPr>
                <w:sz w:val="18"/>
              </w:rPr>
              <w:t>Wet-processing/effluent infrastructure for textile parks</w:t>
            </w:r>
          </w:p>
        </w:tc>
        <w:tc>
          <w:tcPr>
            <w:tcW w:type="dxa" w:w="2351"/>
            <w:shd w:val="clear" w:color="auto" w:fill="EEF3F9"/>
          </w:tcPr>
          <w:p>
            <w:r>
              <w:rPr>
                <w:sz w:val="18"/>
              </w:rPr>
              <w:t>NEMA, MTIC, UIA</w:t>
            </w:r>
          </w:p>
        </w:tc>
        <w:tc>
          <w:tcPr>
            <w:tcW w:type="dxa" w:w="2351"/>
            <w:shd w:val="clear" w:color="auto" w:fill="EEF3F9"/>
          </w:tcPr>
          <w:p>
            <w:r>
              <w:rPr>
                <w:sz w:val="18"/>
              </w:rPr>
              <w:t>Medium</w:t>
            </w:r>
          </w:p>
        </w:tc>
      </w:tr>
      <w:tr>
        <w:tc>
          <w:tcPr>
            <w:tcW w:type="dxa" w:w="2351"/>
            <w:shd w:val="clear" w:color="auto" w:fill="FFFFFF"/>
          </w:tcPr>
          <w:p>
            <w:r>
              <w:rPr>
                <w:sz w:val="18"/>
              </w:rPr>
              <w:t>Reform (1–3y)</w:t>
            </w:r>
          </w:p>
        </w:tc>
        <w:tc>
          <w:tcPr>
            <w:tcW w:type="dxa" w:w="2351"/>
            <w:shd w:val="clear" w:color="auto" w:fill="FFFFFF"/>
          </w:tcPr>
          <w:p>
            <w:r>
              <w:rPr>
                <w:sz w:val="18"/>
              </w:rPr>
              <w:t>Textile/garment skills programme</w:t>
            </w:r>
          </w:p>
        </w:tc>
        <w:tc>
          <w:tcPr>
            <w:tcW w:type="dxa" w:w="2351"/>
            <w:shd w:val="clear" w:color="auto" w:fill="FFFFFF"/>
          </w:tcPr>
          <w:p>
            <w:r>
              <w:rPr>
                <w:sz w:val="18"/>
              </w:rPr>
              <w:t>MoES, mills</w:t>
            </w:r>
          </w:p>
        </w:tc>
        <w:tc>
          <w:tcPr>
            <w:tcW w:type="dxa" w:w="2351"/>
            <w:shd w:val="clear" w:color="auto" w:fill="FFFFFF"/>
          </w:tcPr>
          <w:p>
            <w:r>
              <w:rPr>
                <w:sz w:val="18"/>
              </w:rPr>
              <w:t>Medium</w:t>
            </w:r>
          </w:p>
        </w:tc>
      </w:tr>
      <w:tr>
        <w:tc>
          <w:tcPr>
            <w:tcW w:type="dxa" w:w="2351"/>
            <w:shd w:val="clear" w:color="auto" w:fill="EEF3F9"/>
          </w:tcPr>
          <w:p>
            <w:r>
              <w:rPr>
                <w:b/>
                <w:sz w:val="18"/>
              </w:rPr>
              <w:t>Investment (3–5y)</w:t>
            </w:r>
          </w:p>
        </w:tc>
        <w:tc>
          <w:tcPr>
            <w:tcW w:type="dxa" w:w="2351"/>
            <w:shd w:val="clear" w:color="auto" w:fill="EEF3F9"/>
          </w:tcPr>
          <w:p>
            <w:r>
              <w:rPr>
                <w:sz w:val="18"/>
              </w:rPr>
              <w:t>Spinning/weaving capacity expansion (Nytil, Fine Spinners, Lira)</w:t>
            </w:r>
          </w:p>
        </w:tc>
        <w:tc>
          <w:tcPr>
            <w:tcW w:type="dxa" w:w="2351"/>
            <w:shd w:val="clear" w:color="auto" w:fill="EEF3F9"/>
          </w:tcPr>
          <w:p>
            <w:r>
              <w:rPr>
                <w:sz w:val="18"/>
              </w:rPr>
              <w:t>Private-led + PPP</w:t>
            </w:r>
          </w:p>
        </w:tc>
        <w:tc>
          <w:tcPr>
            <w:tcW w:type="dxa" w:w="2351"/>
            <w:shd w:val="clear" w:color="auto" w:fill="EEF3F9"/>
          </w:tcPr>
          <w:p>
            <w:r>
              <w:rPr>
                <w:sz w:val="18"/>
              </w:rPr>
              <w:t>Indicative (see Ch.11)</w:t>
            </w:r>
          </w:p>
        </w:tc>
      </w:tr>
      <w:tr>
        <w:tc>
          <w:tcPr>
            <w:tcW w:type="dxa" w:w="2351"/>
            <w:shd w:val="clear" w:color="auto" w:fill="FFFFFF"/>
          </w:tcPr>
          <w:p>
            <w:r>
              <w:rPr>
                <w:sz w:val="18"/>
              </w:rPr>
              <w:t>Investment (3–5y)</w:t>
            </w:r>
          </w:p>
        </w:tc>
        <w:tc>
          <w:tcPr>
            <w:tcW w:type="dxa" w:w="2351"/>
            <w:shd w:val="clear" w:color="auto" w:fill="FFFFFF"/>
          </w:tcPr>
          <w:p>
            <w:r>
              <w:rPr>
                <w:sz w:val="18"/>
              </w:rPr>
              <w:t>Integrated garment park (institutional + regional export)</w:t>
            </w:r>
          </w:p>
        </w:tc>
        <w:tc>
          <w:tcPr>
            <w:tcW w:type="dxa" w:w="2351"/>
            <w:shd w:val="clear" w:color="auto" w:fill="FFFFFF"/>
          </w:tcPr>
          <w:p>
            <w:r>
              <w:rPr>
                <w:sz w:val="18"/>
              </w:rPr>
              <w:t>Private-led / PPP</w:t>
            </w:r>
          </w:p>
        </w:tc>
        <w:tc>
          <w:tcPr>
            <w:tcW w:type="dxa" w:w="2351"/>
            <w:shd w:val="clear" w:color="auto" w:fill="FFFFFF"/>
          </w:tcPr>
          <w:p>
            <w:r>
              <w:rPr>
                <w:sz w:val="18"/>
              </w:rPr>
              <w:t>Indicative (see Ch.11)</w:t>
            </w:r>
          </w:p>
        </w:tc>
      </w:tr>
    </w:tbl>
    <w:p/>
    <w:p>
      <w:pPr>
        <w:pStyle w:val="Heading2"/>
      </w:pPr>
      <w:r>
        <w:t>References</w:t>
      </w:r>
    </w:p>
    <w:p>
      <w:pPr>
        <w:pStyle w:val="ListBullet"/>
      </w:pPr>
      <w:r>
        <w:t>Cotton Development Organisation. https://www.cdouga.org/ ; World Business Journal, "CDO Leads Way for Increased Cotton Subsector Growth." https://worldbusinessjournal.com/cdo-leads-way/</w:t>
      </w:r>
    </w:p>
    <w:p>
      <w:pPr>
        <w:pStyle w:val="ListBullet"/>
      </w:pPr>
      <w:r>
        <w:t xml:space="preserve">Economic Policy Research Centre, </w:t>
      </w:r>
      <w:r>
        <w:rPr>
          <w:i/>
        </w:rPr>
        <w:t>Upgrading the cotton value chain for textile industry development</w:t>
      </w:r>
      <w:r>
        <w:t>. https://eprcug.org/publication/upgrading-the-cotton-value-chain-for-textile-industry-development/</w:t>
      </w:r>
    </w:p>
    <w:p>
      <w:pPr>
        <w:pStyle w:val="ListBullet"/>
      </w:pPr>
      <w:r>
        <w:t>ChimpReports, "Inside Fine Spinners: spinning Uganda's cotton to European garment stores." https://chimpreports.com/inside-fine-spinners-spinning-ugandas-cotton-to-european-garment-stores/</w:t>
      </w:r>
    </w:p>
    <w:p>
      <w:pPr>
        <w:pStyle w:val="ListBullet"/>
      </w:pPr>
      <w:r>
        <w:t>Uganda Investment Authority, "UIA, CDO team up to boost import substitution in cotton sector." https://www.ugandainvest.go.ug/uia-cdo-team-up-to-boost-import-substitution-in-cotton-sector/</w:t>
      </w:r>
    </w:p>
    <w:p>
      <w:pPr>
        <w:pStyle w:val="ListBullet"/>
      </w:pPr>
      <w:r>
        <w:t>ITC TradeMap, trade statistics — HS 5201, 6109, Uganda, 2024. https://www.trademap.org</w:t>
      </w:r>
    </w:p>
    <w:p>
      <w:pPr>
        <w:pStyle w:val="ListBullet"/>
      </w:pPr>
      <w:r>
        <w:t xml:space="preserve">NEMA, </w:t>
      </w:r>
      <w:r>
        <w:rPr>
          <w:i/>
        </w:rPr>
        <w:t>Effluent Discharge Regulations 2020</w:t>
      </w:r>
      <w:r>
        <w:t>. https://www.nema.go.ug/</w:t>
      </w:r>
    </w:p>
    <w:p>
      <w:r>
        <w:br w:type="page"/>
      </w:r>
    </w:p>
    <w:p>
      <w:pPr>
        <w:pStyle w:val="Heading1"/>
      </w:pPr>
      <w:r>
        <w:t>Chapter 5: Pharmaceuticals Value Chain</w:t>
      </w:r>
    </w:p>
    <w:p>
      <w:r>
        <w:rPr>
          <w:b/>
        </w:rPr>
        <w:t>Report:</w:t>
      </w:r>
      <w:r>
        <w:t xml:space="preserve"> Report 2</w:t>
      </w:r>
    </w:p>
    <w:p>
      <w:r>
        <w:rPr>
          <w:b/>
        </w:rPr>
        <w:t>Status:</w:t>
      </w:r>
      <w:r>
        <w:t xml:space="preserve"> Draft for validation</w:t>
      </w:r>
    </w:p>
    <w:p>
      <w:r>
        <w:rPr>
          <w:b/>
        </w:rPr>
        <w:t>Primary sources:</w:t>
      </w:r>
      <w:r>
        <w:t xml:space="preserve"> National Drug Authority (NDA); UNIDO </w:t>
      </w:r>
      <w:r>
        <w:rPr>
          <w:i/>
        </w:rPr>
        <w:t>Pharmaceutical Sector Profile — Uganda</w:t>
      </w:r>
      <w:r>
        <w:t>; Statista; ITC TradeMap (2024).</w:t>
      </w:r>
    </w:p>
    <w:p>
      <w:pPr>
        <w:pStyle w:val="Heading2"/>
      </w:pPr>
      <w:r>
        <w:t>5.A Value Chain Map</w:t>
      </w:r>
    </w:p>
    <w:p>
      <w:r>
        <w:t xml:space="preserve">The pharmaceuticals chain runs from active pharmaceutical ingredients (APIs) and excipients through formulation/manufacturing to packaging, distribution, and dispensing. Uganda participates mainly at the </w:t>
      </w:r>
      <w:r>
        <w:rPr>
          <w:b/>
        </w:rPr>
        <w:t>formulation and packaging</w:t>
      </w:r>
      <w:r>
        <w:t xml:space="preserve"> stage, importing nearly all APIs, and imports the large majority of finished medicines.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Phase</w:t>
            </w:r>
          </w:p>
        </w:tc>
        <w:tc>
          <w:tcPr>
            <w:tcW w:type="dxa" w:w="2351"/>
            <w:shd w:val="clear" w:color="auto" w:fill="002B5B"/>
          </w:tcPr>
          <w:p>
            <w:r>
              <w:rPr>
                <w:b/>
                <w:color w:val="FFFFFF"/>
                <w:sz w:val="18"/>
              </w:rPr>
              <w:t>Activity</w:t>
            </w:r>
          </w:p>
        </w:tc>
        <w:tc>
          <w:tcPr>
            <w:tcW w:type="dxa" w:w="2351"/>
            <w:shd w:val="clear" w:color="auto" w:fill="002B5B"/>
          </w:tcPr>
          <w:p>
            <w:r>
              <w:rPr>
                <w:b/>
                <w:color w:val="FFFFFF"/>
                <w:sz w:val="18"/>
              </w:rPr>
              <w:t>Main inputs</w:t>
            </w:r>
          </w:p>
        </w:tc>
        <w:tc>
          <w:tcPr>
            <w:tcW w:type="dxa" w:w="2351"/>
            <w:shd w:val="clear" w:color="auto" w:fill="002B5B"/>
          </w:tcPr>
          <w:p>
            <w:r>
              <w:rPr>
                <w:b/>
                <w:color w:val="FFFFFF"/>
                <w:sz w:val="18"/>
              </w:rPr>
              <w:t>Output</w:t>
            </w:r>
          </w:p>
        </w:tc>
      </w:tr>
      <w:tr>
        <w:tc>
          <w:tcPr>
            <w:tcW w:type="dxa" w:w="2351"/>
            <w:shd w:val="clear" w:color="auto" w:fill="EEF3F9"/>
          </w:tcPr>
          <w:p>
            <w:r>
              <w:rPr>
                <w:sz w:val="18"/>
              </w:rPr>
              <w:t>I</w:t>
            </w:r>
          </w:p>
        </w:tc>
        <w:tc>
          <w:tcPr>
            <w:tcW w:type="dxa" w:w="2351"/>
            <w:shd w:val="clear" w:color="auto" w:fill="EEF3F9"/>
          </w:tcPr>
          <w:p>
            <w:r>
              <w:rPr>
                <w:sz w:val="18"/>
              </w:rPr>
              <w:t>API &amp; excipient supply</w:t>
            </w:r>
          </w:p>
        </w:tc>
        <w:tc>
          <w:tcPr>
            <w:tcW w:type="dxa" w:w="2351"/>
            <w:shd w:val="clear" w:color="auto" w:fill="EEF3F9"/>
          </w:tcPr>
          <w:p>
            <w:r>
              <w:rPr>
                <w:sz w:val="18"/>
              </w:rPr>
              <w:t>Chemicals</w:t>
            </w:r>
          </w:p>
        </w:tc>
        <w:tc>
          <w:tcPr>
            <w:tcW w:type="dxa" w:w="2351"/>
            <w:shd w:val="clear" w:color="auto" w:fill="EEF3F9"/>
          </w:tcPr>
          <w:p>
            <w:r>
              <w:rPr>
                <w:sz w:val="18"/>
              </w:rPr>
              <w:t>APIs, excipients (almost all imported)</w:t>
            </w:r>
          </w:p>
        </w:tc>
      </w:tr>
      <w:tr>
        <w:tc>
          <w:tcPr>
            <w:tcW w:type="dxa" w:w="2351"/>
            <w:shd w:val="clear" w:color="auto" w:fill="FFFFFF"/>
          </w:tcPr>
          <w:p>
            <w:r>
              <w:rPr>
                <w:sz w:val="18"/>
              </w:rPr>
              <w:t>II</w:t>
            </w:r>
          </w:p>
        </w:tc>
        <w:tc>
          <w:tcPr>
            <w:tcW w:type="dxa" w:w="2351"/>
            <w:shd w:val="clear" w:color="auto" w:fill="FFFFFF"/>
          </w:tcPr>
          <w:p>
            <w:r>
              <w:rPr>
                <w:sz w:val="18"/>
              </w:rPr>
              <w:t>Formulation / manufacturing</w:t>
            </w:r>
          </w:p>
        </w:tc>
        <w:tc>
          <w:tcPr>
            <w:tcW w:type="dxa" w:w="2351"/>
            <w:shd w:val="clear" w:color="auto" w:fill="FFFFFF"/>
          </w:tcPr>
          <w:p>
            <w:r>
              <w:rPr>
                <w:sz w:val="18"/>
              </w:rPr>
              <w:t>APIs, excipients</w:t>
            </w:r>
          </w:p>
        </w:tc>
        <w:tc>
          <w:tcPr>
            <w:tcW w:type="dxa" w:w="2351"/>
            <w:shd w:val="clear" w:color="auto" w:fill="FFFFFF"/>
          </w:tcPr>
          <w:p>
            <w:r>
              <w:rPr>
                <w:sz w:val="18"/>
              </w:rPr>
              <w:t>Tablets, capsules, syrups, injectables</w:t>
            </w:r>
          </w:p>
        </w:tc>
      </w:tr>
      <w:tr>
        <w:tc>
          <w:tcPr>
            <w:tcW w:type="dxa" w:w="2351"/>
            <w:shd w:val="clear" w:color="auto" w:fill="EEF3F9"/>
          </w:tcPr>
          <w:p>
            <w:r>
              <w:rPr>
                <w:sz w:val="18"/>
              </w:rPr>
              <w:t>III</w:t>
            </w:r>
          </w:p>
        </w:tc>
        <w:tc>
          <w:tcPr>
            <w:tcW w:type="dxa" w:w="2351"/>
            <w:shd w:val="clear" w:color="auto" w:fill="EEF3F9"/>
          </w:tcPr>
          <w:p>
            <w:r>
              <w:rPr>
                <w:sz w:val="18"/>
              </w:rPr>
              <w:t>Packaging</w:t>
            </w:r>
          </w:p>
        </w:tc>
        <w:tc>
          <w:tcPr>
            <w:tcW w:type="dxa" w:w="2351"/>
            <w:shd w:val="clear" w:color="auto" w:fill="EEF3F9"/>
          </w:tcPr>
          <w:p>
            <w:r>
              <w:rPr>
                <w:sz w:val="18"/>
              </w:rPr>
              <w:t>Bulk product</w:t>
            </w:r>
          </w:p>
        </w:tc>
        <w:tc>
          <w:tcPr>
            <w:tcW w:type="dxa" w:w="2351"/>
            <w:shd w:val="clear" w:color="auto" w:fill="EEF3F9"/>
          </w:tcPr>
          <w:p>
            <w:r>
              <w:rPr>
                <w:sz w:val="18"/>
              </w:rPr>
              <w:t>Packaged medicines</w:t>
            </w:r>
          </w:p>
        </w:tc>
      </w:tr>
      <w:tr>
        <w:tc>
          <w:tcPr>
            <w:tcW w:type="dxa" w:w="2351"/>
            <w:shd w:val="clear" w:color="auto" w:fill="FFFFFF"/>
          </w:tcPr>
          <w:p>
            <w:r>
              <w:rPr>
                <w:sz w:val="18"/>
              </w:rPr>
              <w:t>IV</w:t>
            </w:r>
          </w:p>
        </w:tc>
        <w:tc>
          <w:tcPr>
            <w:tcW w:type="dxa" w:w="2351"/>
            <w:shd w:val="clear" w:color="auto" w:fill="FFFFFF"/>
          </w:tcPr>
          <w:p>
            <w:r>
              <w:rPr>
                <w:sz w:val="18"/>
              </w:rPr>
              <w:t>Distribution</w:t>
            </w:r>
          </w:p>
        </w:tc>
        <w:tc>
          <w:tcPr>
            <w:tcW w:type="dxa" w:w="2351"/>
            <w:shd w:val="clear" w:color="auto" w:fill="FFFFFF"/>
          </w:tcPr>
          <w:p>
            <w:r>
              <w:rPr>
                <w:sz w:val="18"/>
              </w:rPr>
              <w:t>Medicines</w:t>
            </w:r>
          </w:p>
        </w:tc>
        <w:tc>
          <w:tcPr>
            <w:tcW w:type="dxa" w:w="2351"/>
            <w:shd w:val="clear" w:color="auto" w:fill="FFFFFF"/>
          </w:tcPr>
          <w:p>
            <w:r>
              <w:rPr>
                <w:sz w:val="18"/>
              </w:rPr>
              <w:t>Wholesale/NMS/JMS supply</w:t>
            </w:r>
          </w:p>
        </w:tc>
      </w:tr>
      <w:tr>
        <w:tc>
          <w:tcPr>
            <w:tcW w:type="dxa" w:w="2351"/>
            <w:shd w:val="clear" w:color="auto" w:fill="EEF3F9"/>
          </w:tcPr>
          <w:p>
            <w:r>
              <w:rPr>
                <w:sz w:val="18"/>
              </w:rPr>
              <w:t>V</w:t>
            </w:r>
          </w:p>
        </w:tc>
        <w:tc>
          <w:tcPr>
            <w:tcW w:type="dxa" w:w="2351"/>
            <w:shd w:val="clear" w:color="auto" w:fill="EEF3F9"/>
          </w:tcPr>
          <w:p>
            <w:r>
              <w:rPr>
                <w:sz w:val="18"/>
              </w:rPr>
              <w:t>Dispensing</w:t>
            </w:r>
          </w:p>
        </w:tc>
        <w:tc>
          <w:tcPr>
            <w:tcW w:type="dxa" w:w="2351"/>
            <w:shd w:val="clear" w:color="auto" w:fill="EEF3F9"/>
          </w:tcPr>
          <w:p>
            <w:r>
              <w:rPr>
                <w:sz w:val="18"/>
              </w:rPr>
              <w:t>Medicines</w:t>
            </w:r>
          </w:p>
        </w:tc>
        <w:tc>
          <w:tcPr>
            <w:tcW w:type="dxa" w:w="2351"/>
            <w:shd w:val="clear" w:color="auto" w:fill="EEF3F9"/>
          </w:tcPr>
          <w:p>
            <w:r>
              <w:rPr>
                <w:sz w:val="18"/>
              </w:rPr>
              <w:t>Pharmacies, hospitals, patients</w:t>
            </w:r>
          </w:p>
        </w:tc>
      </w:tr>
    </w:tbl>
    <w:p/>
    <w:p>
      <w:r>
        <w:rPr>
          <w:b/>
        </w:rPr>
        <w:t>Where value is captured and lost.</w:t>
      </w:r>
      <w:r>
        <w:t xml:space="preserve"> Uganda imports roughly </w:t>
      </w:r>
      <w:r>
        <w:rPr>
          <w:b/>
        </w:rPr>
        <w:t>90% of its medicines</w:t>
      </w:r>
      <w:r>
        <w:t xml:space="preserve"> (down from 96% in 2016), with the medical and pharmaceutical import bill at about </w:t>
      </w:r>
      <w:r>
        <w:rPr>
          <w:b/>
        </w:rPr>
        <w:t>USD 534 million in 2023</w:t>
      </w:r>
      <w:r>
        <w:t xml:space="preserve"> and medicaments (HS 3004) imports of </w:t>
      </w:r>
      <w:r>
        <w:rPr>
          <w:b/>
        </w:rPr>
        <w:t>USD 263.4 million in 2024</w:t>
      </w:r>
      <w:r>
        <w:t xml:space="preserve"> (ITC TradeMap; sector data). The domestic market is around USD 221 million (2023). Local manufacturing adds value at the formulation/packaging stage but depends entirely on imported APIs.</w:t>
      </w:r>
    </w:p>
    <w:p>
      <w:pPr>
        <w:pStyle w:val="Heading2"/>
      </w:pPr>
      <w:r>
        <w:t>5.B Current State Assessment</w:t>
      </w:r>
    </w:p>
    <w:p>
      <w:r>
        <w:rPr>
          <w:b/>
        </w:rPr>
        <w:t>Market and import dependence.</w:t>
      </w:r>
      <w:r>
        <w:t xml:space="preserve"> Uganda's pharmaceutical market is estimated at ~</w:t>
      </w:r>
      <w:r>
        <w:rPr>
          <w:b/>
        </w:rPr>
        <w:t>USD 221 million (2023)</w:t>
      </w:r>
      <w:r>
        <w:t xml:space="preserve">, growing ~9.4%/year, with </w:t>
      </w:r>
      <w:r>
        <w:rPr>
          <w:b/>
        </w:rPr>
        <w:t>~90% of medicines imported</w:t>
      </w:r>
      <w:r>
        <w:t xml:space="preserve"> (Statista; sector analyses). The improvement from 96% (2016) to ~90% reflects deliberate local-production support.</w:t>
      </w:r>
    </w:p>
    <w:p>
      <w:r>
        <w:rPr>
          <w:b/>
        </w:rPr>
        <w:t>Local manufacturing base.</w:t>
      </w:r>
      <w:r>
        <w:t xml:space="preserve"> Uganda has </w:t>
      </w:r>
      <w:r>
        <w:rPr>
          <w:b/>
        </w:rPr>
        <w:t>six WHO-GMP-aligned manufacturing facilities / local manufacturers</w:t>
      </w:r>
      <w:r>
        <w:t xml:space="preserve"> producing NDA-registered drugs (NDA; UNIDO). The flagship is </w:t>
      </w:r>
      <w:r>
        <w:rPr>
          <w:b/>
        </w:rPr>
        <w:t>Cipla Quality Chemical Industries Ltd (QCIL)</w:t>
      </w:r>
      <w:r>
        <w:t xml:space="preserve"> — established 2005, with capacity of about </w:t>
      </w:r>
      <w:r>
        <w:rPr>
          <w:b/>
        </w:rPr>
        <w:t>1.2 billion tablets/capsules per year</w:t>
      </w:r>
      <w:r>
        <w:t xml:space="preserve">, producing antiretrovirals (ARVs), antimalarials, and a growing non-communicable-disease portfolio, exporting across African markets; FY24/25 revenue was about UGX 267 billion (QCIL; Cipla). Other significant manufacturers include </w:t>
      </w:r>
      <w:r>
        <w:rPr>
          <w:b/>
        </w:rPr>
        <w:t>Kampala Pharmaceutical Industries (KPI), Rene Industries, and Abacus Pharma</w:t>
      </w:r>
      <w:r>
        <w:t>. Local pharmaceutical employment rose ~42% between 2017 and 2019 (UNIDO sector data).</w:t>
      </w:r>
    </w:p>
    <w:p>
      <w:r>
        <w:rPr>
          <w:b/>
        </w:rPr>
        <w:t>Regulation.</w:t>
      </w:r>
      <w:r>
        <w:t xml:space="preserve"> The </w:t>
      </w:r>
      <w:r>
        <w:rPr>
          <w:b/>
        </w:rPr>
        <w:t>National Drug Authority (NDA)</w:t>
      </w:r>
      <w:r>
        <w:t xml:space="preserve"> regulates registration, importation, manufacturing standards, and pharmacovigilance; the </w:t>
      </w:r>
      <w:r>
        <w:rPr>
          <w:b/>
        </w:rPr>
        <w:t>National Drug Register (June 2024)</w:t>
      </w:r>
      <w:r>
        <w:t xml:space="preserve"> is the manufacturer/product reference.</w:t>
      </w:r>
    </w:p>
    <w:p>
      <w:r>
        <w:rPr>
          <w:b/>
        </w:rPr>
        <w:t>Trade position (ITC TradeMap, 2024).</w:t>
      </w:r>
      <w:r>
        <w:t xml:space="preserve"> Medicaments (HS 3004) imports USD 263.4m — the dominant line — sourced widely (India, Kenya, Europe). Exports exist (QCIL serves regional markets) but are small relative to imports.</w:t>
      </w:r>
    </w:p>
    <w:p>
      <w:pPr>
        <w:pStyle w:val="Heading2"/>
      </w:pPr>
      <w:r>
        <w:t>5.C Binding Constraints Analysis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Dimension</w:t>
            </w:r>
          </w:p>
        </w:tc>
        <w:tc>
          <w:tcPr>
            <w:tcW w:type="dxa" w:w="4703"/>
            <w:shd w:val="clear" w:color="auto" w:fill="002B5B"/>
          </w:tcPr>
          <w:p>
            <w:r>
              <w:rPr>
                <w:b/>
                <w:color w:val="FFFFFF"/>
                <w:sz w:val="18"/>
              </w:rPr>
              <w:t>Assessment</w:t>
            </w:r>
          </w:p>
        </w:tc>
      </w:tr>
      <w:tr>
        <w:tc>
          <w:tcPr>
            <w:tcW w:type="dxa" w:w="4703"/>
            <w:shd w:val="clear" w:color="auto" w:fill="EEF3F9"/>
          </w:tcPr>
          <w:p>
            <w:r>
              <w:rPr>
                <w:b/>
                <w:sz w:val="18"/>
              </w:rPr>
              <w:t>Inputs / raw materials</w:t>
            </w:r>
          </w:p>
        </w:tc>
        <w:tc>
          <w:tcPr>
            <w:tcW w:type="dxa" w:w="4703"/>
            <w:shd w:val="clear" w:color="auto" w:fill="EEF3F9"/>
          </w:tcPr>
          <w:p>
            <w:r>
              <w:rPr>
                <w:sz w:val="18"/>
              </w:rPr>
              <w:t>Near-total dependence on imported APIs and excipients — the deepest structural constraint and a supply-security risk.</w:t>
            </w:r>
          </w:p>
        </w:tc>
      </w:tr>
      <w:tr>
        <w:tc>
          <w:tcPr>
            <w:tcW w:type="dxa" w:w="4703"/>
            <w:shd w:val="clear" w:color="auto" w:fill="FFFFFF"/>
          </w:tcPr>
          <w:p>
            <w:r>
              <w:rPr>
                <w:b/>
                <w:sz w:val="18"/>
              </w:rPr>
              <w:t>Technology &amp; productivity</w:t>
            </w:r>
          </w:p>
        </w:tc>
        <w:tc>
          <w:tcPr>
            <w:tcW w:type="dxa" w:w="4703"/>
            <w:shd w:val="clear" w:color="auto" w:fill="FFFFFF"/>
          </w:tcPr>
          <w:p>
            <w:r>
              <w:rPr>
                <w:sz w:val="18"/>
              </w:rPr>
              <w:t>WHO-GMP capability exists (QCIL) but is concentrated; broader industry needs technology and quality-systems upgrading.</w:t>
            </w:r>
          </w:p>
        </w:tc>
      </w:tr>
      <w:tr>
        <w:tc>
          <w:tcPr>
            <w:tcW w:type="dxa" w:w="4703"/>
            <w:shd w:val="clear" w:color="auto" w:fill="EEF3F9"/>
          </w:tcPr>
          <w:p>
            <w:r>
              <w:rPr>
                <w:b/>
                <w:sz w:val="18"/>
              </w:rPr>
              <w:t>Energy</w:t>
            </w:r>
          </w:p>
        </w:tc>
        <w:tc>
          <w:tcPr>
            <w:tcW w:type="dxa" w:w="4703"/>
            <w:shd w:val="clear" w:color="auto" w:fill="EEF3F9"/>
          </w:tcPr>
          <w:p>
            <w:r>
              <w:rPr>
                <w:sz w:val="18"/>
              </w:rPr>
              <w:t>Reliable power and clean utilities essential for GMP; backup adds cost.</w:t>
            </w:r>
          </w:p>
        </w:tc>
      </w:tr>
      <w:tr>
        <w:tc>
          <w:tcPr>
            <w:tcW w:type="dxa" w:w="4703"/>
            <w:shd w:val="clear" w:color="auto" w:fill="FFFFFF"/>
          </w:tcPr>
          <w:p>
            <w:r>
              <w:rPr>
                <w:b/>
                <w:sz w:val="18"/>
              </w:rPr>
              <w:t>Water</w:t>
            </w:r>
          </w:p>
        </w:tc>
        <w:tc>
          <w:tcPr>
            <w:tcW w:type="dxa" w:w="4703"/>
            <w:shd w:val="clear" w:color="auto" w:fill="FFFFFF"/>
          </w:tcPr>
          <w:p>
            <w:r>
              <w:rPr>
                <w:sz w:val="18"/>
              </w:rPr>
              <w:t>Pharmaceutical-grade water systems required; a capital and compliance item.</w:t>
            </w:r>
          </w:p>
        </w:tc>
      </w:tr>
      <w:tr>
        <w:tc>
          <w:tcPr>
            <w:tcW w:type="dxa" w:w="4703"/>
            <w:shd w:val="clear" w:color="auto" w:fill="EEF3F9"/>
          </w:tcPr>
          <w:p>
            <w:r>
              <w:rPr>
                <w:b/>
                <w:sz w:val="18"/>
              </w:rPr>
              <w:t>Logistics</w:t>
            </w:r>
          </w:p>
        </w:tc>
        <w:tc>
          <w:tcPr>
            <w:tcW w:type="dxa" w:w="4703"/>
            <w:shd w:val="clear" w:color="auto" w:fill="EEF3F9"/>
          </w:tcPr>
          <w:p>
            <w:r>
              <w:rPr>
                <w:sz w:val="18"/>
              </w:rPr>
              <w:t>Cold-chain and reliable distribution needed; landlocked import costs raise API costs.</w:t>
            </w:r>
          </w:p>
        </w:tc>
      </w:tr>
      <w:tr>
        <w:tc>
          <w:tcPr>
            <w:tcW w:type="dxa" w:w="4703"/>
            <w:shd w:val="clear" w:color="auto" w:fill="FFFFFF"/>
          </w:tcPr>
          <w:p>
            <w:r>
              <w:rPr>
                <w:b/>
                <w:sz w:val="18"/>
              </w:rPr>
              <w:t>Waste &amp; effluent</w:t>
            </w:r>
          </w:p>
        </w:tc>
        <w:tc>
          <w:tcPr>
            <w:tcW w:type="dxa" w:w="4703"/>
            <w:shd w:val="clear" w:color="auto" w:fill="FFFFFF"/>
          </w:tcPr>
          <w:p>
            <w:r>
              <w:rPr>
                <w:sz w:val="18"/>
              </w:rPr>
              <w:t>Pharmaceutical waste regulated (NEMA/NDA); incineration and effluent handling required.</w:t>
            </w:r>
          </w:p>
        </w:tc>
      </w:tr>
      <w:tr>
        <w:tc>
          <w:tcPr>
            <w:tcW w:type="dxa" w:w="4703"/>
            <w:shd w:val="clear" w:color="auto" w:fill="EEF3F9"/>
          </w:tcPr>
          <w:p>
            <w:r>
              <w:rPr>
                <w:b/>
                <w:sz w:val="18"/>
              </w:rPr>
              <w:t>Finance &amp; investment</w:t>
            </w:r>
          </w:p>
        </w:tc>
        <w:tc>
          <w:tcPr>
            <w:tcW w:type="dxa" w:w="4703"/>
            <w:shd w:val="clear" w:color="auto" w:fill="EEF3F9"/>
          </w:tcPr>
          <w:p>
            <w:r>
              <w:rPr>
                <w:sz w:val="18"/>
              </w:rPr>
              <w:t>GMP plants are capital-intensive with long regulatory lead times; patient capital scarce.</w:t>
            </w:r>
          </w:p>
        </w:tc>
      </w:tr>
      <w:tr>
        <w:tc>
          <w:tcPr>
            <w:tcW w:type="dxa" w:w="4703"/>
            <w:shd w:val="clear" w:color="auto" w:fill="FFFFFF"/>
          </w:tcPr>
          <w:p>
            <w:r>
              <w:rPr>
                <w:b/>
                <w:sz w:val="18"/>
              </w:rPr>
              <w:t>Skills &amp; workforce</w:t>
            </w:r>
          </w:p>
        </w:tc>
        <w:tc>
          <w:tcPr>
            <w:tcW w:type="dxa" w:w="4703"/>
            <w:shd w:val="clear" w:color="auto" w:fill="FFFFFF"/>
          </w:tcPr>
          <w:p>
            <w:r>
              <w:rPr>
                <w:sz w:val="18"/>
              </w:rPr>
              <w:t>Pharmacists, QA/QC, and regulatory-affairs specialists in short supply.</w:t>
            </w:r>
          </w:p>
        </w:tc>
      </w:tr>
      <w:tr>
        <w:tc>
          <w:tcPr>
            <w:tcW w:type="dxa" w:w="4703"/>
            <w:shd w:val="clear" w:color="auto" w:fill="EEF3F9"/>
          </w:tcPr>
          <w:p>
            <w:r>
              <w:rPr>
                <w:b/>
                <w:sz w:val="18"/>
              </w:rPr>
              <w:t>Standards &amp; quality</w:t>
            </w:r>
          </w:p>
        </w:tc>
        <w:tc>
          <w:tcPr>
            <w:tcW w:type="dxa" w:w="4703"/>
            <w:shd w:val="clear" w:color="auto" w:fill="EEF3F9"/>
          </w:tcPr>
          <w:p>
            <w:r>
              <w:rPr>
                <w:sz w:val="18"/>
              </w:rPr>
              <w:t>WHO-GMP and NDA registration are the gatekeepers; meeting them is the core competitiveness challenge — and Uganda's proven strength via QCIL.</w:t>
            </w:r>
          </w:p>
        </w:tc>
      </w:tr>
      <w:tr>
        <w:tc>
          <w:tcPr>
            <w:tcW w:type="dxa" w:w="4703"/>
            <w:shd w:val="clear" w:color="auto" w:fill="FFFFFF"/>
          </w:tcPr>
          <w:p>
            <w:r>
              <w:rPr>
                <w:b/>
                <w:sz w:val="18"/>
              </w:rPr>
              <w:t>Policy &amp; regulatory</w:t>
            </w:r>
          </w:p>
        </w:tc>
        <w:tc>
          <w:tcPr>
            <w:tcW w:type="dxa" w:w="4703"/>
            <w:shd w:val="clear" w:color="auto" w:fill="FFFFFF"/>
          </w:tcPr>
          <w:p>
            <w:r>
              <w:rPr>
                <w:sz w:val="18"/>
              </w:rPr>
              <w:t>NDA verification fees, preferential public procurement for local manufacturers, and EAC harmonization shape the local-production trajectory.</w:t>
            </w:r>
          </w:p>
        </w:tc>
      </w:tr>
    </w:tbl>
    <w:p/>
    <w:p>
      <w:pPr>
        <w:pStyle w:val="Heading2"/>
      </w:pPr>
      <w:r>
        <w:t>5.D Market Assessment</w:t>
      </w:r>
    </w:p>
    <w:p>
      <w:r>
        <w:rPr>
          <w:b/>
        </w:rPr>
        <w:t>Domestic.</w:t>
      </w:r>
      <w:r>
        <w:t xml:space="preserve"> A ~USD 221m market growing ~9.4%/year, dominated by imports — a large substitution opportunity, anchored by guaranteed public demand (National Medical Stores, Joint Medical Store).</w:t>
      </w:r>
    </w:p>
    <w:p>
      <w:r>
        <w:rPr>
          <w:b/>
        </w:rPr>
        <w:t>Regional (EAC/COMESA).</w:t>
      </w:r>
      <w:r>
        <w:t xml:space="preserve"> QCIL already exports ARVs and antimalarials across African markets and holds approvals in many countries — proof that Uganda can compete regionally in selected GMP products. Donor-funded disease programmes (HIV, malaria, TB) are a structured regional market.</w:t>
      </w:r>
    </w:p>
    <w:p>
      <w:r>
        <w:rPr>
          <w:b/>
        </w:rPr>
        <w:t>Global.</w:t>
      </w:r>
      <w:r>
        <w:t xml:space="preserve"> WHO-prequalification opens global donor procurement for specific products (as QCIL has demonstrated); this is the realistic global niche — </w:t>
      </w:r>
      <w:r>
        <w:rPr>
          <w:b/>
        </w:rPr>
        <w:t>prequalified essential medicines</w:t>
      </w:r>
      <w:r>
        <w:t>, not broad-spectrum manufacture.</w:t>
      </w:r>
    </w:p>
    <w:p>
      <w:r>
        <w:rPr>
          <w:b/>
        </w:rPr>
        <w:t>Accessible market conclusion.</w:t>
      </w:r>
      <w:r>
        <w:t xml:space="preserve"> Prioritize </w:t>
      </w:r>
      <w:r>
        <w:rPr>
          <w:b/>
        </w:rPr>
        <w:t>essential generics for domestic + donor/regional markets</w:t>
      </w:r>
      <w:r>
        <w:t xml:space="preserve"> (ARVs, antimalarials, anti-TB, key NCD drugs), backed by guaranteed public procurement.</w:t>
      </w:r>
    </w:p>
    <w:p>
      <w:pPr>
        <w:pStyle w:val="Heading2"/>
      </w:pPr>
      <w:r>
        <w:t>5.E Prioritized Products</w:t>
      </w:r>
    </w:p>
    <w:tbl>
      <w:tblPr>
        <w:tblStyle w:val="TableGrid"/>
        <w:tblW w:type="auto" w:w="0"/>
        <w:jc w:val="left"/>
        <w:tblLook w:firstColumn="1" w:firstRow="1" w:lastColumn="0" w:lastRow="0" w:noHBand="0" w:noVBand="1" w:val="04A0"/>
      </w:tblPr>
      <w:tblGrid>
        <w:gridCol w:w="1344"/>
        <w:gridCol w:w="1344"/>
        <w:gridCol w:w="1344"/>
        <w:gridCol w:w="1344"/>
        <w:gridCol w:w="1344"/>
        <w:gridCol w:w="1344"/>
        <w:gridCol w:w="1344"/>
      </w:tblGrid>
      <w:tr>
        <w:tc>
          <w:tcPr>
            <w:tcW w:type="dxa" w:w="1344"/>
            <w:shd w:val="clear" w:color="auto" w:fill="002B5B"/>
          </w:tcPr>
          <w:p>
            <w:r>
              <w:rPr>
                <w:b/>
                <w:color w:val="FFFFFF"/>
                <w:sz w:val="18"/>
              </w:rPr>
              <w:t>Product / sub-sector</w:t>
            </w:r>
          </w:p>
        </w:tc>
        <w:tc>
          <w:tcPr>
            <w:tcW w:type="dxa" w:w="1344"/>
            <w:shd w:val="clear" w:color="auto" w:fill="002B5B"/>
          </w:tcPr>
          <w:p>
            <w:r>
              <w:rPr>
                <w:b/>
                <w:color w:val="FFFFFF"/>
                <w:sz w:val="18"/>
              </w:rPr>
              <w:t>Market</w:t>
            </w:r>
          </w:p>
        </w:tc>
        <w:tc>
          <w:tcPr>
            <w:tcW w:type="dxa" w:w="1344"/>
            <w:shd w:val="clear" w:color="auto" w:fill="002B5B"/>
          </w:tcPr>
          <w:p>
            <w:r>
              <w:rPr>
                <w:b/>
                <w:color w:val="FFFFFF"/>
                <w:sz w:val="18"/>
              </w:rPr>
              <w:t>Comp. adv.</w:t>
            </w:r>
          </w:p>
        </w:tc>
        <w:tc>
          <w:tcPr>
            <w:tcW w:type="dxa" w:w="1344"/>
            <w:shd w:val="clear" w:color="auto" w:fill="002B5B"/>
          </w:tcPr>
          <w:p>
            <w:r>
              <w:rPr>
                <w:b/>
                <w:color w:val="FFFFFF"/>
                <w:sz w:val="18"/>
              </w:rPr>
              <w:t>Feasibility</w:t>
            </w:r>
          </w:p>
        </w:tc>
        <w:tc>
          <w:tcPr>
            <w:tcW w:type="dxa" w:w="1344"/>
            <w:shd w:val="clear" w:color="auto" w:fill="002B5B"/>
          </w:tcPr>
          <w:p>
            <w:r>
              <w:rPr>
                <w:b/>
                <w:color w:val="FFFFFF"/>
                <w:sz w:val="18"/>
              </w:rPr>
              <w:t>Jobs</w:t>
            </w:r>
          </w:p>
        </w:tc>
        <w:tc>
          <w:tcPr>
            <w:tcW w:type="dxa" w:w="1344"/>
            <w:shd w:val="clear" w:color="auto" w:fill="002B5B"/>
          </w:tcPr>
          <w:p>
            <w:r>
              <w:rPr>
                <w:b/>
                <w:color w:val="FFFFFF"/>
                <w:sz w:val="18"/>
              </w:rPr>
              <w:t>Import subst.</w:t>
            </w:r>
          </w:p>
        </w:tc>
        <w:tc>
          <w:tcPr>
            <w:tcW w:type="dxa" w:w="1344"/>
            <w:shd w:val="clear" w:color="auto" w:fill="002B5B"/>
          </w:tcPr>
          <w:p>
            <w:r>
              <w:rPr>
                <w:b/>
                <w:color w:val="FFFFFF"/>
                <w:sz w:val="18"/>
              </w:rPr>
              <w:t>Priority</w:t>
            </w:r>
          </w:p>
        </w:tc>
      </w:tr>
      <w:tr>
        <w:tc>
          <w:tcPr>
            <w:tcW w:type="dxa" w:w="1344"/>
            <w:shd w:val="clear" w:color="auto" w:fill="EEF3F9"/>
          </w:tcPr>
          <w:p>
            <w:r>
              <w:rPr>
                <w:b/>
                <w:sz w:val="18"/>
              </w:rPr>
              <w:t>Essential generics (ARVs, antimalarials, anti-TB, NCD)</w:t>
            </w:r>
          </w:p>
        </w:tc>
        <w:tc>
          <w:tcPr>
            <w:tcW w:type="dxa" w:w="1344"/>
            <w:shd w:val="clear" w:color="auto" w:fill="EEF3F9"/>
          </w:tcPr>
          <w:p>
            <w:r>
              <w:rPr>
                <w:sz w:val="18"/>
              </w:rPr>
              <w:t>High</w:t>
            </w:r>
          </w:p>
        </w:tc>
        <w:tc>
          <w:tcPr>
            <w:tcW w:type="dxa" w:w="1344"/>
            <w:shd w:val="clear" w:color="auto" w:fill="EEF3F9"/>
          </w:tcPr>
          <w:p>
            <w:r>
              <w:rPr>
                <w:sz w:val="18"/>
              </w:rPr>
              <w:t>High (QCIL base)</w:t>
            </w:r>
          </w:p>
        </w:tc>
        <w:tc>
          <w:tcPr>
            <w:tcW w:type="dxa" w:w="1344"/>
            <w:shd w:val="clear" w:color="auto" w:fill="EEF3F9"/>
          </w:tcPr>
          <w:p>
            <w:r>
              <w:rPr>
                <w:sz w:val="18"/>
              </w:rPr>
              <w:t>Medium–High</w:t>
            </w:r>
          </w:p>
        </w:tc>
        <w:tc>
          <w:tcPr>
            <w:tcW w:type="dxa" w:w="1344"/>
            <w:shd w:val="clear" w:color="auto" w:fill="EEF3F9"/>
          </w:tcPr>
          <w:p>
            <w:r>
              <w:rPr>
                <w:sz w:val="18"/>
              </w:rPr>
              <w:t>Medium</w:t>
            </w:r>
          </w:p>
        </w:tc>
        <w:tc>
          <w:tcPr>
            <w:tcW w:type="dxa" w:w="1344"/>
            <w:shd w:val="clear" w:color="auto" w:fill="EEF3F9"/>
          </w:tcPr>
          <w:p>
            <w:r>
              <w:rPr>
                <w:sz w:val="18"/>
              </w:rPr>
              <w:t>Very high</w:t>
            </w:r>
          </w:p>
        </w:tc>
        <w:tc>
          <w:tcPr>
            <w:tcW w:type="dxa" w:w="1344"/>
            <w:shd w:val="clear" w:color="auto" w:fill="EEF3F9"/>
          </w:tcPr>
          <w:p>
            <w:r>
              <w:rPr>
                <w:b/>
                <w:sz w:val="18"/>
              </w:rPr>
              <w:t>Priority</w:t>
            </w:r>
          </w:p>
        </w:tc>
      </w:tr>
      <w:tr>
        <w:tc>
          <w:tcPr>
            <w:tcW w:type="dxa" w:w="1344"/>
            <w:shd w:val="clear" w:color="auto" w:fill="FFFFFF"/>
          </w:tcPr>
          <w:p>
            <w:r>
              <w:rPr>
                <w:b/>
                <w:sz w:val="18"/>
              </w:rPr>
              <w:t>Medical consumables &amp; basic formulations</w:t>
            </w:r>
          </w:p>
        </w:tc>
        <w:tc>
          <w:tcPr>
            <w:tcW w:type="dxa" w:w="1344"/>
            <w:shd w:val="clear" w:color="auto" w:fill="FFFFFF"/>
          </w:tcPr>
          <w:p>
            <w:r>
              <w:rPr>
                <w:sz w:val="18"/>
              </w:rPr>
              <w:t>High</w:t>
            </w:r>
          </w:p>
        </w:tc>
        <w:tc>
          <w:tcPr>
            <w:tcW w:type="dxa" w:w="1344"/>
            <w:shd w:val="clear" w:color="auto" w:fill="FFFFFF"/>
          </w:tcPr>
          <w:p>
            <w:r>
              <w:rPr>
                <w:sz w:val="18"/>
              </w:rPr>
              <w:t>Medium</w:t>
            </w:r>
          </w:p>
        </w:tc>
        <w:tc>
          <w:tcPr>
            <w:tcW w:type="dxa" w:w="1344"/>
            <w:shd w:val="clear" w:color="auto" w:fill="FFFFFF"/>
          </w:tcPr>
          <w:p>
            <w:r>
              <w:rPr>
                <w:sz w:val="18"/>
              </w:rPr>
              <w:t>High</w:t>
            </w:r>
          </w:p>
        </w:tc>
        <w:tc>
          <w:tcPr>
            <w:tcW w:type="dxa" w:w="1344"/>
            <w:shd w:val="clear" w:color="auto" w:fill="FFFFFF"/>
          </w:tcPr>
          <w:p>
            <w:r>
              <w:rPr>
                <w:sz w:val="18"/>
              </w:rPr>
              <w:t>Medium</w:t>
            </w:r>
          </w:p>
        </w:tc>
        <w:tc>
          <w:tcPr>
            <w:tcW w:type="dxa" w:w="1344"/>
            <w:shd w:val="clear" w:color="auto" w:fill="FFFFFF"/>
          </w:tcPr>
          <w:p>
            <w:r>
              <w:rPr>
                <w:sz w:val="18"/>
              </w:rPr>
              <w:t>High</w:t>
            </w:r>
          </w:p>
        </w:tc>
        <w:tc>
          <w:tcPr>
            <w:tcW w:type="dxa" w:w="1344"/>
            <w:shd w:val="clear" w:color="auto" w:fill="FFFFFF"/>
          </w:tcPr>
          <w:p>
            <w:r>
              <w:rPr>
                <w:b/>
                <w:sz w:val="18"/>
              </w:rPr>
              <w:t>Priority</w:t>
            </w:r>
          </w:p>
        </w:tc>
      </w:tr>
      <w:tr>
        <w:tc>
          <w:tcPr>
            <w:tcW w:type="dxa" w:w="1344"/>
            <w:shd w:val="clear" w:color="auto" w:fill="EEF3F9"/>
          </w:tcPr>
          <w:p>
            <w:r>
              <w:rPr>
                <w:b/>
                <w:sz w:val="18"/>
              </w:rPr>
              <w:t>Local API / excipient (selective)</w:t>
            </w:r>
          </w:p>
        </w:tc>
        <w:tc>
          <w:tcPr>
            <w:tcW w:type="dxa" w:w="1344"/>
            <w:shd w:val="clear" w:color="auto" w:fill="EEF3F9"/>
          </w:tcPr>
          <w:p>
            <w:r>
              <w:rPr>
                <w:sz w:val="18"/>
              </w:rPr>
              <w:t>Medium</w:t>
            </w:r>
          </w:p>
        </w:tc>
        <w:tc>
          <w:tcPr>
            <w:tcW w:type="dxa" w:w="1344"/>
            <w:shd w:val="clear" w:color="auto" w:fill="EEF3F9"/>
          </w:tcPr>
          <w:p>
            <w:r>
              <w:rPr>
                <w:sz w:val="18"/>
              </w:rPr>
              <w:t>Low–Med</w:t>
            </w:r>
          </w:p>
        </w:tc>
        <w:tc>
          <w:tcPr>
            <w:tcW w:type="dxa" w:w="1344"/>
            <w:shd w:val="clear" w:color="auto" w:fill="EEF3F9"/>
          </w:tcPr>
          <w:p>
            <w:r>
              <w:rPr>
                <w:sz w:val="18"/>
              </w:rPr>
              <w:t>Low–Med</w:t>
            </w:r>
          </w:p>
        </w:tc>
        <w:tc>
          <w:tcPr>
            <w:tcW w:type="dxa" w:w="1344"/>
            <w:shd w:val="clear" w:color="auto" w:fill="EEF3F9"/>
          </w:tcPr>
          <w:p>
            <w:r>
              <w:rPr>
                <w:sz w:val="18"/>
              </w:rPr>
              <w:t>Medium</w:t>
            </w:r>
          </w:p>
        </w:tc>
        <w:tc>
          <w:tcPr>
            <w:tcW w:type="dxa" w:w="1344"/>
            <w:shd w:val="clear" w:color="auto" w:fill="EEF3F9"/>
          </w:tcPr>
          <w:p>
            <w:r>
              <w:rPr>
                <w:sz w:val="18"/>
              </w:rPr>
              <w:t>High (supply security)</w:t>
            </w:r>
          </w:p>
        </w:tc>
        <w:tc>
          <w:tcPr>
            <w:tcW w:type="dxa" w:w="1344"/>
            <w:shd w:val="clear" w:color="auto" w:fill="EEF3F9"/>
          </w:tcPr>
          <w:p>
            <w:r>
              <w:rPr>
                <w:b/>
                <w:sz w:val="18"/>
              </w:rPr>
              <w:t>Priority (strategic, longer-term)</w:t>
            </w:r>
          </w:p>
        </w:tc>
      </w:tr>
      <w:tr>
        <w:tc>
          <w:tcPr>
            <w:tcW w:type="dxa" w:w="1344"/>
            <w:shd w:val="clear" w:color="auto" w:fill="FFFFFF"/>
          </w:tcPr>
          <w:p>
            <w:r>
              <w:rPr>
                <w:sz w:val="18"/>
              </w:rPr>
              <w:t>Biologics / vaccines (fill-finish)</w:t>
            </w:r>
          </w:p>
        </w:tc>
        <w:tc>
          <w:tcPr>
            <w:tcW w:type="dxa" w:w="1344"/>
            <w:shd w:val="clear" w:color="auto" w:fill="FFFFFF"/>
          </w:tcPr>
          <w:p>
            <w:r>
              <w:rPr>
                <w:sz w:val="18"/>
              </w:rPr>
              <w:t>Medium</w:t>
            </w:r>
          </w:p>
        </w:tc>
        <w:tc>
          <w:tcPr>
            <w:tcW w:type="dxa" w:w="1344"/>
            <w:shd w:val="clear" w:color="auto" w:fill="FFFFFF"/>
          </w:tcPr>
          <w:p>
            <w:r>
              <w:rPr>
                <w:sz w:val="18"/>
              </w:rPr>
              <w:t>Low–Med</w:t>
            </w:r>
          </w:p>
        </w:tc>
        <w:tc>
          <w:tcPr>
            <w:tcW w:type="dxa" w:w="1344"/>
            <w:shd w:val="clear" w:color="auto" w:fill="FFFFFF"/>
          </w:tcPr>
          <w:p>
            <w:r>
              <w:rPr>
                <w:sz w:val="18"/>
              </w:rPr>
              <w:t>Low</w:t>
            </w:r>
          </w:p>
        </w:tc>
        <w:tc>
          <w:tcPr>
            <w:tcW w:type="dxa" w:w="1344"/>
            <w:shd w:val="clear" w:color="auto" w:fill="FFFFFF"/>
          </w:tcPr>
          <w:p>
            <w:r>
              <w:rPr>
                <w:sz w:val="18"/>
              </w:rPr>
              <w:t>Medium</w:t>
            </w:r>
          </w:p>
        </w:tc>
        <w:tc>
          <w:tcPr>
            <w:tcW w:type="dxa" w:w="1344"/>
            <w:shd w:val="clear" w:color="auto" w:fill="FFFFFF"/>
          </w:tcPr>
          <w:p>
            <w:r>
              <w:rPr>
                <w:sz w:val="18"/>
              </w:rPr>
              <w:t>Medium</w:t>
            </w:r>
          </w:p>
        </w:tc>
        <w:tc>
          <w:tcPr>
            <w:tcW w:type="dxa" w:w="1344"/>
            <w:shd w:val="clear" w:color="auto" w:fill="FFFFFF"/>
          </w:tcPr>
          <w:p>
            <w:r>
              <w:rPr>
                <w:sz w:val="18"/>
              </w:rPr>
              <w:t>Conditional</w:t>
            </w:r>
          </w:p>
        </w:tc>
      </w:tr>
      <w:tr>
        <w:tc>
          <w:tcPr>
            <w:tcW w:type="dxa" w:w="1344"/>
            <w:shd w:val="clear" w:color="auto" w:fill="EEF3F9"/>
          </w:tcPr>
          <w:p>
            <w:r>
              <w:rPr>
                <w:sz w:val="18"/>
              </w:rPr>
              <w:t>Full API synthesis at scale</w:t>
            </w:r>
          </w:p>
        </w:tc>
        <w:tc>
          <w:tcPr>
            <w:tcW w:type="dxa" w:w="1344"/>
            <w:shd w:val="clear" w:color="auto" w:fill="EEF3F9"/>
          </w:tcPr>
          <w:p>
            <w:r>
              <w:rPr>
                <w:sz w:val="18"/>
              </w:rPr>
              <w:t>Low</w:t>
            </w:r>
          </w:p>
        </w:tc>
        <w:tc>
          <w:tcPr>
            <w:tcW w:type="dxa" w:w="1344"/>
            <w:shd w:val="clear" w:color="auto" w:fill="EEF3F9"/>
          </w:tcPr>
          <w:p>
            <w:r>
              <w:rPr>
                <w:sz w:val="18"/>
              </w:rPr>
              <w:t>Low</w:t>
            </w:r>
          </w:p>
        </w:tc>
        <w:tc>
          <w:tcPr>
            <w:tcW w:type="dxa" w:w="1344"/>
            <w:shd w:val="clear" w:color="auto" w:fill="EEF3F9"/>
          </w:tcPr>
          <w:p>
            <w:r>
              <w:rPr>
                <w:sz w:val="18"/>
              </w:rPr>
              <w:t>Low</w:t>
            </w:r>
          </w:p>
        </w:tc>
        <w:tc>
          <w:tcPr>
            <w:tcW w:type="dxa" w:w="1344"/>
            <w:shd w:val="clear" w:color="auto" w:fill="EEF3F9"/>
          </w:tcPr>
          <w:p>
            <w:r>
              <w:rPr>
                <w:sz w:val="18"/>
              </w:rPr>
              <w:t>Medium</w:t>
            </w:r>
          </w:p>
        </w:tc>
        <w:tc>
          <w:tcPr>
            <w:tcW w:type="dxa" w:w="1344"/>
            <w:shd w:val="clear" w:color="auto" w:fill="EEF3F9"/>
          </w:tcPr>
          <w:p>
            <w:r>
              <w:rPr>
                <w:sz w:val="18"/>
              </w:rPr>
              <w:t>High</w:t>
            </w:r>
          </w:p>
        </w:tc>
        <w:tc>
          <w:tcPr>
            <w:tcW w:type="dxa" w:w="1344"/>
            <w:shd w:val="clear" w:color="auto" w:fill="EEF3F9"/>
          </w:tcPr>
          <w:p>
            <w:r>
              <w:rPr>
                <w:sz w:val="18"/>
              </w:rPr>
              <w:t>Deprioritize (for now)</w:t>
            </w:r>
          </w:p>
        </w:tc>
      </w:tr>
    </w:tbl>
    <w:p/>
    <w:p>
      <w:r>
        <w:rPr>
          <w:b/>
        </w:rPr>
        <w:t>The three priorities for Pharmaceuticals:</w:t>
      </w:r>
    </w:p>
    <w:p>
      <w:pPr>
        <w:pStyle w:val="ListNumber"/>
      </w:pPr>
      <w:r>
        <w:rPr>
          <w:b/>
        </w:rPr>
        <w:t>Essential generics</w:t>
      </w:r>
      <w:r>
        <w:t xml:space="preserve"> (ARVs, antimalarials, anti-TB, priority NCD medicines) — build on QCIL's proven WHO-GMP base and guaranteed domestic + donor/regional demand. The clearest, highest-impact substitution.</w:t>
      </w:r>
    </w:p>
    <w:p>
      <w:pPr>
        <w:pStyle w:val="ListNumber"/>
      </w:pPr>
      <w:r>
        <w:rPr>
          <w:b/>
        </w:rPr>
        <w:t>Medical consumables and basic formulations</w:t>
      </w:r>
      <w:r>
        <w:t xml:space="preserve"> — feasible, job-creating, and substitutes a broad import line.</w:t>
      </w:r>
    </w:p>
    <w:p>
      <w:pPr>
        <w:pStyle w:val="ListNumber"/>
      </w:pPr>
      <w:r>
        <w:rPr>
          <w:b/>
        </w:rPr>
        <w:t>Selective local API/excipient production</w:t>
      </w:r>
      <w:r>
        <w:t xml:space="preserve"> — a strategic, longer-term move to reduce the deepest dependency (imported APIs), pursued selectively where volumes justify it.</w:t>
      </w:r>
    </w:p>
    <w:p>
      <w:r>
        <w:rPr>
          <w:b/>
        </w:rPr>
        <w:t>Explicit deprioritization.</w:t>
      </w:r>
      <w:r>
        <w:t xml:space="preserve"> Uganda should </w:t>
      </w:r>
      <w:r>
        <w:rPr>
          <w:b/>
        </w:rPr>
        <w:t>not</w:t>
      </w:r>
      <w:r>
        <w:t xml:space="preserve"> attempt broad-spectrum API synthesis at scale now — it is capital- and chemistry-intensive beyond current competitiveness. Vaccine fill-finish is conditional (tied to regional initiatives). Focus on </w:t>
      </w:r>
      <w:r>
        <w:rPr>
          <w:b/>
        </w:rPr>
        <w:t>finished essential generics</w:t>
      </w:r>
      <w:r>
        <w:t xml:space="preserve"> where Uganda already competes.</w:t>
      </w:r>
    </w:p>
    <w:p>
      <w:pPr>
        <w:pStyle w:val="Heading2"/>
      </w:pPr>
      <w:r>
        <w:t>5.F Priority Action Matrix</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Timeframe</w:t>
            </w:r>
          </w:p>
        </w:tc>
        <w:tc>
          <w:tcPr>
            <w:tcW w:type="dxa" w:w="2351"/>
            <w:shd w:val="clear" w:color="auto" w:fill="002B5B"/>
          </w:tcPr>
          <w:p>
            <w:r>
              <w:rPr>
                <w:b/>
                <w:color w:val="FFFFFF"/>
                <w:sz w:val="18"/>
              </w:rPr>
              <w:t>Action</w:t>
            </w:r>
          </w:p>
        </w:tc>
        <w:tc>
          <w:tcPr>
            <w:tcW w:type="dxa" w:w="2351"/>
            <w:shd w:val="clear" w:color="auto" w:fill="002B5B"/>
          </w:tcPr>
          <w:p>
            <w:r>
              <w:rPr>
                <w:b/>
                <w:color w:val="FFFFFF"/>
                <w:sz w:val="18"/>
              </w:rPr>
              <w:t>Lead</w:t>
            </w:r>
          </w:p>
        </w:tc>
        <w:tc>
          <w:tcPr>
            <w:tcW w:type="dxa" w:w="2351"/>
            <w:shd w:val="clear" w:color="auto" w:fill="002B5B"/>
          </w:tcPr>
          <w:p>
            <w:r>
              <w:rPr>
                <w:b/>
                <w:color w:val="FFFFFF"/>
                <w:sz w:val="18"/>
              </w:rPr>
              <w:t>Indicative cost</w:t>
            </w:r>
          </w:p>
        </w:tc>
      </w:tr>
      <w:tr>
        <w:tc>
          <w:tcPr>
            <w:tcW w:type="dxa" w:w="2351"/>
            <w:shd w:val="clear" w:color="auto" w:fill="EEF3F9"/>
          </w:tcPr>
          <w:p>
            <w:r>
              <w:rPr>
                <w:b/>
                <w:sz w:val="18"/>
              </w:rPr>
              <w:t>Quick win (0–12m)</w:t>
            </w:r>
          </w:p>
        </w:tc>
        <w:tc>
          <w:tcPr>
            <w:tcW w:type="dxa" w:w="2351"/>
            <w:shd w:val="clear" w:color="auto" w:fill="EEF3F9"/>
          </w:tcPr>
          <w:p>
            <w:r>
              <w:rPr>
                <w:sz w:val="18"/>
              </w:rPr>
              <w:t>Preferential public procurement (NMS/JMS) for locally made essential medicines</w:t>
            </w:r>
          </w:p>
        </w:tc>
        <w:tc>
          <w:tcPr>
            <w:tcW w:type="dxa" w:w="2351"/>
            <w:shd w:val="clear" w:color="auto" w:fill="EEF3F9"/>
          </w:tcPr>
          <w:p>
            <w:r>
              <w:rPr>
                <w:sz w:val="18"/>
              </w:rPr>
              <w:t>MoH, NMS, MoFPED</w:t>
            </w:r>
          </w:p>
        </w:tc>
        <w:tc>
          <w:tcPr>
            <w:tcW w:type="dxa" w:w="2351"/>
            <w:shd w:val="clear" w:color="auto" w:fill="EEF3F9"/>
          </w:tcPr>
          <w:p>
            <w:r>
              <w:rPr>
                <w:sz w:val="18"/>
              </w:rPr>
              <w:t>Procurement</w:t>
            </w:r>
          </w:p>
        </w:tc>
      </w:tr>
      <w:tr>
        <w:tc>
          <w:tcPr>
            <w:tcW w:type="dxa" w:w="2351"/>
            <w:shd w:val="clear" w:color="auto" w:fill="FFFFFF"/>
          </w:tcPr>
          <w:p>
            <w:r>
              <w:rPr>
                <w:sz w:val="18"/>
              </w:rPr>
              <w:t>Quick win (0–12m)</w:t>
            </w:r>
          </w:p>
        </w:tc>
        <w:tc>
          <w:tcPr>
            <w:tcW w:type="dxa" w:w="2351"/>
            <w:shd w:val="clear" w:color="auto" w:fill="FFFFFF"/>
          </w:tcPr>
          <w:p>
            <w:r>
              <w:rPr>
                <w:sz w:val="18"/>
              </w:rPr>
              <w:t>Streamline NDA registration/fees for local manufacturers</w:t>
            </w:r>
          </w:p>
        </w:tc>
        <w:tc>
          <w:tcPr>
            <w:tcW w:type="dxa" w:w="2351"/>
            <w:shd w:val="clear" w:color="auto" w:fill="FFFFFF"/>
          </w:tcPr>
          <w:p>
            <w:r>
              <w:rPr>
                <w:sz w:val="18"/>
              </w:rPr>
              <w:t>NDA, MTIC</w:t>
            </w:r>
          </w:p>
        </w:tc>
        <w:tc>
          <w:tcPr>
            <w:tcW w:type="dxa" w:w="2351"/>
            <w:shd w:val="clear" w:color="auto" w:fill="FFFFFF"/>
          </w:tcPr>
          <w:p>
            <w:r>
              <w:rPr>
                <w:sz w:val="18"/>
              </w:rPr>
              <w:t>Low</w:t>
            </w:r>
          </w:p>
        </w:tc>
      </w:tr>
      <w:tr>
        <w:tc>
          <w:tcPr>
            <w:tcW w:type="dxa" w:w="2351"/>
            <w:shd w:val="clear" w:color="auto" w:fill="EEF3F9"/>
          </w:tcPr>
          <w:p>
            <w:r>
              <w:rPr>
                <w:b/>
                <w:sz w:val="18"/>
              </w:rPr>
              <w:t>Reform (1–3y)</w:t>
            </w:r>
          </w:p>
        </w:tc>
        <w:tc>
          <w:tcPr>
            <w:tcW w:type="dxa" w:w="2351"/>
            <w:shd w:val="clear" w:color="auto" w:fill="EEF3F9"/>
          </w:tcPr>
          <w:p>
            <w:r>
              <w:rPr>
                <w:sz w:val="18"/>
              </w:rPr>
              <w:t>GMP-upgrade support fund for local manufacturers seeking WHO-prequalification</w:t>
            </w:r>
          </w:p>
        </w:tc>
        <w:tc>
          <w:tcPr>
            <w:tcW w:type="dxa" w:w="2351"/>
            <w:shd w:val="clear" w:color="auto" w:fill="EEF3F9"/>
          </w:tcPr>
          <w:p>
            <w:r>
              <w:rPr>
                <w:sz w:val="18"/>
              </w:rPr>
              <w:t>MTIC, UDB, partners</w:t>
            </w:r>
          </w:p>
        </w:tc>
        <w:tc>
          <w:tcPr>
            <w:tcW w:type="dxa" w:w="2351"/>
            <w:shd w:val="clear" w:color="auto" w:fill="EEF3F9"/>
          </w:tcPr>
          <w:p>
            <w:r>
              <w:rPr>
                <w:sz w:val="18"/>
              </w:rPr>
              <w:t>Medium</w:t>
            </w:r>
          </w:p>
        </w:tc>
      </w:tr>
      <w:tr>
        <w:tc>
          <w:tcPr>
            <w:tcW w:type="dxa" w:w="2351"/>
            <w:shd w:val="clear" w:color="auto" w:fill="FFFFFF"/>
          </w:tcPr>
          <w:p>
            <w:r>
              <w:rPr>
                <w:sz w:val="18"/>
              </w:rPr>
              <w:t>Reform (1–3y)</w:t>
            </w:r>
          </w:p>
        </w:tc>
        <w:tc>
          <w:tcPr>
            <w:tcW w:type="dxa" w:w="2351"/>
            <w:shd w:val="clear" w:color="auto" w:fill="FFFFFF"/>
          </w:tcPr>
          <w:p>
            <w:r>
              <w:rPr>
                <w:sz w:val="18"/>
              </w:rPr>
              <w:t>Pharma skills programme (QA/QC, regulatory affairs) with Makerere</w:t>
            </w:r>
          </w:p>
        </w:tc>
        <w:tc>
          <w:tcPr>
            <w:tcW w:type="dxa" w:w="2351"/>
            <w:shd w:val="clear" w:color="auto" w:fill="FFFFFF"/>
          </w:tcPr>
          <w:p>
            <w:r>
              <w:rPr>
                <w:sz w:val="18"/>
              </w:rPr>
              <w:t>MoES, NDA</w:t>
            </w:r>
          </w:p>
        </w:tc>
        <w:tc>
          <w:tcPr>
            <w:tcW w:type="dxa" w:w="2351"/>
            <w:shd w:val="clear" w:color="auto" w:fill="FFFFFF"/>
          </w:tcPr>
          <w:p>
            <w:r>
              <w:rPr>
                <w:sz w:val="18"/>
              </w:rPr>
              <w:t>Medium</w:t>
            </w:r>
          </w:p>
        </w:tc>
      </w:tr>
      <w:tr>
        <w:tc>
          <w:tcPr>
            <w:tcW w:type="dxa" w:w="2351"/>
            <w:shd w:val="clear" w:color="auto" w:fill="EEF3F9"/>
          </w:tcPr>
          <w:p>
            <w:r>
              <w:rPr>
                <w:b/>
                <w:sz w:val="18"/>
              </w:rPr>
              <w:t>Investment (3–5y)</w:t>
            </w:r>
          </w:p>
        </w:tc>
        <w:tc>
          <w:tcPr>
            <w:tcW w:type="dxa" w:w="2351"/>
            <w:shd w:val="clear" w:color="auto" w:fill="EEF3F9"/>
          </w:tcPr>
          <w:p>
            <w:r>
              <w:rPr>
                <w:sz w:val="18"/>
              </w:rPr>
              <w:t>Expansion of GMP generics capacity (QCIL and others)</w:t>
            </w:r>
          </w:p>
        </w:tc>
        <w:tc>
          <w:tcPr>
            <w:tcW w:type="dxa" w:w="2351"/>
            <w:shd w:val="clear" w:color="auto" w:fill="EEF3F9"/>
          </w:tcPr>
          <w:p>
            <w:r>
              <w:rPr>
                <w:sz w:val="18"/>
              </w:rPr>
              <w:t>Private-led + PPP</w:t>
            </w:r>
          </w:p>
        </w:tc>
        <w:tc>
          <w:tcPr>
            <w:tcW w:type="dxa" w:w="2351"/>
            <w:shd w:val="clear" w:color="auto" w:fill="EEF3F9"/>
          </w:tcPr>
          <w:p>
            <w:r>
              <w:rPr>
                <w:sz w:val="18"/>
              </w:rPr>
              <w:t>Indicative (see Ch.11)</w:t>
            </w:r>
          </w:p>
        </w:tc>
      </w:tr>
      <w:tr>
        <w:tc>
          <w:tcPr>
            <w:tcW w:type="dxa" w:w="2351"/>
            <w:shd w:val="clear" w:color="auto" w:fill="FFFFFF"/>
          </w:tcPr>
          <w:p>
            <w:r>
              <w:rPr>
                <w:sz w:val="18"/>
              </w:rPr>
              <w:t>Investment (3–5y)</w:t>
            </w:r>
          </w:p>
        </w:tc>
        <w:tc>
          <w:tcPr>
            <w:tcW w:type="dxa" w:w="2351"/>
            <w:shd w:val="clear" w:color="auto" w:fill="FFFFFF"/>
          </w:tcPr>
          <w:p>
            <w:r>
              <w:rPr>
                <w:sz w:val="18"/>
              </w:rPr>
              <w:t>Selective API/excipient plant where volumes justify</w:t>
            </w:r>
          </w:p>
        </w:tc>
        <w:tc>
          <w:tcPr>
            <w:tcW w:type="dxa" w:w="2351"/>
            <w:shd w:val="clear" w:color="auto" w:fill="FFFFFF"/>
          </w:tcPr>
          <w:p>
            <w:r>
              <w:rPr>
                <w:sz w:val="18"/>
              </w:rPr>
              <w:t>Private-led / PPP</w:t>
            </w:r>
          </w:p>
        </w:tc>
        <w:tc>
          <w:tcPr>
            <w:tcW w:type="dxa" w:w="2351"/>
            <w:shd w:val="clear" w:color="auto" w:fill="FFFFFF"/>
          </w:tcPr>
          <w:p>
            <w:r>
              <w:rPr>
                <w:sz w:val="18"/>
              </w:rPr>
              <w:t>Indicative (see Ch.11)</w:t>
            </w:r>
          </w:p>
        </w:tc>
      </w:tr>
    </w:tbl>
    <w:p/>
    <w:p>
      <w:pPr>
        <w:pStyle w:val="Heading2"/>
      </w:pPr>
      <w:r>
        <w:t>References</w:t>
      </w:r>
    </w:p>
    <w:p>
      <w:pPr>
        <w:pStyle w:val="ListBullet"/>
      </w:pPr>
      <w:r>
        <w:t xml:space="preserve">National Drug Authority, </w:t>
      </w:r>
      <w:r>
        <w:rPr>
          <w:i/>
        </w:rPr>
        <w:t>National Drug Register of Uganda — Human Medicines</w:t>
      </w:r>
      <w:r>
        <w:t xml:space="preserve"> (June 2024). https://www.nda.or.ug/</w:t>
      </w:r>
    </w:p>
    <w:p>
      <w:pPr>
        <w:pStyle w:val="ListBullet"/>
      </w:pPr>
      <w:r>
        <w:t xml:space="preserve">UNIDO, </w:t>
      </w:r>
      <w:r>
        <w:rPr>
          <w:i/>
        </w:rPr>
        <w:t>Pharmaceutical Sector Profile — Uganda</w:t>
      </w:r>
      <w:r>
        <w:t>. https://open.unido.org/api/documents/4699932/download/Pharmaceutical%20Sector%20Profile%20-%20Uganda</w:t>
      </w:r>
    </w:p>
    <w:p>
      <w:pPr>
        <w:pStyle w:val="ListBullet"/>
      </w:pPr>
      <w:r>
        <w:t xml:space="preserve">Statista, </w:t>
      </w:r>
      <w:r>
        <w:rPr>
          <w:i/>
        </w:rPr>
        <w:t>Pharmaceuticals — Uganda</w:t>
      </w:r>
      <w:r>
        <w:t>. https://www.statista.com/outlook/hmo/pharmaceuticals/uganda</w:t>
      </w:r>
    </w:p>
    <w:p>
      <w:pPr>
        <w:pStyle w:val="ListBullet"/>
      </w:pPr>
      <w:r>
        <w:t>Quality Chemical Industries Limited (Wikipedia summary); Cipla Uganda. https://en.wikipedia.org/wiki/Quality_Chemical_Industries_Limited ; https://www.cipla.com/our-presence/uganda</w:t>
      </w:r>
    </w:p>
    <w:p>
      <w:pPr>
        <w:pStyle w:val="ListBullet"/>
      </w:pPr>
      <w:r>
        <w:t>ITC TradeMap, trade statistics — HS 3004, Uganda, 2024. https://www.trademap.org</w:t>
      </w:r>
    </w:p>
    <w:p>
      <w:r>
        <w:br w:type="page"/>
      </w:r>
    </w:p>
    <w:p>
      <w:pPr>
        <w:pStyle w:val="Heading1"/>
      </w:pPr>
      <w:r>
        <w:t>Chapter 6: Petrochemicals &amp; Fertilizers Value Chain</w:t>
      </w:r>
    </w:p>
    <w:p>
      <w:r>
        <w:rPr>
          <w:b/>
        </w:rPr>
        <w:t>Report:</w:t>
      </w:r>
      <w:r>
        <w:t xml:space="preserve"> Report 2</w:t>
      </w:r>
    </w:p>
    <w:p>
      <w:r>
        <w:rPr>
          <w:b/>
        </w:rPr>
        <w:t>Status:</w:t>
      </w:r>
      <w:r>
        <w:t xml:space="preserve"> Draft for validation</w:t>
      </w:r>
    </w:p>
    <w:p>
      <w:r>
        <w:rPr>
          <w:b/>
        </w:rPr>
        <w:t>Primary sources:</w:t>
      </w:r>
      <w:r>
        <w:t xml:space="preserve"> Uganda National Oil Company (UNOC); Petroleum Authority of Uganda (PAU); Osukuru Industrial Complex records; ITC TradeMap (2024).</w:t>
      </w:r>
    </w:p>
    <w:p>
      <w:pPr>
        <w:pStyle w:val="Heading2"/>
      </w:pPr>
      <w:r>
        <w:t>6.A Value Chain Map</w:t>
      </w:r>
    </w:p>
    <w:p>
      <w:r>
        <w:t xml:space="preserve">This chain has two related but distinct strands: </w:t>
      </w:r>
      <w:r>
        <w:rPr>
          <w:b/>
        </w:rPr>
        <w:t>petrochemicals</w:t>
      </w:r>
      <w:r>
        <w:t xml:space="preserve"> (derived from oil and gas) and </w:t>
      </w:r>
      <w:r>
        <w:rPr>
          <w:b/>
        </w:rPr>
        <w:t>fertilizers</w:t>
      </w:r>
      <w:r>
        <w:t xml:space="preserve"> (mineral- and chemical-based agricultural inputs). Uganda is </w:t>
      </w:r>
      <w:r>
        <w:rPr>
          <w:b/>
        </w:rPr>
        <w:t>pre-production in petrochemicals</w:t>
      </w:r>
      <w:r>
        <w:t xml:space="preserve"> (refinery under development) and has </w:t>
      </w:r>
      <w:r>
        <w:rPr>
          <w:b/>
        </w:rPr>
        <w:t>stalled domestic fertilizer production</w:t>
      </w:r>
      <w:r>
        <w:t>, importing most chemical fertilizer.</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Strand</w:t>
            </w:r>
          </w:p>
        </w:tc>
        <w:tc>
          <w:tcPr>
            <w:tcW w:type="dxa" w:w="2351"/>
            <w:shd w:val="clear" w:color="auto" w:fill="002B5B"/>
          </w:tcPr>
          <w:p>
            <w:r>
              <w:rPr>
                <w:b/>
                <w:color w:val="FFFFFF"/>
                <w:sz w:val="18"/>
              </w:rPr>
              <w:t>Phase</w:t>
            </w:r>
          </w:p>
        </w:tc>
        <w:tc>
          <w:tcPr>
            <w:tcW w:type="dxa" w:w="2351"/>
            <w:shd w:val="clear" w:color="auto" w:fill="002B5B"/>
          </w:tcPr>
          <w:p>
            <w:r>
              <w:rPr>
                <w:b/>
                <w:color w:val="FFFFFF"/>
                <w:sz w:val="18"/>
              </w:rPr>
              <w:t>Inputs</w:t>
            </w:r>
          </w:p>
        </w:tc>
        <w:tc>
          <w:tcPr>
            <w:tcW w:type="dxa" w:w="2351"/>
            <w:shd w:val="clear" w:color="auto" w:fill="002B5B"/>
          </w:tcPr>
          <w:p>
            <w:r>
              <w:rPr>
                <w:b/>
                <w:color w:val="FFFFFF"/>
                <w:sz w:val="18"/>
              </w:rPr>
              <w:t>Output</w:t>
            </w:r>
          </w:p>
        </w:tc>
      </w:tr>
      <w:tr>
        <w:tc>
          <w:tcPr>
            <w:tcW w:type="dxa" w:w="2351"/>
            <w:shd w:val="clear" w:color="auto" w:fill="EEF3F9"/>
          </w:tcPr>
          <w:p>
            <w:r>
              <w:rPr>
                <w:sz w:val="18"/>
              </w:rPr>
              <w:t>Petrochemicals</w:t>
            </w:r>
          </w:p>
        </w:tc>
        <w:tc>
          <w:tcPr>
            <w:tcW w:type="dxa" w:w="2351"/>
            <w:shd w:val="clear" w:color="auto" w:fill="EEF3F9"/>
          </w:tcPr>
          <w:p>
            <w:r>
              <w:rPr>
                <w:sz w:val="18"/>
              </w:rPr>
              <w:t>Refining</w:t>
            </w:r>
          </w:p>
        </w:tc>
        <w:tc>
          <w:tcPr>
            <w:tcW w:type="dxa" w:w="2351"/>
            <w:shd w:val="clear" w:color="auto" w:fill="EEF3F9"/>
          </w:tcPr>
          <w:p>
            <w:r>
              <w:rPr>
                <w:sz w:val="18"/>
              </w:rPr>
              <w:t>Crude oil</w:t>
            </w:r>
          </w:p>
        </w:tc>
        <w:tc>
          <w:tcPr>
            <w:tcW w:type="dxa" w:w="2351"/>
            <w:shd w:val="clear" w:color="auto" w:fill="EEF3F9"/>
          </w:tcPr>
          <w:p>
            <w:r>
              <w:rPr>
                <w:sz w:val="18"/>
              </w:rPr>
              <w:t>Fuels, LPG, naphtha, base chemicals</w:t>
            </w:r>
          </w:p>
        </w:tc>
      </w:tr>
      <w:tr>
        <w:tc>
          <w:tcPr>
            <w:tcW w:type="dxa" w:w="2351"/>
            <w:shd w:val="clear" w:color="auto" w:fill="FFFFFF"/>
          </w:tcPr>
          <w:p>
            <w:r>
              <w:rPr>
                <w:sz w:val="18"/>
              </w:rPr>
              <w:t>Petrochemicals</w:t>
            </w:r>
          </w:p>
        </w:tc>
        <w:tc>
          <w:tcPr>
            <w:tcW w:type="dxa" w:w="2351"/>
            <w:shd w:val="clear" w:color="auto" w:fill="FFFFFF"/>
          </w:tcPr>
          <w:p>
            <w:r>
              <w:rPr>
                <w:sz w:val="18"/>
              </w:rPr>
              <w:t>Petrochemical processing</w:t>
            </w:r>
          </w:p>
        </w:tc>
        <w:tc>
          <w:tcPr>
            <w:tcW w:type="dxa" w:w="2351"/>
            <w:shd w:val="clear" w:color="auto" w:fill="FFFFFF"/>
          </w:tcPr>
          <w:p>
            <w:r>
              <w:rPr>
                <w:sz w:val="18"/>
              </w:rPr>
              <w:t>Naphtha/gas</w:t>
            </w:r>
          </w:p>
        </w:tc>
        <w:tc>
          <w:tcPr>
            <w:tcW w:type="dxa" w:w="2351"/>
            <w:shd w:val="clear" w:color="auto" w:fill="FFFFFF"/>
          </w:tcPr>
          <w:p>
            <w:r>
              <w:rPr>
                <w:sz w:val="18"/>
              </w:rPr>
              <w:t>Polymers, solvents, intermediates</w:t>
            </w:r>
          </w:p>
        </w:tc>
      </w:tr>
      <w:tr>
        <w:tc>
          <w:tcPr>
            <w:tcW w:type="dxa" w:w="2351"/>
            <w:shd w:val="clear" w:color="auto" w:fill="EEF3F9"/>
          </w:tcPr>
          <w:p>
            <w:r>
              <w:rPr>
                <w:sz w:val="18"/>
              </w:rPr>
              <w:t>Fertilizers</w:t>
            </w:r>
          </w:p>
        </w:tc>
        <w:tc>
          <w:tcPr>
            <w:tcW w:type="dxa" w:w="2351"/>
            <w:shd w:val="clear" w:color="auto" w:fill="EEF3F9"/>
          </w:tcPr>
          <w:p>
            <w:r>
              <w:rPr>
                <w:sz w:val="18"/>
              </w:rPr>
              <w:t>Phosphate mining &amp; processing</w:t>
            </w:r>
          </w:p>
        </w:tc>
        <w:tc>
          <w:tcPr>
            <w:tcW w:type="dxa" w:w="2351"/>
            <w:shd w:val="clear" w:color="auto" w:fill="EEF3F9"/>
          </w:tcPr>
          <w:p>
            <w:r>
              <w:rPr>
                <w:sz w:val="18"/>
              </w:rPr>
              <w:t>Phosphate rock, sulphur</w:t>
            </w:r>
          </w:p>
        </w:tc>
        <w:tc>
          <w:tcPr>
            <w:tcW w:type="dxa" w:w="2351"/>
            <w:shd w:val="clear" w:color="auto" w:fill="EEF3F9"/>
          </w:tcPr>
          <w:p>
            <w:r>
              <w:rPr>
                <w:sz w:val="18"/>
              </w:rPr>
              <w:t>Phosphate fertilizer, sulphuric acid</w:t>
            </w:r>
          </w:p>
        </w:tc>
      </w:tr>
      <w:tr>
        <w:tc>
          <w:tcPr>
            <w:tcW w:type="dxa" w:w="2351"/>
            <w:shd w:val="clear" w:color="auto" w:fill="FFFFFF"/>
          </w:tcPr>
          <w:p>
            <w:r>
              <w:rPr>
                <w:sz w:val="18"/>
              </w:rPr>
              <w:t>Fertilizers</w:t>
            </w:r>
          </w:p>
        </w:tc>
        <w:tc>
          <w:tcPr>
            <w:tcW w:type="dxa" w:w="2351"/>
            <w:shd w:val="clear" w:color="auto" w:fill="FFFFFF"/>
          </w:tcPr>
          <w:p>
            <w:r>
              <w:rPr>
                <w:sz w:val="18"/>
              </w:rPr>
              <w:t>Blending</w:t>
            </w:r>
          </w:p>
        </w:tc>
        <w:tc>
          <w:tcPr>
            <w:tcW w:type="dxa" w:w="2351"/>
            <w:shd w:val="clear" w:color="auto" w:fill="FFFFFF"/>
          </w:tcPr>
          <w:p>
            <w:r>
              <w:rPr>
                <w:sz w:val="18"/>
              </w:rPr>
              <w:t>Imported/local nutrients</w:t>
            </w:r>
          </w:p>
        </w:tc>
        <w:tc>
          <w:tcPr>
            <w:tcW w:type="dxa" w:w="2351"/>
            <w:shd w:val="clear" w:color="auto" w:fill="FFFFFF"/>
          </w:tcPr>
          <w:p>
            <w:r>
              <w:rPr>
                <w:sz w:val="18"/>
              </w:rPr>
              <w:t>NPK blends</w:t>
            </w:r>
          </w:p>
        </w:tc>
      </w:tr>
      <w:tr>
        <w:tc>
          <w:tcPr>
            <w:tcW w:type="dxa" w:w="2351"/>
            <w:shd w:val="clear" w:color="auto" w:fill="EEF3F9"/>
          </w:tcPr>
          <w:p>
            <w:r>
              <w:rPr>
                <w:sz w:val="18"/>
              </w:rPr>
              <w:t>Both</w:t>
            </w:r>
          </w:p>
        </w:tc>
        <w:tc>
          <w:tcPr>
            <w:tcW w:type="dxa" w:w="2351"/>
            <w:shd w:val="clear" w:color="auto" w:fill="EEF3F9"/>
          </w:tcPr>
          <w:p>
            <w:r>
              <w:rPr>
                <w:sz w:val="18"/>
              </w:rPr>
              <w:t>Market</w:t>
            </w:r>
          </w:p>
        </w:tc>
        <w:tc>
          <w:tcPr>
            <w:tcW w:type="dxa" w:w="2351"/>
            <w:shd w:val="clear" w:color="auto" w:fill="EEF3F9"/>
          </w:tcPr>
          <w:p>
            <w:r>
              <w:rPr>
                <w:sz w:val="18"/>
              </w:rPr>
              <w:t>Products</w:t>
            </w:r>
          </w:p>
        </w:tc>
        <w:tc>
          <w:tcPr>
            <w:tcW w:type="dxa" w:w="2351"/>
            <w:shd w:val="clear" w:color="auto" w:fill="EEF3F9"/>
          </w:tcPr>
          <w:p>
            <w:r>
              <w:rPr>
                <w:sz w:val="18"/>
              </w:rPr>
              <w:t>Fuel, plastics feedstock, fertilizer</w:t>
            </w:r>
          </w:p>
        </w:tc>
      </w:tr>
    </w:tbl>
    <w:p/>
    <w:p>
      <w:r>
        <w:rPr>
          <w:b/>
        </w:rPr>
        <w:t>Where value is captured and lost.</w:t>
      </w:r>
      <w:r>
        <w:t xml:space="preserve"> Uganda currently imports refined fuels, plastics feedstock (Chapter 8 linkage), and most fertilizer. Phosphatic/other mineral fertilizer imports (HS 3105) were about </w:t>
      </w:r>
      <w:r>
        <w:rPr>
          <w:b/>
        </w:rPr>
        <w:t>USD 32.1 million in 2024</w:t>
      </w:r>
      <w:r>
        <w:t xml:space="preserve"> (ITC TradeMap), and total fertilizer need vastly exceeds domestic supply. The future petrochemical base depends on the Kabaale refinery reaching production.</w:t>
      </w:r>
    </w:p>
    <w:p>
      <w:pPr>
        <w:pStyle w:val="Heading2"/>
      </w:pPr>
      <w:r>
        <w:t>6.B Current State Assessment</w:t>
      </w:r>
    </w:p>
    <w:p>
      <w:r>
        <w:rPr>
          <w:b/>
        </w:rPr>
        <w:t>Petrochemicals (pre-production).</w:t>
      </w:r>
      <w:r>
        <w:t xml:space="preserve"> Uganda's petrochemical future is anchored on the </w:t>
      </w:r>
      <w:r>
        <w:rPr>
          <w:b/>
        </w:rPr>
        <w:t>Kabaale (Hoima) refinery and the Kabalega Petrochemical Industrial Park</w:t>
      </w:r>
      <w:r>
        <w:t xml:space="preserve">. The refinery is designed for </w:t>
      </w:r>
      <w:r>
        <w:rPr>
          <w:b/>
        </w:rPr>
        <w:t>60,000 barrels per day</w:t>
      </w:r>
      <w:r>
        <w:t xml:space="preserve">; in </w:t>
      </w:r>
      <w:r>
        <w:rPr>
          <w:b/>
        </w:rPr>
        <w:t>March 2025 an implementation agreement was signed with the UAE's Alpha MBM Investments</w:t>
      </w:r>
      <w:r>
        <w:t xml:space="preserve"> (with Government holding ~40% via UNOC), at an estimated USD 4 billion, with operations targeted for around </w:t>
      </w:r>
      <w:r>
        <w:rPr>
          <w:b/>
        </w:rPr>
        <w:t>2029–2030</w:t>
      </w:r>
      <w:r>
        <w:t xml:space="preserve"> (UNOC; PAU; Hydrocarbon Engineering, 2025). Until then, Uganda has no domestic refining or petrochemical feedstock; all polymers and refined products are imported.</w:t>
      </w:r>
    </w:p>
    <w:p>
      <w:r>
        <w:rPr>
          <w:b/>
        </w:rPr>
        <w:t>Fertilizers (stalled domestic production).</w:t>
      </w:r>
      <w:r>
        <w:t xml:space="preserve"> The </w:t>
      </w:r>
      <w:r>
        <w:rPr>
          <w:b/>
        </w:rPr>
        <w:t>Sukulu / Osukuru Industrial Complex</w:t>
      </w:r>
      <w:r>
        <w:t xml:space="preserve"> in Tororo (operated by Guangzhou Dongsong) was commissioned in 2018 with a design phosphate-fertilizer capacity of ~100,000 t/year (and associated sulphuric-acid and steel units). However, the plant </w:t>
      </w:r>
      <w:r>
        <w:rPr>
          <w:b/>
        </w:rPr>
        <w:t>shut in 2021 after losing financing, resumed only briefly in 2023, and then halted again</w:t>
      </w:r>
      <w:r>
        <w:t xml:space="preserve"> — so domestic fertilizer output is far below both design capacity and national need (Osukuru complex records; Milling Middle East &amp; Africa, 2023). Uganda imports about 50,000 t of fertilizer against an estimated need approaching 1 million tonnes for effective agricultural intensification.</w:t>
      </w:r>
    </w:p>
    <w:p>
      <w:r>
        <w:rPr>
          <w:b/>
        </w:rPr>
        <w:t>Trade position (ITC TradeMap, 2024).</w:t>
      </w:r>
      <w:r>
        <w:t xml:space="preserve"> Mineral/chemical fertilizer (HS 3105) imports ~USD 32.1m; broader fertilizer and refined-product imports add to this. Uganda is a </w:t>
      </w:r>
      <w:r>
        <w:rPr>
          <w:b/>
        </w:rPr>
        <w:t>net importer across the chain</w:t>
      </w:r>
      <w:r>
        <w:t>.</w:t>
      </w:r>
    </w:p>
    <w:p>
      <w:pPr>
        <w:pStyle w:val="Heading2"/>
      </w:pPr>
      <w:r>
        <w:t>6.C Binding Constraints Analysis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Dimension</w:t>
            </w:r>
          </w:p>
        </w:tc>
        <w:tc>
          <w:tcPr>
            <w:tcW w:type="dxa" w:w="4703"/>
            <w:shd w:val="clear" w:color="auto" w:fill="002B5B"/>
          </w:tcPr>
          <w:p>
            <w:r>
              <w:rPr>
                <w:b/>
                <w:color w:val="FFFFFF"/>
                <w:sz w:val="18"/>
              </w:rPr>
              <w:t>Assessment</w:t>
            </w:r>
          </w:p>
        </w:tc>
      </w:tr>
      <w:tr>
        <w:tc>
          <w:tcPr>
            <w:tcW w:type="dxa" w:w="4703"/>
            <w:shd w:val="clear" w:color="auto" w:fill="EEF3F9"/>
          </w:tcPr>
          <w:p>
            <w:r>
              <w:rPr>
                <w:b/>
                <w:sz w:val="18"/>
              </w:rPr>
              <w:t>Inputs / raw materials</w:t>
            </w:r>
          </w:p>
        </w:tc>
        <w:tc>
          <w:tcPr>
            <w:tcW w:type="dxa" w:w="4703"/>
            <w:shd w:val="clear" w:color="auto" w:fill="EEF3F9"/>
          </w:tcPr>
          <w:p>
            <w:r>
              <w:rPr>
                <w:sz w:val="18"/>
              </w:rPr>
              <w:t>Petrochemical feedstock awaits the refinery (≥2029); phosphate rock exists at Sukulu but the plant is stalled; nutrient inputs for blending are imported.</w:t>
            </w:r>
          </w:p>
        </w:tc>
      </w:tr>
      <w:tr>
        <w:tc>
          <w:tcPr>
            <w:tcW w:type="dxa" w:w="4703"/>
            <w:shd w:val="clear" w:color="auto" w:fill="FFFFFF"/>
          </w:tcPr>
          <w:p>
            <w:r>
              <w:rPr>
                <w:b/>
                <w:sz w:val="18"/>
              </w:rPr>
              <w:t>Technology &amp; productivity</w:t>
            </w:r>
          </w:p>
        </w:tc>
        <w:tc>
          <w:tcPr>
            <w:tcW w:type="dxa" w:w="4703"/>
            <w:shd w:val="clear" w:color="auto" w:fill="FFFFFF"/>
          </w:tcPr>
          <w:p>
            <w:r>
              <w:rPr>
                <w:sz w:val="18"/>
              </w:rPr>
              <w:t>Refinery/petrochemical technology is world-class-capital-intensive and investor-supplied; Sukulu's processing has under-performed.</w:t>
            </w:r>
          </w:p>
        </w:tc>
      </w:tr>
      <w:tr>
        <w:tc>
          <w:tcPr>
            <w:tcW w:type="dxa" w:w="4703"/>
            <w:shd w:val="clear" w:color="auto" w:fill="EEF3F9"/>
          </w:tcPr>
          <w:p>
            <w:r>
              <w:rPr>
                <w:b/>
                <w:sz w:val="18"/>
              </w:rPr>
              <w:t>Energy</w:t>
            </w:r>
          </w:p>
        </w:tc>
        <w:tc>
          <w:tcPr>
            <w:tcW w:type="dxa" w:w="4703"/>
            <w:shd w:val="clear" w:color="auto" w:fill="EEF3F9"/>
          </w:tcPr>
          <w:p>
            <w:r>
              <w:rPr>
                <w:sz w:val="18"/>
              </w:rPr>
              <w:t>Both strands are energy-intensive; the refinery will be self-supplying; fertilizer processing needs reliable power.</w:t>
            </w:r>
          </w:p>
        </w:tc>
      </w:tr>
      <w:tr>
        <w:tc>
          <w:tcPr>
            <w:tcW w:type="dxa" w:w="4703"/>
            <w:shd w:val="clear" w:color="auto" w:fill="FFFFFF"/>
          </w:tcPr>
          <w:p>
            <w:r>
              <w:rPr>
                <w:b/>
                <w:sz w:val="18"/>
              </w:rPr>
              <w:t>Water</w:t>
            </w:r>
          </w:p>
        </w:tc>
        <w:tc>
          <w:tcPr>
            <w:tcW w:type="dxa" w:w="4703"/>
            <w:shd w:val="clear" w:color="auto" w:fill="FFFFFF"/>
          </w:tcPr>
          <w:p>
            <w:r>
              <w:rPr>
                <w:sz w:val="18"/>
              </w:rPr>
              <w:t>Process water needed; managed under NEMA.</w:t>
            </w:r>
          </w:p>
        </w:tc>
      </w:tr>
      <w:tr>
        <w:tc>
          <w:tcPr>
            <w:tcW w:type="dxa" w:w="4703"/>
            <w:shd w:val="clear" w:color="auto" w:fill="EEF3F9"/>
          </w:tcPr>
          <w:p>
            <w:r>
              <w:rPr>
                <w:b/>
                <w:sz w:val="18"/>
              </w:rPr>
              <w:t>Logistics</w:t>
            </w:r>
          </w:p>
        </w:tc>
        <w:tc>
          <w:tcPr>
            <w:tcW w:type="dxa" w:w="4703"/>
            <w:shd w:val="clear" w:color="auto" w:fill="EEF3F9"/>
          </w:tcPr>
          <w:p>
            <w:r>
              <w:rPr>
                <w:sz w:val="18"/>
              </w:rPr>
              <w:t>Refinery linked to the crude pipeline and product distribution; fertilizer distribution to farmers is a rural-logistics challenge.</w:t>
            </w:r>
          </w:p>
        </w:tc>
      </w:tr>
      <w:tr>
        <w:tc>
          <w:tcPr>
            <w:tcW w:type="dxa" w:w="4703"/>
            <w:shd w:val="clear" w:color="auto" w:fill="FFFFFF"/>
          </w:tcPr>
          <w:p>
            <w:r>
              <w:rPr>
                <w:b/>
                <w:sz w:val="18"/>
              </w:rPr>
              <w:t>Waste &amp; effluent</w:t>
            </w:r>
          </w:p>
        </w:tc>
        <w:tc>
          <w:tcPr>
            <w:tcW w:type="dxa" w:w="4703"/>
            <w:shd w:val="clear" w:color="auto" w:fill="FFFFFF"/>
          </w:tcPr>
          <w:p>
            <w:r>
              <w:rPr>
                <w:sz w:val="18"/>
              </w:rPr>
              <w:t>Significant environmental management (refinery emissions, phosphogypsum from phosphate processing); NEMA-regulated.</w:t>
            </w:r>
          </w:p>
        </w:tc>
      </w:tr>
      <w:tr>
        <w:tc>
          <w:tcPr>
            <w:tcW w:type="dxa" w:w="4703"/>
            <w:shd w:val="clear" w:color="auto" w:fill="EEF3F9"/>
          </w:tcPr>
          <w:p>
            <w:r>
              <w:rPr>
                <w:b/>
                <w:sz w:val="18"/>
              </w:rPr>
              <w:t>Finance &amp; investment</w:t>
            </w:r>
          </w:p>
        </w:tc>
        <w:tc>
          <w:tcPr>
            <w:tcW w:type="dxa" w:w="4703"/>
            <w:shd w:val="clear" w:color="auto" w:fill="EEF3F9"/>
          </w:tcPr>
          <w:p>
            <w:r>
              <w:rPr>
                <w:sz w:val="18"/>
              </w:rPr>
              <w:t>Very large capital needs; refinery financed via the Alpha MBM agreement; Sukulu's collapse shows financing fragility.</w:t>
            </w:r>
          </w:p>
        </w:tc>
      </w:tr>
      <w:tr>
        <w:tc>
          <w:tcPr>
            <w:tcW w:type="dxa" w:w="4703"/>
            <w:shd w:val="clear" w:color="auto" w:fill="FFFFFF"/>
          </w:tcPr>
          <w:p>
            <w:r>
              <w:rPr>
                <w:b/>
                <w:sz w:val="18"/>
              </w:rPr>
              <w:t>Skills &amp; workforce</w:t>
            </w:r>
          </w:p>
        </w:tc>
        <w:tc>
          <w:tcPr>
            <w:tcW w:type="dxa" w:w="4703"/>
            <w:shd w:val="clear" w:color="auto" w:fill="FFFFFF"/>
          </w:tcPr>
          <w:p>
            <w:r>
              <w:rPr>
                <w:sz w:val="18"/>
              </w:rPr>
              <w:t>Chemical/process-engineering skills scarce; the oil sector is building some capacity.</w:t>
            </w:r>
          </w:p>
        </w:tc>
      </w:tr>
      <w:tr>
        <w:tc>
          <w:tcPr>
            <w:tcW w:type="dxa" w:w="4703"/>
            <w:shd w:val="clear" w:color="auto" w:fill="EEF3F9"/>
          </w:tcPr>
          <w:p>
            <w:r>
              <w:rPr>
                <w:b/>
                <w:sz w:val="18"/>
              </w:rPr>
              <w:t>Standards &amp; quality</w:t>
            </w:r>
          </w:p>
        </w:tc>
        <w:tc>
          <w:tcPr>
            <w:tcW w:type="dxa" w:w="4703"/>
            <w:shd w:val="clear" w:color="auto" w:fill="EEF3F9"/>
          </w:tcPr>
          <w:p>
            <w:r>
              <w:rPr>
                <w:sz w:val="18"/>
              </w:rPr>
              <w:t>Fertilizer quality standards (UNBS) and fuel specifications critical; sub-standard/adulterated fertilizer is a market problem.</w:t>
            </w:r>
          </w:p>
        </w:tc>
      </w:tr>
      <w:tr>
        <w:tc>
          <w:tcPr>
            <w:tcW w:type="dxa" w:w="4703"/>
            <w:shd w:val="clear" w:color="auto" w:fill="FFFFFF"/>
          </w:tcPr>
          <w:p>
            <w:r>
              <w:rPr>
                <w:b/>
                <w:sz w:val="18"/>
              </w:rPr>
              <w:t>Policy &amp; regulatory</w:t>
            </w:r>
          </w:p>
        </w:tc>
        <w:tc>
          <w:tcPr>
            <w:tcW w:type="dxa" w:w="4703"/>
            <w:shd w:val="clear" w:color="auto" w:fill="FFFFFF"/>
          </w:tcPr>
          <w:p>
            <w:r>
              <w:rPr>
                <w:sz w:val="18"/>
              </w:rPr>
              <w:t>Oil-sector governance (PAU, UNOC), fertilizer subsidy/quality policy, and agricultural-input programmes are decisive.</w:t>
            </w:r>
          </w:p>
        </w:tc>
      </w:tr>
    </w:tbl>
    <w:p/>
    <w:p>
      <w:pPr>
        <w:pStyle w:val="Heading2"/>
      </w:pPr>
      <w:r>
        <w:t>6.D Market Assessment</w:t>
      </w:r>
    </w:p>
    <w:p>
      <w:r>
        <w:rPr>
          <w:b/>
        </w:rPr>
        <w:t>Domestic.</w:t>
      </w:r>
      <w:r>
        <w:t xml:space="preserve"> Large unmet fertilizer demand (need approaching 1m t vs ~50,000 t imported) is the clearest immediate market — an agricultural-productivity imperative. Refined-product and plastics-feedstock demand is also large but awaits the refinery.</w:t>
      </w:r>
    </w:p>
    <w:p>
      <w:r>
        <w:rPr>
          <w:b/>
        </w:rPr>
        <w:t>Regional (EAC/COMESA).</w:t>
      </w:r>
      <w:r>
        <w:t xml:space="preserve"> A functioning refinery would supply regional fuel and petrochemical markets; fertilizer blending could serve regional agriculture. These are post-2029 prospects for petrochemicals.</w:t>
      </w:r>
    </w:p>
    <w:p>
      <w:r>
        <w:rPr>
          <w:b/>
        </w:rPr>
        <w:t>Global.</w:t>
      </w:r>
      <w:r>
        <w:t xml:space="preserve"> Not relevant in the medium term; the chain is about domestic/regional substitution.</w:t>
      </w:r>
    </w:p>
    <w:p>
      <w:r>
        <w:rPr>
          <w:b/>
        </w:rPr>
        <w:t>Accessible market conclusion.</w:t>
      </w:r>
      <w:r>
        <w:t xml:space="preserve"> In the near term, prioritize </w:t>
      </w:r>
      <w:r>
        <w:rPr>
          <w:b/>
        </w:rPr>
        <w:t>fertilizer supply for domestic agriculture</w:t>
      </w:r>
      <w:r>
        <w:t xml:space="preserve"> (revive/replace Sukulu; expand blending). In the medium term, the </w:t>
      </w:r>
      <w:r>
        <w:rPr>
          <w:b/>
        </w:rPr>
        <w:t>Kabalega petrochemical park</w:t>
      </w:r>
      <w:r>
        <w:t xml:space="preserve"> becomes the anchor once the refinery is operational.</w:t>
      </w:r>
    </w:p>
    <w:p>
      <w:pPr>
        <w:pStyle w:val="Heading2"/>
      </w:pPr>
      <w:r>
        <w:t>6.E Prioritized Products</w:t>
      </w:r>
    </w:p>
    <w:tbl>
      <w:tblPr>
        <w:tblStyle w:val="TableGrid"/>
        <w:tblW w:type="auto" w:w="0"/>
        <w:jc w:val="left"/>
        <w:tblLook w:firstColumn="1" w:firstRow="1" w:lastColumn="0" w:lastRow="0" w:noHBand="0" w:noVBand="1" w:val="04A0"/>
      </w:tblPr>
      <w:tblGrid>
        <w:gridCol w:w="1344"/>
        <w:gridCol w:w="1344"/>
        <w:gridCol w:w="1344"/>
        <w:gridCol w:w="1344"/>
        <w:gridCol w:w="1344"/>
        <w:gridCol w:w="1344"/>
        <w:gridCol w:w="1344"/>
      </w:tblGrid>
      <w:tr>
        <w:tc>
          <w:tcPr>
            <w:tcW w:type="dxa" w:w="1344"/>
            <w:shd w:val="clear" w:color="auto" w:fill="002B5B"/>
          </w:tcPr>
          <w:p>
            <w:r>
              <w:rPr>
                <w:b/>
                <w:color w:val="FFFFFF"/>
                <w:sz w:val="18"/>
              </w:rPr>
              <w:t>Product / sub-sector</w:t>
            </w:r>
          </w:p>
        </w:tc>
        <w:tc>
          <w:tcPr>
            <w:tcW w:type="dxa" w:w="1344"/>
            <w:shd w:val="clear" w:color="auto" w:fill="002B5B"/>
          </w:tcPr>
          <w:p>
            <w:r>
              <w:rPr>
                <w:b/>
                <w:color w:val="FFFFFF"/>
                <w:sz w:val="18"/>
              </w:rPr>
              <w:t>Market</w:t>
            </w:r>
          </w:p>
        </w:tc>
        <w:tc>
          <w:tcPr>
            <w:tcW w:type="dxa" w:w="1344"/>
            <w:shd w:val="clear" w:color="auto" w:fill="002B5B"/>
          </w:tcPr>
          <w:p>
            <w:r>
              <w:rPr>
                <w:b/>
                <w:color w:val="FFFFFF"/>
                <w:sz w:val="18"/>
              </w:rPr>
              <w:t>Comp. adv.</w:t>
            </w:r>
          </w:p>
        </w:tc>
        <w:tc>
          <w:tcPr>
            <w:tcW w:type="dxa" w:w="1344"/>
            <w:shd w:val="clear" w:color="auto" w:fill="002B5B"/>
          </w:tcPr>
          <w:p>
            <w:r>
              <w:rPr>
                <w:b/>
                <w:color w:val="FFFFFF"/>
                <w:sz w:val="18"/>
              </w:rPr>
              <w:t>Feasibility</w:t>
            </w:r>
          </w:p>
        </w:tc>
        <w:tc>
          <w:tcPr>
            <w:tcW w:type="dxa" w:w="1344"/>
            <w:shd w:val="clear" w:color="auto" w:fill="002B5B"/>
          </w:tcPr>
          <w:p>
            <w:r>
              <w:rPr>
                <w:b/>
                <w:color w:val="FFFFFF"/>
                <w:sz w:val="18"/>
              </w:rPr>
              <w:t>Jobs</w:t>
            </w:r>
          </w:p>
        </w:tc>
        <w:tc>
          <w:tcPr>
            <w:tcW w:type="dxa" w:w="1344"/>
            <w:shd w:val="clear" w:color="auto" w:fill="002B5B"/>
          </w:tcPr>
          <w:p>
            <w:r>
              <w:rPr>
                <w:b/>
                <w:color w:val="FFFFFF"/>
                <w:sz w:val="18"/>
              </w:rPr>
              <w:t>Import subst.</w:t>
            </w:r>
          </w:p>
        </w:tc>
        <w:tc>
          <w:tcPr>
            <w:tcW w:type="dxa" w:w="1344"/>
            <w:shd w:val="clear" w:color="auto" w:fill="002B5B"/>
          </w:tcPr>
          <w:p>
            <w:r>
              <w:rPr>
                <w:b/>
                <w:color w:val="FFFFFF"/>
                <w:sz w:val="18"/>
              </w:rPr>
              <w:t>Priority</w:t>
            </w:r>
          </w:p>
        </w:tc>
      </w:tr>
      <w:tr>
        <w:tc>
          <w:tcPr>
            <w:tcW w:type="dxa" w:w="1344"/>
            <w:shd w:val="clear" w:color="auto" w:fill="EEF3F9"/>
          </w:tcPr>
          <w:p>
            <w:r>
              <w:rPr>
                <w:b/>
                <w:sz w:val="18"/>
              </w:rPr>
              <w:t>Fertilizer (blending + phosphate revival)</w:t>
            </w:r>
          </w:p>
        </w:tc>
        <w:tc>
          <w:tcPr>
            <w:tcW w:type="dxa" w:w="1344"/>
            <w:shd w:val="clear" w:color="auto" w:fill="EEF3F9"/>
          </w:tcPr>
          <w:p>
            <w:r>
              <w:rPr>
                <w:sz w:val="18"/>
              </w:rPr>
              <w:t>Very high (unmet demand)</w:t>
            </w:r>
          </w:p>
        </w:tc>
        <w:tc>
          <w:tcPr>
            <w:tcW w:type="dxa" w:w="1344"/>
            <w:shd w:val="clear" w:color="auto" w:fill="EEF3F9"/>
          </w:tcPr>
          <w:p>
            <w:r>
              <w:rPr>
                <w:sz w:val="18"/>
              </w:rPr>
              <w:t>Medium (phosphate rock)</w:t>
            </w:r>
          </w:p>
        </w:tc>
        <w:tc>
          <w:tcPr>
            <w:tcW w:type="dxa" w:w="1344"/>
            <w:shd w:val="clear" w:color="auto" w:fill="EEF3F9"/>
          </w:tcPr>
          <w:p>
            <w:r>
              <w:rPr>
                <w:sz w:val="18"/>
              </w:rPr>
              <w:t>Medium</w:t>
            </w:r>
          </w:p>
        </w:tc>
        <w:tc>
          <w:tcPr>
            <w:tcW w:type="dxa" w:w="1344"/>
            <w:shd w:val="clear" w:color="auto" w:fill="EEF3F9"/>
          </w:tcPr>
          <w:p>
            <w:r>
              <w:rPr>
                <w:sz w:val="18"/>
              </w:rPr>
              <w:t>Medium</w:t>
            </w:r>
          </w:p>
        </w:tc>
        <w:tc>
          <w:tcPr>
            <w:tcW w:type="dxa" w:w="1344"/>
            <w:shd w:val="clear" w:color="auto" w:fill="EEF3F9"/>
          </w:tcPr>
          <w:p>
            <w:r>
              <w:rPr>
                <w:sz w:val="18"/>
              </w:rPr>
              <w:t>High</w:t>
            </w:r>
          </w:p>
        </w:tc>
        <w:tc>
          <w:tcPr>
            <w:tcW w:type="dxa" w:w="1344"/>
            <w:shd w:val="clear" w:color="auto" w:fill="EEF3F9"/>
          </w:tcPr>
          <w:p>
            <w:r>
              <w:rPr>
                <w:b/>
                <w:sz w:val="18"/>
              </w:rPr>
              <w:t>Priority</w:t>
            </w:r>
          </w:p>
        </w:tc>
      </w:tr>
      <w:tr>
        <w:tc>
          <w:tcPr>
            <w:tcW w:type="dxa" w:w="1344"/>
            <w:shd w:val="clear" w:color="auto" w:fill="FFFFFF"/>
          </w:tcPr>
          <w:p>
            <w:r>
              <w:rPr>
                <w:b/>
                <w:sz w:val="18"/>
              </w:rPr>
              <w:t>Sulphuric acid &amp; industrial chemicals</w:t>
            </w:r>
          </w:p>
        </w:tc>
        <w:tc>
          <w:tcPr>
            <w:tcW w:type="dxa" w:w="1344"/>
            <w:shd w:val="clear" w:color="auto" w:fill="FFFFFF"/>
          </w:tcPr>
          <w:p>
            <w:r>
              <w:rPr>
                <w:sz w:val="18"/>
              </w:rPr>
              <w:t>Medium</w:t>
            </w:r>
          </w:p>
        </w:tc>
        <w:tc>
          <w:tcPr>
            <w:tcW w:type="dxa" w:w="1344"/>
            <w:shd w:val="clear" w:color="auto" w:fill="FFFFFF"/>
          </w:tcPr>
          <w:p>
            <w:r>
              <w:rPr>
                <w:sz w:val="18"/>
              </w:rPr>
              <w:t>Medium</w:t>
            </w:r>
          </w:p>
        </w:tc>
        <w:tc>
          <w:tcPr>
            <w:tcW w:type="dxa" w:w="1344"/>
            <w:shd w:val="clear" w:color="auto" w:fill="FFFFFF"/>
          </w:tcPr>
          <w:p>
            <w:r>
              <w:rPr>
                <w:sz w:val="18"/>
              </w:rPr>
              <w:t>Medium</w:t>
            </w:r>
          </w:p>
        </w:tc>
        <w:tc>
          <w:tcPr>
            <w:tcW w:type="dxa" w:w="1344"/>
            <w:shd w:val="clear" w:color="auto" w:fill="FFFFFF"/>
          </w:tcPr>
          <w:p>
            <w:r>
              <w:rPr>
                <w:sz w:val="18"/>
              </w:rPr>
              <w:t>Low</w:t>
            </w:r>
          </w:p>
        </w:tc>
        <w:tc>
          <w:tcPr>
            <w:tcW w:type="dxa" w:w="1344"/>
            <w:shd w:val="clear" w:color="auto" w:fill="FFFFFF"/>
          </w:tcPr>
          <w:p>
            <w:r>
              <w:rPr>
                <w:sz w:val="18"/>
              </w:rPr>
              <w:t>Medium</w:t>
            </w:r>
          </w:p>
        </w:tc>
        <w:tc>
          <w:tcPr>
            <w:tcW w:type="dxa" w:w="1344"/>
            <w:shd w:val="clear" w:color="auto" w:fill="FFFFFF"/>
          </w:tcPr>
          <w:p>
            <w:r>
              <w:rPr>
                <w:b/>
                <w:sz w:val="18"/>
              </w:rPr>
              <w:t>Priority (paired with fertilizer)</w:t>
            </w:r>
          </w:p>
        </w:tc>
      </w:tr>
      <w:tr>
        <w:tc>
          <w:tcPr>
            <w:tcW w:type="dxa" w:w="1344"/>
            <w:shd w:val="clear" w:color="auto" w:fill="EEF3F9"/>
          </w:tcPr>
          <w:p>
            <w:r>
              <w:rPr>
                <w:b/>
                <w:sz w:val="18"/>
              </w:rPr>
              <w:t>Petrochemicals / polymers (Kabalega park)</w:t>
            </w:r>
          </w:p>
        </w:tc>
        <w:tc>
          <w:tcPr>
            <w:tcW w:type="dxa" w:w="1344"/>
            <w:shd w:val="clear" w:color="auto" w:fill="EEF3F9"/>
          </w:tcPr>
          <w:p>
            <w:r>
              <w:rPr>
                <w:sz w:val="18"/>
              </w:rPr>
              <w:t>High (post-2029)</w:t>
            </w:r>
          </w:p>
        </w:tc>
        <w:tc>
          <w:tcPr>
            <w:tcW w:type="dxa" w:w="1344"/>
            <w:shd w:val="clear" w:color="auto" w:fill="EEF3F9"/>
          </w:tcPr>
          <w:p>
            <w:r>
              <w:rPr>
                <w:sz w:val="18"/>
              </w:rPr>
              <w:t>High (future feedstock)</w:t>
            </w:r>
          </w:p>
        </w:tc>
        <w:tc>
          <w:tcPr>
            <w:tcW w:type="dxa" w:w="1344"/>
            <w:shd w:val="clear" w:color="auto" w:fill="EEF3F9"/>
          </w:tcPr>
          <w:p>
            <w:r>
              <w:rPr>
                <w:sz w:val="18"/>
              </w:rPr>
              <w:t>Low now</w:t>
            </w:r>
          </w:p>
        </w:tc>
        <w:tc>
          <w:tcPr>
            <w:tcW w:type="dxa" w:w="1344"/>
            <w:shd w:val="clear" w:color="auto" w:fill="EEF3F9"/>
          </w:tcPr>
          <w:p>
            <w:r>
              <w:rPr>
                <w:sz w:val="18"/>
              </w:rPr>
              <w:t>High</w:t>
            </w:r>
          </w:p>
        </w:tc>
        <w:tc>
          <w:tcPr>
            <w:tcW w:type="dxa" w:w="1344"/>
            <w:shd w:val="clear" w:color="auto" w:fill="EEF3F9"/>
          </w:tcPr>
          <w:p>
            <w:r>
              <w:rPr>
                <w:sz w:val="18"/>
              </w:rPr>
              <w:t>Very high</w:t>
            </w:r>
          </w:p>
        </w:tc>
        <w:tc>
          <w:tcPr>
            <w:tcW w:type="dxa" w:w="1344"/>
            <w:shd w:val="clear" w:color="auto" w:fill="EEF3F9"/>
          </w:tcPr>
          <w:p>
            <w:r>
              <w:rPr>
                <w:b/>
                <w:sz w:val="18"/>
              </w:rPr>
              <w:t>Priority (medium-term, sequenced)</w:t>
            </w:r>
          </w:p>
        </w:tc>
      </w:tr>
      <w:tr>
        <w:tc>
          <w:tcPr>
            <w:tcW w:type="dxa" w:w="1344"/>
            <w:shd w:val="clear" w:color="auto" w:fill="FFFFFF"/>
          </w:tcPr>
          <w:p>
            <w:r>
              <w:rPr>
                <w:sz w:val="18"/>
              </w:rPr>
              <w:t>Large-scale refined-product export</w:t>
            </w:r>
          </w:p>
        </w:tc>
        <w:tc>
          <w:tcPr>
            <w:tcW w:type="dxa" w:w="1344"/>
            <w:shd w:val="clear" w:color="auto" w:fill="FFFFFF"/>
          </w:tcPr>
          <w:p>
            <w:r>
              <w:rPr>
                <w:sz w:val="18"/>
              </w:rPr>
              <w:t>Medium</w:t>
            </w:r>
          </w:p>
        </w:tc>
        <w:tc>
          <w:tcPr>
            <w:tcW w:type="dxa" w:w="1344"/>
            <w:shd w:val="clear" w:color="auto" w:fill="FFFFFF"/>
          </w:tcPr>
          <w:p>
            <w:r>
              <w:rPr>
                <w:sz w:val="18"/>
              </w:rPr>
              <w:t>Low now</w:t>
            </w:r>
          </w:p>
        </w:tc>
        <w:tc>
          <w:tcPr>
            <w:tcW w:type="dxa" w:w="1344"/>
            <w:shd w:val="clear" w:color="auto" w:fill="FFFFFF"/>
          </w:tcPr>
          <w:p>
            <w:r>
              <w:rPr>
                <w:sz w:val="18"/>
              </w:rPr>
              <w:t>Low</w:t>
            </w:r>
          </w:p>
        </w:tc>
        <w:tc>
          <w:tcPr>
            <w:tcW w:type="dxa" w:w="1344"/>
            <w:shd w:val="clear" w:color="auto" w:fill="FFFFFF"/>
          </w:tcPr>
          <w:p>
            <w:r>
              <w:rPr>
                <w:sz w:val="18"/>
              </w:rPr>
              <w:t>Medium</w:t>
            </w:r>
          </w:p>
        </w:tc>
        <w:tc>
          <w:tcPr>
            <w:tcW w:type="dxa" w:w="1344"/>
            <w:shd w:val="clear" w:color="auto" w:fill="FFFFFF"/>
          </w:tcPr>
          <w:p>
            <w:r>
              <w:rPr>
                <w:sz w:val="18"/>
              </w:rPr>
              <w:t>Medium</w:t>
            </w:r>
          </w:p>
        </w:tc>
        <w:tc>
          <w:tcPr>
            <w:tcW w:type="dxa" w:w="1344"/>
            <w:shd w:val="clear" w:color="auto" w:fill="FFFFFF"/>
          </w:tcPr>
          <w:p>
            <w:r>
              <w:rPr>
                <w:sz w:val="18"/>
              </w:rPr>
              <w:t>Conditional (post-refinery)</w:t>
            </w:r>
          </w:p>
        </w:tc>
      </w:tr>
      <w:tr>
        <w:tc>
          <w:tcPr>
            <w:tcW w:type="dxa" w:w="1344"/>
            <w:shd w:val="clear" w:color="auto" w:fill="EEF3F9"/>
          </w:tcPr>
          <w:p>
            <w:r>
              <w:rPr>
                <w:sz w:val="18"/>
              </w:rPr>
              <w:t>Greenfield API/specialty chemicals</w:t>
            </w:r>
          </w:p>
        </w:tc>
        <w:tc>
          <w:tcPr>
            <w:tcW w:type="dxa" w:w="1344"/>
            <w:shd w:val="clear" w:color="auto" w:fill="EEF3F9"/>
          </w:tcPr>
          <w:p>
            <w:r>
              <w:rPr>
                <w:sz w:val="18"/>
              </w:rPr>
              <w:t>Low</w:t>
            </w:r>
          </w:p>
        </w:tc>
        <w:tc>
          <w:tcPr>
            <w:tcW w:type="dxa" w:w="1344"/>
            <w:shd w:val="clear" w:color="auto" w:fill="EEF3F9"/>
          </w:tcPr>
          <w:p>
            <w:r>
              <w:rPr>
                <w:sz w:val="18"/>
              </w:rPr>
              <w:t>Low</w:t>
            </w:r>
          </w:p>
        </w:tc>
        <w:tc>
          <w:tcPr>
            <w:tcW w:type="dxa" w:w="1344"/>
            <w:shd w:val="clear" w:color="auto" w:fill="EEF3F9"/>
          </w:tcPr>
          <w:p>
            <w:r>
              <w:rPr>
                <w:sz w:val="18"/>
              </w:rPr>
              <w:t>Low</w:t>
            </w:r>
          </w:p>
        </w:tc>
        <w:tc>
          <w:tcPr>
            <w:tcW w:type="dxa" w:w="1344"/>
            <w:shd w:val="clear" w:color="auto" w:fill="EEF3F9"/>
          </w:tcPr>
          <w:p>
            <w:r>
              <w:rPr>
                <w:sz w:val="18"/>
              </w:rPr>
              <w:t>Low</w:t>
            </w:r>
          </w:p>
        </w:tc>
        <w:tc>
          <w:tcPr>
            <w:tcW w:type="dxa" w:w="1344"/>
            <w:shd w:val="clear" w:color="auto" w:fill="EEF3F9"/>
          </w:tcPr>
          <w:p>
            <w:r>
              <w:rPr>
                <w:sz w:val="18"/>
              </w:rPr>
              <w:t>Low</w:t>
            </w:r>
          </w:p>
        </w:tc>
        <w:tc>
          <w:tcPr>
            <w:tcW w:type="dxa" w:w="1344"/>
            <w:shd w:val="clear" w:color="auto" w:fill="EEF3F9"/>
          </w:tcPr>
          <w:p>
            <w:r>
              <w:rPr>
                <w:sz w:val="18"/>
              </w:rPr>
              <w:t>Deprioritize</w:t>
            </w:r>
          </w:p>
        </w:tc>
      </w:tr>
    </w:tbl>
    <w:p/>
    <w:p>
      <w:r>
        <w:rPr>
          <w:b/>
        </w:rPr>
        <w:t>The three priorities for Petrochemicals &amp; Fertilizers:</w:t>
      </w:r>
    </w:p>
    <w:p>
      <w:pPr>
        <w:pStyle w:val="ListNumber"/>
      </w:pPr>
      <w:r>
        <w:rPr>
          <w:b/>
        </w:rPr>
        <w:t>Fertilizer — blending plus revival/replacement of phosphate processing</w:t>
      </w:r>
      <w:r>
        <w:t xml:space="preserve"> — the highest-urgency, highest-impact near-term opportunity, tied directly to agricultural productivity and the agro-industrialization agenda. Resolve the Sukulu stall or enable alternative blending capacity.</w:t>
      </w:r>
    </w:p>
    <w:p>
      <w:pPr>
        <w:pStyle w:val="ListNumber"/>
      </w:pPr>
      <w:r>
        <w:rPr>
          <w:b/>
        </w:rPr>
        <w:t>Sulphuric acid and basic industrial chemicals</w:t>
      </w:r>
      <w:r>
        <w:t xml:space="preserve"> — naturally paired with phosphate processing and useful across industry.</w:t>
      </w:r>
    </w:p>
    <w:p>
      <w:pPr>
        <w:pStyle w:val="ListNumber"/>
      </w:pPr>
      <w:r>
        <w:rPr>
          <w:b/>
        </w:rPr>
        <w:t>Petrochemicals/polymers at the Kabalega park</w:t>
      </w:r>
      <w:r>
        <w:t xml:space="preserve"> — the transformational medium-term prize, sequenced to the refinery (~2029–30); preparing the park, skills, and downstream plastics linkage now (Chapter 8).</w:t>
      </w:r>
    </w:p>
    <w:p>
      <w:r>
        <w:rPr>
          <w:b/>
        </w:rPr>
        <w:t>Explicit deprioritization.</w:t>
      </w:r>
      <w:r>
        <w:t xml:space="preserve"> Uganda should </w:t>
      </w:r>
      <w:r>
        <w:rPr>
          <w:b/>
        </w:rPr>
        <w:t>not</w:t>
      </w:r>
      <w:r>
        <w:t xml:space="preserve"> pursue greenfield specialty-chemical or large-scale refined-product export ambitions ahead of the refinery. Near-term focus belongs on </w:t>
      </w:r>
      <w:r>
        <w:rPr>
          <w:b/>
        </w:rPr>
        <w:t>fertilizer for domestic agriculture</w:t>
      </w:r>
      <w:r>
        <w:t xml:space="preserve">; petrochemicals are real but must be </w:t>
      </w:r>
      <w:r>
        <w:rPr>
          <w:b/>
        </w:rPr>
        <w:t>sequenced</w:t>
      </w:r>
      <w:r>
        <w:t xml:space="preserve"> to the refinery timeline rather than pursued prematurely.</w:t>
      </w:r>
    </w:p>
    <w:p>
      <w:pPr>
        <w:pStyle w:val="Heading2"/>
      </w:pPr>
      <w:r>
        <w:t>6.F Priority Action Matrix</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Timeframe</w:t>
            </w:r>
          </w:p>
        </w:tc>
        <w:tc>
          <w:tcPr>
            <w:tcW w:type="dxa" w:w="2351"/>
            <w:shd w:val="clear" w:color="auto" w:fill="002B5B"/>
          </w:tcPr>
          <w:p>
            <w:r>
              <w:rPr>
                <w:b/>
                <w:color w:val="FFFFFF"/>
                <w:sz w:val="18"/>
              </w:rPr>
              <w:t>Action</w:t>
            </w:r>
          </w:p>
        </w:tc>
        <w:tc>
          <w:tcPr>
            <w:tcW w:type="dxa" w:w="2351"/>
            <w:shd w:val="clear" w:color="auto" w:fill="002B5B"/>
          </w:tcPr>
          <w:p>
            <w:r>
              <w:rPr>
                <w:b/>
                <w:color w:val="FFFFFF"/>
                <w:sz w:val="18"/>
              </w:rPr>
              <w:t>Lead</w:t>
            </w:r>
          </w:p>
        </w:tc>
        <w:tc>
          <w:tcPr>
            <w:tcW w:type="dxa" w:w="2351"/>
            <w:shd w:val="clear" w:color="auto" w:fill="002B5B"/>
          </w:tcPr>
          <w:p>
            <w:r>
              <w:rPr>
                <w:b/>
                <w:color w:val="FFFFFF"/>
                <w:sz w:val="18"/>
              </w:rPr>
              <w:t>Indicative cost</w:t>
            </w:r>
          </w:p>
        </w:tc>
      </w:tr>
      <w:tr>
        <w:tc>
          <w:tcPr>
            <w:tcW w:type="dxa" w:w="2351"/>
            <w:shd w:val="clear" w:color="auto" w:fill="EEF3F9"/>
          </w:tcPr>
          <w:p>
            <w:r>
              <w:rPr>
                <w:b/>
                <w:sz w:val="18"/>
              </w:rPr>
              <w:t>Quick win (0–12m)</w:t>
            </w:r>
          </w:p>
        </w:tc>
        <w:tc>
          <w:tcPr>
            <w:tcW w:type="dxa" w:w="2351"/>
            <w:shd w:val="clear" w:color="auto" w:fill="EEF3F9"/>
          </w:tcPr>
          <w:p>
            <w:r>
              <w:rPr>
                <w:sz w:val="18"/>
              </w:rPr>
              <w:t>Resolve Sukulu status (restructure, re-finance, or re-tender); expand fertilizer blending &amp; quality enforcement</w:t>
            </w:r>
          </w:p>
        </w:tc>
        <w:tc>
          <w:tcPr>
            <w:tcW w:type="dxa" w:w="2351"/>
            <w:shd w:val="clear" w:color="auto" w:fill="EEF3F9"/>
          </w:tcPr>
          <w:p>
            <w:r>
              <w:rPr>
                <w:sz w:val="18"/>
              </w:rPr>
              <w:t>MTIC, MEMD, MAAIF, UNBS</w:t>
            </w:r>
          </w:p>
        </w:tc>
        <w:tc>
          <w:tcPr>
            <w:tcW w:type="dxa" w:w="2351"/>
            <w:shd w:val="clear" w:color="auto" w:fill="EEF3F9"/>
          </w:tcPr>
          <w:p>
            <w:r>
              <w:rPr>
                <w:sz w:val="18"/>
              </w:rPr>
              <w:t>Low–Medium</w:t>
            </w:r>
          </w:p>
        </w:tc>
      </w:tr>
      <w:tr>
        <w:tc>
          <w:tcPr>
            <w:tcW w:type="dxa" w:w="2351"/>
            <w:shd w:val="clear" w:color="auto" w:fill="FFFFFF"/>
          </w:tcPr>
          <w:p>
            <w:r>
              <w:rPr>
                <w:sz w:val="18"/>
              </w:rPr>
              <w:t>Quick win (0–12m)</w:t>
            </w:r>
          </w:p>
        </w:tc>
        <w:tc>
          <w:tcPr>
            <w:tcW w:type="dxa" w:w="2351"/>
            <w:shd w:val="clear" w:color="auto" w:fill="FFFFFF"/>
          </w:tcPr>
          <w:p>
            <w:r>
              <w:rPr>
                <w:sz w:val="18"/>
              </w:rPr>
              <w:t>Fertilizer quality enforcement against adulteration (UNBS)</w:t>
            </w:r>
          </w:p>
        </w:tc>
        <w:tc>
          <w:tcPr>
            <w:tcW w:type="dxa" w:w="2351"/>
            <w:shd w:val="clear" w:color="auto" w:fill="FFFFFF"/>
          </w:tcPr>
          <w:p>
            <w:r>
              <w:rPr>
                <w:sz w:val="18"/>
              </w:rPr>
              <w:t>UNBS, MAAIF</w:t>
            </w:r>
          </w:p>
        </w:tc>
        <w:tc>
          <w:tcPr>
            <w:tcW w:type="dxa" w:w="2351"/>
            <w:shd w:val="clear" w:color="auto" w:fill="FFFFFF"/>
          </w:tcPr>
          <w:p>
            <w:r>
              <w:rPr>
                <w:sz w:val="18"/>
              </w:rPr>
              <w:t>Low</w:t>
            </w:r>
          </w:p>
        </w:tc>
      </w:tr>
      <w:tr>
        <w:tc>
          <w:tcPr>
            <w:tcW w:type="dxa" w:w="2351"/>
            <w:shd w:val="clear" w:color="auto" w:fill="EEF3F9"/>
          </w:tcPr>
          <w:p>
            <w:r>
              <w:rPr>
                <w:b/>
                <w:sz w:val="18"/>
              </w:rPr>
              <w:t>Reform (1–3y)</w:t>
            </w:r>
          </w:p>
        </w:tc>
        <w:tc>
          <w:tcPr>
            <w:tcW w:type="dxa" w:w="2351"/>
            <w:shd w:val="clear" w:color="auto" w:fill="EEF3F9"/>
          </w:tcPr>
          <w:p>
            <w:r>
              <w:rPr>
                <w:sz w:val="18"/>
              </w:rPr>
              <w:t>Fertilizer strategy + targeted subsidy/agro-input programme to lift application rates</w:t>
            </w:r>
          </w:p>
        </w:tc>
        <w:tc>
          <w:tcPr>
            <w:tcW w:type="dxa" w:w="2351"/>
            <w:shd w:val="clear" w:color="auto" w:fill="EEF3F9"/>
          </w:tcPr>
          <w:p>
            <w:r>
              <w:rPr>
                <w:sz w:val="18"/>
              </w:rPr>
              <w:t>MAAIF, MoFPED</w:t>
            </w:r>
          </w:p>
        </w:tc>
        <w:tc>
          <w:tcPr>
            <w:tcW w:type="dxa" w:w="2351"/>
            <w:shd w:val="clear" w:color="auto" w:fill="EEF3F9"/>
          </w:tcPr>
          <w:p>
            <w:r>
              <w:rPr>
                <w:sz w:val="18"/>
              </w:rPr>
              <w:t>Medium</w:t>
            </w:r>
          </w:p>
        </w:tc>
      </w:tr>
      <w:tr>
        <w:tc>
          <w:tcPr>
            <w:tcW w:type="dxa" w:w="2351"/>
            <w:shd w:val="clear" w:color="auto" w:fill="FFFFFF"/>
          </w:tcPr>
          <w:p>
            <w:r>
              <w:rPr>
                <w:sz w:val="18"/>
              </w:rPr>
              <w:t>Reform (1–3y)</w:t>
            </w:r>
          </w:p>
        </w:tc>
        <w:tc>
          <w:tcPr>
            <w:tcW w:type="dxa" w:w="2351"/>
            <w:shd w:val="clear" w:color="auto" w:fill="FFFFFF"/>
          </w:tcPr>
          <w:p>
            <w:r>
              <w:rPr>
                <w:sz w:val="18"/>
              </w:rPr>
              <w:t>Kabalega Petrochemical Park readiness (infrastructure, downstream plastics linkage, skills)</w:t>
            </w:r>
          </w:p>
        </w:tc>
        <w:tc>
          <w:tcPr>
            <w:tcW w:type="dxa" w:w="2351"/>
            <w:shd w:val="clear" w:color="auto" w:fill="FFFFFF"/>
          </w:tcPr>
          <w:p>
            <w:r>
              <w:rPr>
                <w:sz w:val="18"/>
              </w:rPr>
              <w:t>PAU, UNOC, MTIC</w:t>
            </w:r>
          </w:p>
        </w:tc>
        <w:tc>
          <w:tcPr>
            <w:tcW w:type="dxa" w:w="2351"/>
            <w:shd w:val="clear" w:color="auto" w:fill="FFFFFF"/>
          </w:tcPr>
          <w:p>
            <w:r>
              <w:rPr>
                <w:sz w:val="18"/>
              </w:rPr>
              <w:t>Medium</w:t>
            </w:r>
          </w:p>
        </w:tc>
      </w:tr>
      <w:tr>
        <w:tc>
          <w:tcPr>
            <w:tcW w:type="dxa" w:w="2351"/>
            <w:shd w:val="clear" w:color="auto" w:fill="EEF3F9"/>
          </w:tcPr>
          <w:p>
            <w:r>
              <w:rPr>
                <w:b/>
                <w:sz w:val="18"/>
              </w:rPr>
              <w:t>Investment (3–5y)</w:t>
            </w:r>
          </w:p>
        </w:tc>
        <w:tc>
          <w:tcPr>
            <w:tcW w:type="dxa" w:w="2351"/>
            <w:shd w:val="clear" w:color="auto" w:fill="EEF3F9"/>
          </w:tcPr>
          <w:p>
            <w:r>
              <w:rPr>
                <w:sz w:val="18"/>
              </w:rPr>
              <w:t>Refinery + petrochemical park build-out (Alpha MBM agreement)</w:t>
            </w:r>
          </w:p>
        </w:tc>
        <w:tc>
          <w:tcPr>
            <w:tcW w:type="dxa" w:w="2351"/>
            <w:shd w:val="clear" w:color="auto" w:fill="EEF3F9"/>
          </w:tcPr>
          <w:p>
            <w:r>
              <w:rPr>
                <w:sz w:val="18"/>
              </w:rPr>
              <w:t>Investor + UNOC (PPP)</w:t>
            </w:r>
          </w:p>
        </w:tc>
        <w:tc>
          <w:tcPr>
            <w:tcW w:type="dxa" w:w="2351"/>
            <w:shd w:val="clear" w:color="auto" w:fill="EEF3F9"/>
          </w:tcPr>
          <w:p>
            <w:r>
              <w:rPr>
                <w:sz w:val="18"/>
              </w:rPr>
              <w:t>~USD 4bn (announced)</w:t>
            </w:r>
          </w:p>
        </w:tc>
      </w:tr>
      <w:tr>
        <w:tc>
          <w:tcPr>
            <w:tcW w:type="dxa" w:w="2351"/>
            <w:shd w:val="clear" w:color="auto" w:fill="FFFFFF"/>
          </w:tcPr>
          <w:p>
            <w:r>
              <w:rPr>
                <w:sz w:val="18"/>
              </w:rPr>
              <w:t>Investment (3–5y)</w:t>
            </w:r>
          </w:p>
        </w:tc>
        <w:tc>
          <w:tcPr>
            <w:tcW w:type="dxa" w:w="2351"/>
            <w:shd w:val="clear" w:color="auto" w:fill="FFFFFF"/>
          </w:tcPr>
          <w:p>
            <w:r>
              <w:rPr>
                <w:sz w:val="18"/>
              </w:rPr>
              <w:t>Phosphate processing revival / new blending capacity</w:t>
            </w:r>
          </w:p>
        </w:tc>
        <w:tc>
          <w:tcPr>
            <w:tcW w:type="dxa" w:w="2351"/>
            <w:shd w:val="clear" w:color="auto" w:fill="FFFFFF"/>
          </w:tcPr>
          <w:p>
            <w:r>
              <w:rPr>
                <w:sz w:val="18"/>
              </w:rPr>
              <w:t>Private-led / PPP</w:t>
            </w:r>
          </w:p>
        </w:tc>
        <w:tc>
          <w:tcPr>
            <w:tcW w:type="dxa" w:w="2351"/>
            <w:shd w:val="clear" w:color="auto" w:fill="FFFFFF"/>
          </w:tcPr>
          <w:p>
            <w:r>
              <w:rPr>
                <w:sz w:val="18"/>
              </w:rPr>
              <w:t>Indicative (see Ch.11)</w:t>
            </w:r>
          </w:p>
        </w:tc>
      </w:tr>
    </w:tbl>
    <w:p/>
    <w:p>
      <w:pPr>
        <w:pStyle w:val="Heading2"/>
      </w:pPr>
      <w:r>
        <w:t>References</w:t>
      </w:r>
    </w:p>
    <w:p>
      <w:pPr>
        <w:pStyle w:val="ListBullet"/>
      </w:pPr>
      <w:r>
        <w:t>Uganda National Oil Company, "The Uganda Refinery Project." https://www.unoc.co.ug/midstream/the-uganda-refinery-project/</w:t>
      </w:r>
    </w:p>
    <w:p>
      <w:pPr>
        <w:pStyle w:val="ListBullet"/>
      </w:pPr>
      <w:r>
        <w:t>Petroleum Authority of Uganda, "The Uganda Refinery Project." https://www.pau.go.ug/the-uganda-refinery-project/</w:t>
      </w:r>
    </w:p>
    <w:p>
      <w:pPr>
        <w:pStyle w:val="ListBullet"/>
      </w:pPr>
      <w:r>
        <w:t>Hydrocarbon Engineering, "Uganda refinery to start operations by early 2030" (Oct 2025). https://www.hydrocarbonengineering.com/refining/13102025/uganda-refinery-to-start-operations-by-early-2030/</w:t>
      </w:r>
    </w:p>
    <w:p>
      <w:pPr>
        <w:pStyle w:val="ListBullet"/>
      </w:pPr>
      <w:r>
        <w:t>Osukuru Industrial Complex (Wikipedia). https://en.wikipedia.org/wiki/Osukuru_Industrial_Complex</w:t>
      </w:r>
    </w:p>
    <w:p>
      <w:pPr>
        <w:pStyle w:val="ListBullet"/>
      </w:pPr>
      <w:r>
        <w:t>Free Zones Authority, "President commissions Tororo Sukulu Phosphate Project." https://freezones.go.ug/president-commissions-tororo-sukulu-phosphate-project/</w:t>
      </w:r>
    </w:p>
    <w:p>
      <w:pPr>
        <w:pStyle w:val="ListBullet"/>
      </w:pPr>
      <w:r>
        <w:t>Milling Middle East &amp; Africa, "Tororo Fertiliser Factory in limbo five months after resuming operations" (2023). https://www.millingmea.com/tororo-fertiliser-factory-in-limbo-five-months-after-resuming-operations/</w:t>
      </w:r>
    </w:p>
    <w:p>
      <w:pPr>
        <w:pStyle w:val="ListBullet"/>
      </w:pPr>
      <w:r>
        <w:t>ITC TradeMap, trade statistics — HS 3105, Uganda, 2024. https://www.trademap.org</w:t>
      </w:r>
    </w:p>
    <w:p>
      <w:r>
        <w:br w:type="page"/>
      </w:r>
    </w:p>
    <w:p>
      <w:pPr>
        <w:pStyle w:val="Heading1"/>
      </w:pPr>
      <w:r>
        <w:t>Chapter 7: Sugar &amp; Confectionery Value Chain</w:t>
      </w:r>
    </w:p>
    <w:p>
      <w:r>
        <w:rPr>
          <w:b/>
        </w:rPr>
        <w:t>Report:</w:t>
      </w:r>
      <w:r>
        <w:t xml:space="preserve"> Report 2</w:t>
      </w:r>
    </w:p>
    <w:p>
      <w:r>
        <w:rPr>
          <w:b/>
        </w:rPr>
        <w:t>Status:</w:t>
      </w:r>
      <w:r>
        <w:t xml:space="preserve"> Draft for validation</w:t>
      </w:r>
    </w:p>
    <w:p>
      <w:r>
        <w:rPr>
          <w:b/>
        </w:rPr>
        <w:t>Primary sources:</w:t>
      </w:r>
      <w:r>
        <w:t xml:space="preserve"> Uganda Sugar Manufacturers' Association (USMA); sector data; ITC TradeMap (2024).</w:t>
      </w:r>
    </w:p>
    <w:p>
      <w:pPr>
        <w:pStyle w:val="Heading2"/>
      </w:pPr>
      <w:r>
        <w:t>7.A Value Chain Map</w:t>
      </w:r>
    </w:p>
    <w:p>
      <w:r>
        <w:t xml:space="preserve">The sugar chain runs from sugarcane cultivation through milling to refined sugar, with downstream branches into industrial sugar, confectionery, ethanol, and co-generation. Uganda has a </w:t>
      </w:r>
      <w:r>
        <w:rPr>
          <w:b/>
        </w:rPr>
        <w:t>mature, competitive milling industry</w:t>
      </w:r>
      <w:r>
        <w:t xml:space="preserve"> and, unusually for Report 2, is in </w:t>
      </w:r>
      <w:r>
        <w:rPr>
          <w:b/>
        </w:rPr>
        <w:t>structural surplus</w:t>
      </w:r>
      <w:r>
        <w:t xml:space="preserve"> — making the strategic question one of </w:t>
      </w:r>
      <w:r>
        <w:rPr>
          <w:b/>
        </w:rPr>
        <w:t>downstream diversification</w:t>
      </w:r>
      <w:r>
        <w:t>, not raw expansion.</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Phase</w:t>
            </w:r>
          </w:p>
        </w:tc>
        <w:tc>
          <w:tcPr>
            <w:tcW w:type="dxa" w:w="2351"/>
            <w:shd w:val="clear" w:color="auto" w:fill="002B5B"/>
          </w:tcPr>
          <w:p>
            <w:r>
              <w:rPr>
                <w:b/>
                <w:color w:val="FFFFFF"/>
                <w:sz w:val="18"/>
              </w:rPr>
              <w:t>Activity</w:t>
            </w:r>
          </w:p>
        </w:tc>
        <w:tc>
          <w:tcPr>
            <w:tcW w:type="dxa" w:w="2351"/>
            <w:shd w:val="clear" w:color="auto" w:fill="002B5B"/>
          </w:tcPr>
          <w:p>
            <w:r>
              <w:rPr>
                <w:b/>
                <w:color w:val="FFFFFF"/>
                <w:sz w:val="18"/>
              </w:rPr>
              <w:t>Main inputs</w:t>
            </w:r>
          </w:p>
        </w:tc>
        <w:tc>
          <w:tcPr>
            <w:tcW w:type="dxa" w:w="2351"/>
            <w:shd w:val="clear" w:color="auto" w:fill="002B5B"/>
          </w:tcPr>
          <w:p>
            <w:r>
              <w:rPr>
                <w:b/>
                <w:color w:val="FFFFFF"/>
                <w:sz w:val="18"/>
              </w:rPr>
              <w:t>Output</w:t>
            </w:r>
          </w:p>
        </w:tc>
      </w:tr>
      <w:tr>
        <w:tc>
          <w:tcPr>
            <w:tcW w:type="dxa" w:w="2351"/>
            <w:shd w:val="clear" w:color="auto" w:fill="EEF3F9"/>
          </w:tcPr>
          <w:p>
            <w:r>
              <w:rPr>
                <w:sz w:val="18"/>
              </w:rPr>
              <w:t>I</w:t>
            </w:r>
          </w:p>
        </w:tc>
        <w:tc>
          <w:tcPr>
            <w:tcW w:type="dxa" w:w="2351"/>
            <w:shd w:val="clear" w:color="auto" w:fill="EEF3F9"/>
          </w:tcPr>
          <w:p>
            <w:r>
              <w:rPr>
                <w:sz w:val="18"/>
              </w:rPr>
              <w:t>Cane growing</w:t>
            </w:r>
          </w:p>
        </w:tc>
        <w:tc>
          <w:tcPr>
            <w:tcW w:type="dxa" w:w="2351"/>
            <w:shd w:val="clear" w:color="auto" w:fill="EEF3F9"/>
          </w:tcPr>
          <w:p>
            <w:r>
              <w:rPr>
                <w:sz w:val="18"/>
              </w:rPr>
              <w:t>Land, inputs</w:t>
            </w:r>
          </w:p>
        </w:tc>
        <w:tc>
          <w:tcPr>
            <w:tcW w:type="dxa" w:w="2351"/>
            <w:shd w:val="clear" w:color="auto" w:fill="EEF3F9"/>
          </w:tcPr>
          <w:p>
            <w:r>
              <w:rPr>
                <w:sz w:val="18"/>
              </w:rPr>
              <w:t>Sugarcane</w:t>
            </w:r>
          </w:p>
        </w:tc>
      </w:tr>
      <w:tr>
        <w:tc>
          <w:tcPr>
            <w:tcW w:type="dxa" w:w="2351"/>
            <w:shd w:val="clear" w:color="auto" w:fill="FFFFFF"/>
          </w:tcPr>
          <w:p>
            <w:r>
              <w:rPr>
                <w:sz w:val="18"/>
              </w:rPr>
              <w:t>II</w:t>
            </w:r>
          </w:p>
        </w:tc>
        <w:tc>
          <w:tcPr>
            <w:tcW w:type="dxa" w:w="2351"/>
            <w:shd w:val="clear" w:color="auto" w:fill="FFFFFF"/>
          </w:tcPr>
          <w:p>
            <w:r>
              <w:rPr>
                <w:sz w:val="18"/>
              </w:rPr>
              <w:t>Milling</w:t>
            </w:r>
          </w:p>
        </w:tc>
        <w:tc>
          <w:tcPr>
            <w:tcW w:type="dxa" w:w="2351"/>
            <w:shd w:val="clear" w:color="auto" w:fill="FFFFFF"/>
          </w:tcPr>
          <w:p>
            <w:r>
              <w:rPr>
                <w:sz w:val="18"/>
              </w:rPr>
              <w:t>Cane</w:t>
            </w:r>
          </w:p>
        </w:tc>
        <w:tc>
          <w:tcPr>
            <w:tcW w:type="dxa" w:w="2351"/>
            <w:shd w:val="clear" w:color="auto" w:fill="FFFFFF"/>
          </w:tcPr>
          <w:p>
            <w:r>
              <w:rPr>
                <w:sz w:val="18"/>
              </w:rPr>
              <w:t>Raw/brown sugar, molasses, bagasse</w:t>
            </w:r>
          </w:p>
        </w:tc>
      </w:tr>
      <w:tr>
        <w:tc>
          <w:tcPr>
            <w:tcW w:type="dxa" w:w="2351"/>
            <w:shd w:val="clear" w:color="auto" w:fill="EEF3F9"/>
          </w:tcPr>
          <w:p>
            <w:r>
              <w:rPr>
                <w:sz w:val="18"/>
              </w:rPr>
              <w:t>III</w:t>
            </w:r>
          </w:p>
        </w:tc>
        <w:tc>
          <w:tcPr>
            <w:tcW w:type="dxa" w:w="2351"/>
            <w:shd w:val="clear" w:color="auto" w:fill="EEF3F9"/>
          </w:tcPr>
          <w:p>
            <w:r>
              <w:rPr>
                <w:sz w:val="18"/>
              </w:rPr>
              <w:t>Refining</w:t>
            </w:r>
          </w:p>
        </w:tc>
        <w:tc>
          <w:tcPr>
            <w:tcW w:type="dxa" w:w="2351"/>
            <w:shd w:val="clear" w:color="auto" w:fill="EEF3F9"/>
          </w:tcPr>
          <w:p>
            <w:r>
              <w:rPr>
                <w:sz w:val="18"/>
              </w:rPr>
              <w:t>Raw sugar</w:t>
            </w:r>
          </w:p>
        </w:tc>
        <w:tc>
          <w:tcPr>
            <w:tcW w:type="dxa" w:w="2351"/>
            <w:shd w:val="clear" w:color="auto" w:fill="EEF3F9"/>
          </w:tcPr>
          <w:p>
            <w:r>
              <w:rPr>
                <w:sz w:val="18"/>
              </w:rPr>
              <w:t>Refined/industrial sugar</w:t>
            </w:r>
          </w:p>
        </w:tc>
      </w:tr>
      <w:tr>
        <w:tc>
          <w:tcPr>
            <w:tcW w:type="dxa" w:w="2351"/>
            <w:shd w:val="clear" w:color="auto" w:fill="FFFFFF"/>
          </w:tcPr>
          <w:p>
            <w:r>
              <w:rPr>
                <w:sz w:val="18"/>
              </w:rPr>
              <w:t>IV</w:t>
            </w:r>
          </w:p>
        </w:tc>
        <w:tc>
          <w:tcPr>
            <w:tcW w:type="dxa" w:w="2351"/>
            <w:shd w:val="clear" w:color="auto" w:fill="FFFFFF"/>
          </w:tcPr>
          <w:p>
            <w:r>
              <w:rPr>
                <w:sz w:val="18"/>
              </w:rPr>
              <w:t>Downstream</w:t>
            </w:r>
          </w:p>
        </w:tc>
        <w:tc>
          <w:tcPr>
            <w:tcW w:type="dxa" w:w="2351"/>
            <w:shd w:val="clear" w:color="auto" w:fill="FFFFFF"/>
          </w:tcPr>
          <w:p>
            <w:r>
              <w:rPr>
                <w:sz w:val="18"/>
              </w:rPr>
              <w:t>Sugar, molasses, bagasse</w:t>
            </w:r>
          </w:p>
        </w:tc>
        <w:tc>
          <w:tcPr>
            <w:tcW w:type="dxa" w:w="2351"/>
            <w:shd w:val="clear" w:color="auto" w:fill="FFFFFF"/>
          </w:tcPr>
          <w:p>
            <w:r>
              <w:rPr>
                <w:sz w:val="18"/>
              </w:rPr>
              <w:t>Confectionery, ethanol, electricity (co-gen)</w:t>
            </w:r>
          </w:p>
        </w:tc>
      </w:tr>
      <w:tr>
        <w:tc>
          <w:tcPr>
            <w:tcW w:type="dxa" w:w="2351"/>
            <w:shd w:val="clear" w:color="auto" w:fill="EEF3F9"/>
          </w:tcPr>
          <w:p>
            <w:r>
              <w:rPr>
                <w:sz w:val="18"/>
              </w:rPr>
              <w:t>V</w:t>
            </w:r>
          </w:p>
        </w:tc>
        <w:tc>
          <w:tcPr>
            <w:tcW w:type="dxa" w:w="2351"/>
            <w:shd w:val="clear" w:color="auto" w:fill="EEF3F9"/>
          </w:tcPr>
          <w:p>
            <w:r>
              <w:rPr>
                <w:sz w:val="18"/>
              </w:rPr>
              <w:t>Market</w:t>
            </w:r>
          </w:p>
        </w:tc>
        <w:tc>
          <w:tcPr>
            <w:tcW w:type="dxa" w:w="2351"/>
            <w:shd w:val="clear" w:color="auto" w:fill="EEF3F9"/>
          </w:tcPr>
          <w:p>
            <w:r>
              <w:rPr>
                <w:sz w:val="18"/>
              </w:rPr>
              <w:t>Products</w:t>
            </w:r>
          </w:p>
        </w:tc>
        <w:tc>
          <w:tcPr>
            <w:tcW w:type="dxa" w:w="2351"/>
            <w:shd w:val="clear" w:color="auto" w:fill="EEF3F9"/>
          </w:tcPr>
          <w:p>
            <w:r>
              <w:rPr>
                <w:sz w:val="18"/>
              </w:rPr>
              <w:t>Domestic + regional sales</w:t>
            </w:r>
          </w:p>
        </w:tc>
      </w:tr>
    </w:tbl>
    <w:p/>
    <w:p>
      <w:r>
        <w:rPr>
          <w:b/>
        </w:rPr>
        <w:t>Where value is captured and lost.</w:t>
      </w:r>
      <w:r>
        <w:t xml:space="preserve"> Uganda produces a surplus of brown sugar but still imports some </w:t>
      </w:r>
      <w:r>
        <w:rPr>
          <w:b/>
        </w:rPr>
        <w:t>industrial/refined sugar</w:t>
      </w:r>
      <w:r>
        <w:t xml:space="preserve"> and confectionery, and under-exploits downstream products (ethanol, co-generation, confectionery). Sugar imports (HS 1701) were about </w:t>
      </w:r>
      <w:r>
        <w:rPr>
          <w:b/>
        </w:rPr>
        <w:t>USD 38.1 million in 2024</w:t>
      </w:r>
      <w:r>
        <w:t xml:space="preserve"> — largely industrial sugar not yet made domestically at sufficient scale — even as the country exports surplus brown sugar regionally (ITC TradeMap).</w:t>
      </w:r>
    </w:p>
    <w:p>
      <w:pPr>
        <w:pStyle w:val="Heading2"/>
      </w:pPr>
      <w:r>
        <w:t>7.B Current State Assessment</w:t>
      </w:r>
    </w:p>
    <w:p>
      <w:r>
        <w:rPr>
          <w:b/>
        </w:rPr>
        <w:t>Production and surplus.</w:t>
      </w:r>
      <w:r>
        <w:t xml:space="preserve"> National sugar output reached about </w:t>
      </w:r>
      <w:r>
        <w:rPr>
          <w:b/>
        </w:rPr>
        <w:t>822,000 tonnes (2022)</w:t>
      </w:r>
      <w:r>
        <w:t xml:space="preserve"> — roughly 720,000 t brown table sugar and 102,000 t industrial sugar — against domestic consumption of about </w:t>
      </w:r>
      <w:r>
        <w:rPr>
          <w:b/>
        </w:rPr>
        <w:t>370,000 tonnes</w:t>
      </w:r>
      <w:r>
        <w:t xml:space="preserve">, leaving a structural </w:t>
      </w:r>
      <w:r>
        <w:rPr>
          <w:b/>
        </w:rPr>
        <w:t>surplus of 180,000+ tonnes</w:t>
      </w:r>
      <w:r>
        <w:t xml:space="preserve"> (sector data; Wikipedia </w:t>
      </w:r>
      <w:r>
        <w:rPr>
          <w:i/>
        </w:rPr>
        <w:t>Sugar industry in Uganda</w:t>
      </w:r>
      <w:r>
        <w:t>). The surplus, plus continued licensing of new mills, has created over-supply and price pressure — the live policy issue in the sector.</w:t>
      </w:r>
    </w:p>
    <w:p>
      <w:r>
        <w:rPr>
          <w:b/>
        </w:rPr>
        <w:t>Firms.</w:t>
      </w:r>
      <w:r>
        <w:t xml:space="preserve"> </w:t>
      </w:r>
      <w:r>
        <w:rPr>
          <w:b/>
        </w:rPr>
        <w:t>Kakira Sugar Works</w:t>
      </w:r>
      <w:r>
        <w:t xml:space="preserve"> is the largest producer (around half of national output, crushing over 2 million tonnes of cane/year), followed by </w:t>
      </w:r>
      <w:r>
        <w:rPr>
          <w:b/>
        </w:rPr>
        <w:t>Kinyara Sugar</w:t>
      </w:r>
      <w:r>
        <w:t xml:space="preserve"> (industrial-sugar refinery expanded to ~75,000 t in 2023), </w:t>
      </w:r>
      <w:r>
        <w:rPr>
          <w:b/>
        </w:rPr>
        <w:t>Sugar Corporation of Uganda (SCOUL)</w:t>
      </w:r>
      <w:r>
        <w:t xml:space="preserve">, </w:t>
      </w:r>
      <w:r>
        <w:rPr>
          <w:b/>
        </w:rPr>
        <w:t>Mayuge Sugar</w:t>
      </w:r>
      <w:r>
        <w:t>, and a growing number of smaller mills (USMA; Kakira; Food Business MEA, 2023).</w:t>
      </w:r>
    </w:p>
    <w:p>
      <w:r>
        <w:rPr>
          <w:b/>
        </w:rPr>
        <w:t>Downstream.</w:t>
      </w:r>
      <w:r>
        <w:t xml:space="preserve"> Molasses supports ethanol production; bagasse supports co-generation (electricity to the grid); confectionery is a growing but still substantially import-supplied segment.</w:t>
      </w:r>
    </w:p>
    <w:p>
      <w:r>
        <w:rPr>
          <w:b/>
        </w:rPr>
        <w:t>Trade position (ITC TradeMap, 2024).</w:t>
      </w:r>
      <w:r>
        <w:t xml:space="preserve"> Sugar (HS 1701) imports ~USD 38.1m (mostly industrial sugar); regional exports of brown sugar to EAC neighbours. Uganda is a </w:t>
      </w:r>
      <w:r>
        <w:rPr>
          <w:b/>
        </w:rPr>
        <w:t>net surplus producer of brown sugar but a net importer of industrial/specialty sugar and confectionery</w:t>
      </w:r>
      <w:r>
        <w:t>.</w:t>
      </w:r>
    </w:p>
    <w:p>
      <w:pPr>
        <w:pStyle w:val="Heading2"/>
      </w:pPr>
      <w:r>
        <w:t>7.C Binding Constraints Analysis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Dimension</w:t>
            </w:r>
          </w:p>
        </w:tc>
        <w:tc>
          <w:tcPr>
            <w:tcW w:type="dxa" w:w="4703"/>
            <w:shd w:val="clear" w:color="auto" w:fill="002B5B"/>
          </w:tcPr>
          <w:p>
            <w:r>
              <w:rPr>
                <w:b/>
                <w:color w:val="FFFFFF"/>
                <w:sz w:val="18"/>
              </w:rPr>
              <w:t>Assessment</w:t>
            </w:r>
          </w:p>
        </w:tc>
      </w:tr>
      <w:tr>
        <w:tc>
          <w:tcPr>
            <w:tcW w:type="dxa" w:w="4703"/>
            <w:shd w:val="clear" w:color="auto" w:fill="EEF3F9"/>
          </w:tcPr>
          <w:p>
            <w:r>
              <w:rPr>
                <w:b/>
                <w:sz w:val="18"/>
              </w:rPr>
              <w:t>Inputs / raw materials</w:t>
            </w:r>
          </w:p>
        </w:tc>
        <w:tc>
          <w:tcPr>
            <w:tcW w:type="dxa" w:w="4703"/>
            <w:shd w:val="clear" w:color="auto" w:fill="EEF3F9"/>
          </w:tcPr>
          <w:p>
            <w:r>
              <w:rPr>
                <w:sz w:val="18"/>
              </w:rPr>
              <w:t>Cane supply is ample (surplus); out-grower coordination and cane quality vary; over-licensing strains cane supply per mill.</w:t>
            </w:r>
          </w:p>
        </w:tc>
      </w:tr>
      <w:tr>
        <w:tc>
          <w:tcPr>
            <w:tcW w:type="dxa" w:w="4703"/>
            <w:shd w:val="clear" w:color="auto" w:fill="FFFFFF"/>
          </w:tcPr>
          <w:p>
            <w:r>
              <w:rPr>
                <w:b/>
                <w:sz w:val="18"/>
              </w:rPr>
              <w:t>Technology &amp; productivity</w:t>
            </w:r>
          </w:p>
        </w:tc>
        <w:tc>
          <w:tcPr>
            <w:tcW w:type="dxa" w:w="4703"/>
            <w:shd w:val="clear" w:color="auto" w:fill="FFFFFF"/>
          </w:tcPr>
          <w:p>
            <w:r>
              <w:rPr>
                <w:sz w:val="18"/>
              </w:rPr>
              <w:t>Milling is mature; downstream (refining to industrial grade, ethanol, confectionery) needs technology investment.</w:t>
            </w:r>
          </w:p>
        </w:tc>
      </w:tr>
      <w:tr>
        <w:tc>
          <w:tcPr>
            <w:tcW w:type="dxa" w:w="4703"/>
            <w:shd w:val="clear" w:color="auto" w:fill="EEF3F9"/>
          </w:tcPr>
          <w:p>
            <w:r>
              <w:rPr>
                <w:b/>
                <w:sz w:val="18"/>
              </w:rPr>
              <w:t>Energy</w:t>
            </w:r>
          </w:p>
        </w:tc>
        <w:tc>
          <w:tcPr>
            <w:tcW w:type="dxa" w:w="4703"/>
            <w:shd w:val="clear" w:color="auto" w:fill="EEF3F9"/>
          </w:tcPr>
          <w:p>
            <w:r>
              <w:rPr>
                <w:sz w:val="18"/>
              </w:rPr>
              <w:t>Co-generation is an opportunity (bagasse to grid), turning a constraint into a revenue line.</w:t>
            </w:r>
          </w:p>
        </w:tc>
      </w:tr>
      <w:tr>
        <w:tc>
          <w:tcPr>
            <w:tcW w:type="dxa" w:w="4703"/>
            <w:shd w:val="clear" w:color="auto" w:fill="FFFFFF"/>
          </w:tcPr>
          <w:p>
            <w:r>
              <w:rPr>
                <w:b/>
                <w:sz w:val="18"/>
              </w:rPr>
              <w:t>Water</w:t>
            </w:r>
          </w:p>
        </w:tc>
        <w:tc>
          <w:tcPr>
            <w:tcW w:type="dxa" w:w="4703"/>
            <w:shd w:val="clear" w:color="auto" w:fill="FFFFFF"/>
          </w:tcPr>
          <w:p>
            <w:r>
              <w:rPr>
                <w:sz w:val="18"/>
              </w:rPr>
              <w:t>Process water managed; effluent from distilleries (ethanol) needs treatment (NEMA).</w:t>
            </w:r>
          </w:p>
        </w:tc>
      </w:tr>
      <w:tr>
        <w:tc>
          <w:tcPr>
            <w:tcW w:type="dxa" w:w="4703"/>
            <w:shd w:val="clear" w:color="auto" w:fill="EEF3F9"/>
          </w:tcPr>
          <w:p>
            <w:r>
              <w:rPr>
                <w:b/>
                <w:sz w:val="18"/>
              </w:rPr>
              <w:t>Logistics</w:t>
            </w:r>
          </w:p>
        </w:tc>
        <w:tc>
          <w:tcPr>
            <w:tcW w:type="dxa" w:w="4703"/>
            <w:shd w:val="clear" w:color="auto" w:fill="EEF3F9"/>
          </w:tcPr>
          <w:p>
            <w:r>
              <w:rPr>
                <w:sz w:val="18"/>
              </w:rPr>
              <w:t>Regional export of bulk sugar bears the landlocked penalty; domestic distribution is adequate.</w:t>
            </w:r>
          </w:p>
        </w:tc>
      </w:tr>
      <w:tr>
        <w:tc>
          <w:tcPr>
            <w:tcW w:type="dxa" w:w="4703"/>
            <w:shd w:val="clear" w:color="auto" w:fill="FFFFFF"/>
          </w:tcPr>
          <w:p>
            <w:r>
              <w:rPr>
                <w:b/>
                <w:sz w:val="18"/>
              </w:rPr>
              <w:t>Waste &amp; effluent</w:t>
            </w:r>
          </w:p>
        </w:tc>
        <w:tc>
          <w:tcPr>
            <w:tcW w:type="dxa" w:w="4703"/>
            <w:shd w:val="clear" w:color="auto" w:fill="FFFFFF"/>
          </w:tcPr>
          <w:p>
            <w:r>
              <w:rPr>
                <w:sz w:val="18"/>
              </w:rPr>
              <w:t>Distillery effluent (vinasse) and bagasse ash require management; circular-economy potential.</w:t>
            </w:r>
          </w:p>
        </w:tc>
      </w:tr>
      <w:tr>
        <w:tc>
          <w:tcPr>
            <w:tcW w:type="dxa" w:w="4703"/>
            <w:shd w:val="clear" w:color="auto" w:fill="EEF3F9"/>
          </w:tcPr>
          <w:p>
            <w:r>
              <w:rPr>
                <w:b/>
                <w:sz w:val="18"/>
              </w:rPr>
              <w:t>Finance &amp; investment</w:t>
            </w:r>
          </w:p>
        </w:tc>
        <w:tc>
          <w:tcPr>
            <w:tcW w:type="dxa" w:w="4703"/>
            <w:shd w:val="clear" w:color="auto" w:fill="EEF3F9"/>
          </w:tcPr>
          <w:p>
            <w:r>
              <w:rPr>
                <w:sz w:val="18"/>
              </w:rPr>
              <w:t>Downstream plants (refining, ethanol, confectionery) need capital; milling is well-capitalised.</w:t>
            </w:r>
          </w:p>
        </w:tc>
      </w:tr>
      <w:tr>
        <w:tc>
          <w:tcPr>
            <w:tcW w:type="dxa" w:w="4703"/>
            <w:shd w:val="clear" w:color="auto" w:fill="FFFFFF"/>
          </w:tcPr>
          <w:p>
            <w:r>
              <w:rPr>
                <w:b/>
                <w:sz w:val="18"/>
              </w:rPr>
              <w:t>Skills &amp; workforce</w:t>
            </w:r>
          </w:p>
        </w:tc>
        <w:tc>
          <w:tcPr>
            <w:tcW w:type="dxa" w:w="4703"/>
            <w:shd w:val="clear" w:color="auto" w:fill="FFFFFF"/>
          </w:tcPr>
          <w:p>
            <w:r>
              <w:rPr>
                <w:sz w:val="18"/>
              </w:rPr>
              <w:t>Food-technology and process skills needed for downstream diversification.</w:t>
            </w:r>
          </w:p>
        </w:tc>
      </w:tr>
      <w:tr>
        <w:tc>
          <w:tcPr>
            <w:tcW w:type="dxa" w:w="4703"/>
            <w:shd w:val="clear" w:color="auto" w:fill="EEF3F9"/>
          </w:tcPr>
          <w:p>
            <w:r>
              <w:rPr>
                <w:b/>
                <w:sz w:val="18"/>
              </w:rPr>
              <w:t>Standards &amp; quality</w:t>
            </w:r>
          </w:p>
        </w:tc>
        <w:tc>
          <w:tcPr>
            <w:tcW w:type="dxa" w:w="4703"/>
            <w:shd w:val="clear" w:color="auto" w:fill="EEF3F9"/>
          </w:tcPr>
          <w:p>
            <w:r>
              <w:rPr>
                <w:sz w:val="18"/>
              </w:rPr>
              <w:t>Food-safety and industrial-sugar specifications (UNBS) gate the industrial and export markets.</w:t>
            </w:r>
          </w:p>
        </w:tc>
      </w:tr>
      <w:tr>
        <w:tc>
          <w:tcPr>
            <w:tcW w:type="dxa" w:w="4703"/>
            <w:shd w:val="clear" w:color="auto" w:fill="FFFFFF"/>
          </w:tcPr>
          <w:p>
            <w:r>
              <w:rPr>
                <w:b/>
                <w:sz w:val="18"/>
              </w:rPr>
              <w:t>Policy &amp; regulatory</w:t>
            </w:r>
          </w:p>
        </w:tc>
        <w:tc>
          <w:tcPr>
            <w:tcW w:type="dxa" w:w="4703"/>
            <w:shd w:val="clear" w:color="auto" w:fill="FFFFFF"/>
          </w:tcPr>
          <w:p>
            <w:r>
              <w:rPr>
                <w:sz w:val="18"/>
              </w:rPr>
              <w:t>The Sugar Act, licensing/zoning of new mills, and the over-supply problem are the central policy questions; export coordination matters.</w:t>
            </w:r>
          </w:p>
        </w:tc>
      </w:tr>
    </w:tbl>
    <w:p/>
    <w:p>
      <w:pPr>
        <w:pStyle w:val="Heading2"/>
      </w:pPr>
      <w:r>
        <w:t>7.D Market Assessment</w:t>
      </w:r>
    </w:p>
    <w:p>
      <w:r>
        <w:rPr>
          <w:b/>
        </w:rPr>
        <w:t>Domestic.</w:t>
      </w:r>
      <w:r>
        <w:t xml:space="preserve"> Brown sugar is over-supplied; the genuine domestic gaps are </w:t>
      </w:r>
      <w:r>
        <w:rPr>
          <w:b/>
        </w:rPr>
        <w:t>industrial/refined sugar</w:t>
      </w:r>
      <w:r>
        <w:t xml:space="preserve"> (for beverages, pharmaceuticals, food processing — the USD 38m import line) and </w:t>
      </w:r>
      <w:r>
        <w:rPr>
          <w:b/>
        </w:rPr>
        <w:t>confectionery</w:t>
      </w:r>
      <w:r>
        <w:t>.</w:t>
      </w:r>
    </w:p>
    <w:p>
      <w:r>
        <w:rPr>
          <w:b/>
        </w:rPr>
        <w:t>Regional (EAC/COMESA).</w:t>
      </w:r>
      <w:r>
        <w:t xml:space="preserve"> Surplus brown sugar finds regional markets (Kenya, South Sudan, DRC), subject to EAC trade dynamics and periodic restrictions. Industrial sugar and ethanol have regional demand.</w:t>
      </w:r>
    </w:p>
    <w:p>
      <w:r>
        <w:rPr>
          <w:b/>
        </w:rPr>
        <w:t>Global.</w:t>
      </w:r>
      <w:r>
        <w:t xml:space="preserve"> Uganda is not a globally competitive raw-sugar exporter; the global market is distorted and scale-driven. The realistic horizon is </w:t>
      </w:r>
      <w:r>
        <w:rPr>
          <w:b/>
        </w:rPr>
        <w:t>regional brown-sugar export plus domestic downstream diversification</w:t>
      </w:r>
      <w:r>
        <w:t>.</w:t>
      </w:r>
    </w:p>
    <w:p>
      <w:r>
        <w:rPr>
          <w:b/>
        </w:rPr>
        <w:t>Accessible market conclusion.</w:t>
      </w:r>
      <w:r>
        <w:t xml:space="preserve"> Prioritize </w:t>
      </w:r>
      <w:r>
        <w:rPr>
          <w:b/>
        </w:rPr>
        <w:t>downstream diversification</w:t>
      </w:r>
      <w:r>
        <w:t xml:space="preserve"> — industrial sugar, ethanol, co-generation, confectionery — to absorb the surplus into higher-value products, rather than expanding raw brown-sugar capacity.</w:t>
      </w:r>
    </w:p>
    <w:p>
      <w:pPr>
        <w:pStyle w:val="Heading2"/>
      </w:pPr>
      <w:r>
        <w:t>7.E Prioritized Products</w:t>
      </w:r>
    </w:p>
    <w:tbl>
      <w:tblPr>
        <w:tblStyle w:val="TableGrid"/>
        <w:tblW w:type="auto" w:w="0"/>
        <w:jc w:val="left"/>
        <w:tblLook w:firstColumn="1" w:firstRow="1" w:lastColumn="0" w:lastRow="0" w:noHBand="0" w:noVBand="1" w:val="04A0"/>
      </w:tblPr>
      <w:tblGrid>
        <w:gridCol w:w="1344"/>
        <w:gridCol w:w="1344"/>
        <w:gridCol w:w="1344"/>
        <w:gridCol w:w="1344"/>
        <w:gridCol w:w="1344"/>
        <w:gridCol w:w="1344"/>
        <w:gridCol w:w="1344"/>
      </w:tblGrid>
      <w:tr>
        <w:tc>
          <w:tcPr>
            <w:tcW w:type="dxa" w:w="1344"/>
            <w:shd w:val="clear" w:color="auto" w:fill="002B5B"/>
          </w:tcPr>
          <w:p>
            <w:r>
              <w:rPr>
                <w:b/>
                <w:color w:val="FFFFFF"/>
                <w:sz w:val="18"/>
              </w:rPr>
              <w:t>Product / sub-sector</w:t>
            </w:r>
          </w:p>
        </w:tc>
        <w:tc>
          <w:tcPr>
            <w:tcW w:type="dxa" w:w="1344"/>
            <w:shd w:val="clear" w:color="auto" w:fill="002B5B"/>
          </w:tcPr>
          <w:p>
            <w:r>
              <w:rPr>
                <w:b/>
                <w:color w:val="FFFFFF"/>
                <w:sz w:val="18"/>
              </w:rPr>
              <w:t>Market</w:t>
            </w:r>
          </w:p>
        </w:tc>
        <w:tc>
          <w:tcPr>
            <w:tcW w:type="dxa" w:w="1344"/>
            <w:shd w:val="clear" w:color="auto" w:fill="002B5B"/>
          </w:tcPr>
          <w:p>
            <w:r>
              <w:rPr>
                <w:b/>
                <w:color w:val="FFFFFF"/>
                <w:sz w:val="18"/>
              </w:rPr>
              <w:t>Comp. adv.</w:t>
            </w:r>
          </w:p>
        </w:tc>
        <w:tc>
          <w:tcPr>
            <w:tcW w:type="dxa" w:w="1344"/>
            <w:shd w:val="clear" w:color="auto" w:fill="002B5B"/>
          </w:tcPr>
          <w:p>
            <w:r>
              <w:rPr>
                <w:b/>
                <w:color w:val="FFFFFF"/>
                <w:sz w:val="18"/>
              </w:rPr>
              <w:t>Feasibility</w:t>
            </w:r>
          </w:p>
        </w:tc>
        <w:tc>
          <w:tcPr>
            <w:tcW w:type="dxa" w:w="1344"/>
            <w:shd w:val="clear" w:color="auto" w:fill="002B5B"/>
          </w:tcPr>
          <w:p>
            <w:r>
              <w:rPr>
                <w:b/>
                <w:color w:val="FFFFFF"/>
                <w:sz w:val="18"/>
              </w:rPr>
              <w:t>Jobs</w:t>
            </w:r>
          </w:p>
        </w:tc>
        <w:tc>
          <w:tcPr>
            <w:tcW w:type="dxa" w:w="1344"/>
            <w:shd w:val="clear" w:color="auto" w:fill="002B5B"/>
          </w:tcPr>
          <w:p>
            <w:r>
              <w:rPr>
                <w:b/>
                <w:color w:val="FFFFFF"/>
                <w:sz w:val="18"/>
              </w:rPr>
              <w:t>Import subst.</w:t>
            </w:r>
          </w:p>
        </w:tc>
        <w:tc>
          <w:tcPr>
            <w:tcW w:type="dxa" w:w="1344"/>
            <w:shd w:val="clear" w:color="auto" w:fill="002B5B"/>
          </w:tcPr>
          <w:p>
            <w:r>
              <w:rPr>
                <w:b/>
                <w:color w:val="FFFFFF"/>
                <w:sz w:val="18"/>
              </w:rPr>
              <w:t>Priority</w:t>
            </w:r>
          </w:p>
        </w:tc>
      </w:tr>
      <w:tr>
        <w:tc>
          <w:tcPr>
            <w:tcW w:type="dxa" w:w="1344"/>
            <w:shd w:val="clear" w:color="auto" w:fill="EEF3F9"/>
          </w:tcPr>
          <w:p>
            <w:r>
              <w:rPr>
                <w:b/>
                <w:sz w:val="18"/>
              </w:rPr>
              <w:t>Industrial / refined sugar</w:t>
            </w:r>
          </w:p>
        </w:tc>
        <w:tc>
          <w:tcPr>
            <w:tcW w:type="dxa" w:w="1344"/>
            <w:shd w:val="clear" w:color="auto" w:fill="EEF3F9"/>
          </w:tcPr>
          <w:p>
            <w:r>
              <w:rPr>
                <w:sz w:val="18"/>
              </w:rPr>
              <w:t>High (USD 38m imports)</w:t>
            </w:r>
          </w:p>
        </w:tc>
        <w:tc>
          <w:tcPr>
            <w:tcW w:type="dxa" w:w="1344"/>
            <w:shd w:val="clear" w:color="auto" w:fill="EEF3F9"/>
          </w:tcPr>
          <w:p>
            <w:r>
              <w:rPr>
                <w:sz w:val="18"/>
              </w:rPr>
              <w:t>High (surplus cane)</w:t>
            </w:r>
          </w:p>
        </w:tc>
        <w:tc>
          <w:tcPr>
            <w:tcW w:type="dxa" w:w="1344"/>
            <w:shd w:val="clear" w:color="auto" w:fill="EEF3F9"/>
          </w:tcPr>
          <w:p>
            <w:r>
              <w:rPr>
                <w:sz w:val="18"/>
              </w:rPr>
              <w:t>High</w:t>
            </w:r>
          </w:p>
        </w:tc>
        <w:tc>
          <w:tcPr>
            <w:tcW w:type="dxa" w:w="1344"/>
            <w:shd w:val="clear" w:color="auto" w:fill="EEF3F9"/>
          </w:tcPr>
          <w:p>
            <w:r>
              <w:rPr>
                <w:sz w:val="18"/>
              </w:rPr>
              <w:t>Medium</w:t>
            </w:r>
          </w:p>
        </w:tc>
        <w:tc>
          <w:tcPr>
            <w:tcW w:type="dxa" w:w="1344"/>
            <w:shd w:val="clear" w:color="auto" w:fill="EEF3F9"/>
          </w:tcPr>
          <w:p>
            <w:r>
              <w:rPr>
                <w:sz w:val="18"/>
              </w:rPr>
              <w:t>High</w:t>
            </w:r>
          </w:p>
        </w:tc>
        <w:tc>
          <w:tcPr>
            <w:tcW w:type="dxa" w:w="1344"/>
            <w:shd w:val="clear" w:color="auto" w:fill="EEF3F9"/>
          </w:tcPr>
          <w:p>
            <w:r>
              <w:rPr>
                <w:b/>
                <w:sz w:val="18"/>
              </w:rPr>
              <w:t>Priority</w:t>
            </w:r>
          </w:p>
        </w:tc>
      </w:tr>
      <w:tr>
        <w:tc>
          <w:tcPr>
            <w:tcW w:type="dxa" w:w="1344"/>
            <w:shd w:val="clear" w:color="auto" w:fill="FFFFFF"/>
          </w:tcPr>
          <w:p>
            <w:r>
              <w:rPr>
                <w:b/>
                <w:sz w:val="18"/>
              </w:rPr>
              <w:t>Ethanol (fuel &amp; potable/industrial)</w:t>
            </w:r>
          </w:p>
        </w:tc>
        <w:tc>
          <w:tcPr>
            <w:tcW w:type="dxa" w:w="1344"/>
            <w:shd w:val="clear" w:color="auto" w:fill="FFFFFF"/>
          </w:tcPr>
          <w:p>
            <w:r>
              <w:rPr>
                <w:sz w:val="18"/>
              </w:rPr>
              <w:t>High (blending, regional)</w:t>
            </w:r>
          </w:p>
        </w:tc>
        <w:tc>
          <w:tcPr>
            <w:tcW w:type="dxa" w:w="1344"/>
            <w:shd w:val="clear" w:color="auto" w:fill="FFFFFF"/>
          </w:tcPr>
          <w:p>
            <w:r>
              <w:rPr>
                <w:sz w:val="18"/>
              </w:rPr>
              <w:t>High (molasses)</w:t>
            </w:r>
          </w:p>
        </w:tc>
        <w:tc>
          <w:tcPr>
            <w:tcW w:type="dxa" w:w="1344"/>
            <w:shd w:val="clear" w:color="auto" w:fill="FFFFFF"/>
          </w:tcPr>
          <w:p>
            <w:r>
              <w:rPr>
                <w:sz w:val="18"/>
              </w:rPr>
              <w:t>High</w:t>
            </w:r>
          </w:p>
        </w:tc>
        <w:tc>
          <w:tcPr>
            <w:tcW w:type="dxa" w:w="1344"/>
            <w:shd w:val="clear" w:color="auto" w:fill="FFFFFF"/>
          </w:tcPr>
          <w:p>
            <w:r>
              <w:rPr>
                <w:sz w:val="18"/>
              </w:rPr>
              <w:t>Medium</w:t>
            </w:r>
          </w:p>
        </w:tc>
        <w:tc>
          <w:tcPr>
            <w:tcW w:type="dxa" w:w="1344"/>
            <w:shd w:val="clear" w:color="auto" w:fill="FFFFFF"/>
          </w:tcPr>
          <w:p>
            <w:r>
              <w:rPr>
                <w:sz w:val="18"/>
              </w:rPr>
              <w:t>High</w:t>
            </w:r>
          </w:p>
        </w:tc>
        <w:tc>
          <w:tcPr>
            <w:tcW w:type="dxa" w:w="1344"/>
            <w:shd w:val="clear" w:color="auto" w:fill="FFFFFF"/>
          </w:tcPr>
          <w:p>
            <w:r>
              <w:rPr>
                <w:b/>
                <w:sz w:val="18"/>
              </w:rPr>
              <w:t>Priority</w:t>
            </w:r>
          </w:p>
        </w:tc>
      </w:tr>
      <w:tr>
        <w:tc>
          <w:tcPr>
            <w:tcW w:type="dxa" w:w="1344"/>
            <w:shd w:val="clear" w:color="auto" w:fill="EEF3F9"/>
          </w:tcPr>
          <w:p>
            <w:r>
              <w:rPr>
                <w:b/>
                <w:sz w:val="18"/>
              </w:rPr>
              <w:t>Co-generation (bagasse to grid)</w:t>
            </w:r>
          </w:p>
        </w:tc>
        <w:tc>
          <w:tcPr>
            <w:tcW w:type="dxa" w:w="1344"/>
            <w:shd w:val="clear" w:color="auto" w:fill="EEF3F9"/>
          </w:tcPr>
          <w:p>
            <w:r>
              <w:rPr>
                <w:sz w:val="18"/>
              </w:rPr>
              <w:t>Medium–High</w:t>
            </w:r>
          </w:p>
        </w:tc>
        <w:tc>
          <w:tcPr>
            <w:tcW w:type="dxa" w:w="1344"/>
            <w:shd w:val="clear" w:color="auto" w:fill="EEF3F9"/>
          </w:tcPr>
          <w:p>
            <w:r>
              <w:rPr>
                <w:sz w:val="18"/>
              </w:rPr>
              <w:t>High (bagasse)</w:t>
            </w:r>
          </w:p>
        </w:tc>
        <w:tc>
          <w:tcPr>
            <w:tcW w:type="dxa" w:w="1344"/>
            <w:shd w:val="clear" w:color="auto" w:fill="EEF3F9"/>
          </w:tcPr>
          <w:p>
            <w:r>
              <w:rPr>
                <w:sz w:val="18"/>
              </w:rPr>
              <w:t>High</w:t>
            </w:r>
          </w:p>
        </w:tc>
        <w:tc>
          <w:tcPr>
            <w:tcW w:type="dxa" w:w="1344"/>
            <w:shd w:val="clear" w:color="auto" w:fill="EEF3F9"/>
          </w:tcPr>
          <w:p>
            <w:r>
              <w:rPr>
                <w:sz w:val="18"/>
              </w:rPr>
              <w:t>Low</w:t>
            </w:r>
          </w:p>
        </w:tc>
        <w:tc>
          <w:tcPr>
            <w:tcW w:type="dxa" w:w="1344"/>
            <w:shd w:val="clear" w:color="auto" w:fill="EEF3F9"/>
          </w:tcPr>
          <w:p>
            <w:r>
              <w:rPr>
                <w:sz w:val="18"/>
              </w:rPr>
              <w:t>Energy benefit</w:t>
            </w:r>
          </w:p>
        </w:tc>
        <w:tc>
          <w:tcPr>
            <w:tcW w:type="dxa" w:w="1344"/>
            <w:shd w:val="clear" w:color="auto" w:fill="EEF3F9"/>
          </w:tcPr>
          <w:p>
            <w:r>
              <w:rPr>
                <w:b/>
                <w:sz w:val="18"/>
              </w:rPr>
              <w:t>Priority</w:t>
            </w:r>
          </w:p>
        </w:tc>
      </w:tr>
      <w:tr>
        <w:tc>
          <w:tcPr>
            <w:tcW w:type="dxa" w:w="1344"/>
            <w:shd w:val="clear" w:color="auto" w:fill="FFFFFF"/>
          </w:tcPr>
          <w:p>
            <w:r>
              <w:rPr>
                <w:b/>
                <w:sz w:val="18"/>
              </w:rPr>
              <w:t>Confectionery</w:t>
            </w:r>
          </w:p>
        </w:tc>
        <w:tc>
          <w:tcPr>
            <w:tcW w:type="dxa" w:w="1344"/>
            <w:shd w:val="clear" w:color="auto" w:fill="FFFFFF"/>
          </w:tcPr>
          <w:p>
            <w:r>
              <w:rPr>
                <w:sz w:val="18"/>
              </w:rPr>
              <w:t>Medium</w:t>
            </w:r>
          </w:p>
        </w:tc>
        <w:tc>
          <w:tcPr>
            <w:tcW w:type="dxa" w:w="1344"/>
            <w:shd w:val="clear" w:color="auto" w:fill="FFFFFF"/>
          </w:tcPr>
          <w:p>
            <w:r>
              <w:rPr>
                <w:sz w:val="18"/>
              </w:rPr>
              <w:t>Medium</w:t>
            </w:r>
          </w:p>
        </w:tc>
        <w:tc>
          <w:tcPr>
            <w:tcW w:type="dxa" w:w="1344"/>
            <w:shd w:val="clear" w:color="auto" w:fill="FFFFFF"/>
          </w:tcPr>
          <w:p>
            <w:r>
              <w:rPr>
                <w:sz w:val="18"/>
              </w:rPr>
              <w:t>Medium</w:t>
            </w:r>
          </w:p>
        </w:tc>
        <w:tc>
          <w:tcPr>
            <w:tcW w:type="dxa" w:w="1344"/>
            <w:shd w:val="clear" w:color="auto" w:fill="FFFFFF"/>
          </w:tcPr>
          <w:p>
            <w:r>
              <w:rPr>
                <w:sz w:val="18"/>
              </w:rPr>
              <w:t>High</w:t>
            </w:r>
          </w:p>
        </w:tc>
        <w:tc>
          <w:tcPr>
            <w:tcW w:type="dxa" w:w="1344"/>
            <w:shd w:val="clear" w:color="auto" w:fill="FFFFFF"/>
          </w:tcPr>
          <w:p>
            <w:r>
              <w:rPr>
                <w:sz w:val="18"/>
              </w:rPr>
              <w:t>Medium</w:t>
            </w:r>
          </w:p>
        </w:tc>
        <w:tc>
          <w:tcPr>
            <w:tcW w:type="dxa" w:w="1344"/>
            <w:shd w:val="clear" w:color="auto" w:fill="FFFFFF"/>
          </w:tcPr>
          <w:p>
            <w:r>
              <w:rPr>
                <w:sz w:val="18"/>
              </w:rPr>
              <w:t>Conditional</w:t>
            </w:r>
          </w:p>
        </w:tc>
      </w:tr>
      <w:tr>
        <w:tc>
          <w:tcPr>
            <w:tcW w:type="dxa" w:w="1344"/>
            <w:shd w:val="clear" w:color="auto" w:fill="EEF3F9"/>
          </w:tcPr>
          <w:p>
            <w:r>
              <w:rPr>
                <w:sz w:val="18"/>
              </w:rPr>
              <w:t>Raw brown-sugar capacity expansion</w:t>
            </w:r>
          </w:p>
        </w:tc>
        <w:tc>
          <w:tcPr>
            <w:tcW w:type="dxa" w:w="1344"/>
            <w:shd w:val="clear" w:color="auto" w:fill="EEF3F9"/>
          </w:tcPr>
          <w:p>
            <w:r>
              <w:rPr>
                <w:sz w:val="18"/>
              </w:rPr>
              <w:t>Low (surplus)</w:t>
            </w:r>
          </w:p>
        </w:tc>
        <w:tc>
          <w:tcPr>
            <w:tcW w:type="dxa" w:w="1344"/>
            <w:shd w:val="clear" w:color="auto" w:fill="EEF3F9"/>
          </w:tcPr>
          <w:p>
            <w:r>
              <w:rPr>
                <w:sz w:val="18"/>
              </w:rPr>
              <w:t>—</w:t>
            </w:r>
          </w:p>
        </w:tc>
        <w:tc>
          <w:tcPr>
            <w:tcW w:type="dxa" w:w="1344"/>
            <w:shd w:val="clear" w:color="auto" w:fill="EEF3F9"/>
          </w:tcPr>
          <w:p>
            <w:r>
              <w:rPr>
                <w:sz w:val="18"/>
              </w:rPr>
              <w:t>—</w:t>
            </w:r>
          </w:p>
        </w:tc>
        <w:tc>
          <w:tcPr>
            <w:tcW w:type="dxa" w:w="1344"/>
            <w:shd w:val="clear" w:color="auto" w:fill="EEF3F9"/>
          </w:tcPr>
          <w:p>
            <w:r>
              <w:rPr>
                <w:sz w:val="18"/>
              </w:rPr>
              <w:t>—</w:t>
            </w:r>
          </w:p>
        </w:tc>
        <w:tc>
          <w:tcPr>
            <w:tcW w:type="dxa" w:w="1344"/>
            <w:shd w:val="clear" w:color="auto" w:fill="EEF3F9"/>
          </w:tcPr>
          <w:p>
            <w:r>
              <w:rPr>
                <w:sz w:val="18"/>
              </w:rPr>
              <w:t>—</w:t>
            </w:r>
          </w:p>
        </w:tc>
        <w:tc>
          <w:tcPr>
            <w:tcW w:type="dxa" w:w="1344"/>
            <w:shd w:val="clear" w:color="auto" w:fill="EEF3F9"/>
          </w:tcPr>
          <w:p>
            <w:r>
              <w:rPr>
                <w:sz w:val="18"/>
              </w:rPr>
              <w:t>Deprioritize</w:t>
            </w:r>
          </w:p>
        </w:tc>
      </w:tr>
    </w:tbl>
    <w:p/>
    <w:p>
      <w:r>
        <w:rPr>
          <w:b/>
        </w:rPr>
        <w:t>The three priorities for Sugar &amp; Confectionery:</w:t>
      </w:r>
    </w:p>
    <w:p>
      <w:pPr>
        <w:pStyle w:val="ListNumber"/>
      </w:pPr>
      <w:r>
        <w:rPr>
          <w:b/>
        </w:rPr>
        <w:t>Industrial/refined sugar</w:t>
      </w:r>
      <w:r>
        <w:t xml:space="preserve"> — substitute the USD 38m industrial-sugar import line using surplus domestic cane; serves beverages, food processing, and pharmaceuticals.</w:t>
      </w:r>
    </w:p>
    <w:p>
      <w:pPr>
        <w:pStyle w:val="ListNumber"/>
      </w:pPr>
      <w:r>
        <w:rPr>
          <w:b/>
        </w:rPr>
        <w:t>Ethanol</w:t>
      </w:r>
      <w:r>
        <w:t xml:space="preserve"> — convert molasses surplus into fuel-blending ethanol (energy security) and industrial/potable alcohol, with strong regional demand.</w:t>
      </w:r>
    </w:p>
    <w:p>
      <w:pPr>
        <w:pStyle w:val="ListNumber"/>
      </w:pPr>
      <w:r>
        <w:rPr>
          <w:b/>
        </w:rPr>
        <w:t>Co-generation</w:t>
      </w:r>
      <w:r>
        <w:t xml:space="preserve"> — monetise bagasse as grid electricity, improving mill economics and adding renewable power.</w:t>
      </w:r>
    </w:p>
    <w:p>
      <w:r>
        <w:rPr>
          <w:b/>
        </w:rPr>
        <w:t>Explicit deprioritization.</w:t>
      </w:r>
      <w:r>
        <w:t xml:space="preserve"> Uganda should </w:t>
      </w:r>
      <w:r>
        <w:rPr>
          <w:b/>
        </w:rPr>
        <w:t>not</w:t>
      </w:r>
      <w:r>
        <w:t xml:space="preserve"> license or expand additional raw </w:t>
      </w:r>
      <w:r>
        <w:rPr>
          <w:b/>
        </w:rPr>
        <w:t>brown-sugar</w:t>
      </w:r>
      <w:r>
        <w:t xml:space="preserve"> capacity — the sector is already in surplus and over-supply is depressing prices. Confectionery is a conditional priority (private-led, market-driven). The strategic move is </w:t>
      </w:r>
      <w:r>
        <w:rPr>
          <w:b/>
        </w:rPr>
        <w:t>downstream, not more raw sugar.</w:t>
      </w:r>
    </w:p>
    <w:p>
      <w:pPr>
        <w:pStyle w:val="Heading2"/>
      </w:pPr>
      <w:r>
        <w:t>7.F Priority Action Matrix</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Timeframe</w:t>
            </w:r>
          </w:p>
        </w:tc>
        <w:tc>
          <w:tcPr>
            <w:tcW w:type="dxa" w:w="2351"/>
            <w:shd w:val="clear" w:color="auto" w:fill="002B5B"/>
          </w:tcPr>
          <w:p>
            <w:r>
              <w:rPr>
                <w:b/>
                <w:color w:val="FFFFFF"/>
                <w:sz w:val="18"/>
              </w:rPr>
              <w:t>Action</w:t>
            </w:r>
          </w:p>
        </w:tc>
        <w:tc>
          <w:tcPr>
            <w:tcW w:type="dxa" w:w="2351"/>
            <w:shd w:val="clear" w:color="auto" w:fill="002B5B"/>
          </w:tcPr>
          <w:p>
            <w:r>
              <w:rPr>
                <w:b/>
                <w:color w:val="FFFFFF"/>
                <w:sz w:val="18"/>
              </w:rPr>
              <w:t>Lead</w:t>
            </w:r>
          </w:p>
        </w:tc>
        <w:tc>
          <w:tcPr>
            <w:tcW w:type="dxa" w:w="2351"/>
            <w:shd w:val="clear" w:color="auto" w:fill="002B5B"/>
          </w:tcPr>
          <w:p>
            <w:r>
              <w:rPr>
                <w:b/>
                <w:color w:val="FFFFFF"/>
                <w:sz w:val="18"/>
              </w:rPr>
              <w:t>Indicative cost</w:t>
            </w:r>
          </w:p>
        </w:tc>
      </w:tr>
      <w:tr>
        <w:tc>
          <w:tcPr>
            <w:tcW w:type="dxa" w:w="2351"/>
            <w:shd w:val="clear" w:color="auto" w:fill="EEF3F9"/>
          </w:tcPr>
          <w:p>
            <w:r>
              <w:rPr>
                <w:b/>
                <w:sz w:val="18"/>
              </w:rPr>
              <w:t>Quick win (0–12m)</w:t>
            </w:r>
          </w:p>
        </w:tc>
        <w:tc>
          <w:tcPr>
            <w:tcW w:type="dxa" w:w="2351"/>
            <w:shd w:val="clear" w:color="auto" w:fill="EEF3F9"/>
          </w:tcPr>
          <w:p>
            <w:r>
              <w:rPr>
                <w:sz w:val="18"/>
              </w:rPr>
              <w:t>Moratorium/zoning discipline on new raw-sugar mill licences to stabilise the surplus</w:t>
            </w:r>
          </w:p>
        </w:tc>
        <w:tc>
          <w:tcPr>
            <w:tcW w:type="dxa" w:w="2351"/>
            <w:shd w:val="clear" w:color="auto" w:fill="EEF3F9"/>
          </w:tcPr>
          <w:p>
            <w:r>
              <w:rPr>
                <w:sz w:val="18"/>
              </w:rPr>
              <w:t>MTIC, Sugar Board</w:t>
            </w:r>
          </w:p>
        </w:tc>
        <w:tc>
          <w:tcPr>
            <w:tcW w:type="dxa" w:w="2351"/>
            <w:shd w:val="clear" w:color="auto" w:fill="EEF3F9"/>
          </w:tcPr>
          <w:p>
            <w:r>
              <w:rPr>
                <w:sz w:val="18"/>
              </w:rPr>
              <w:t>Low (policy)</w:t>
            </w:r>
          </w:p>
        </w:tc>
      </w:tr>
      <w:tr>
        <w:tc>
          <w:tcPr>
            <w:tcW w:type="dxa" w:w="2351"/>
            <w:shd w:val="clear" w:color="auto" w:fill="FFFFFF"/>
          </w:tcPr>
          <w:p>
            <w:r>
              <w:rPr>
                <w:sz w:val="18"/>
              </w:rPr>
              <w:t>Quick win (0–12m)</w:t>
            </w:r>
          </w:p>
        </w:tc>
        <w:tc>
          <w:tcPr>
            <w:tcW w:type="dxa" w:w="2351"/>
            <w:shd w:val="clear" w:color="auto" w:fill="FFFFFF"/>
          </w:tcPr>
          <w:p>
            <w:r>
              <w:rPr>
                <w:sz w:val="18"/>
              </w:rPr>
              <w:t>Ethanol fuel-blending mandate to create guaranteed ethanol demand</w:t>
            </w:r>
          </w:p>
        </w:tc>
        <w:tc>
          <w:tcPr>
            <w:tcW w:type="dxa" w:w="2351"/>
            <w:shd w:val="clear" w:color="auto" w:fill="FFFFFF"/>
          </w:tcPr>
          <w:p>
            <w:r>
              <w:rPr>
                <w:sz w:val="18"/>
              </w:rPr>
              <w:t>MEMD, MTIC</w:t>
            </w:r>
          </w:p>
        </w:tc>
        <w:tc>
          <w:tcPr>
            <w:tcW w:type="dxa" w:w="2351"/>
            <w:shd w:val="clear" w:color="auto" w:fill="FFFFFF"/>
          </w:tcPr>
          <w:p>
            <w:r>
              <w:rPr>
                <w:sz w:val="18"/>
              </w:rPr>
              <w:t>Low (policy)</w:t>
            </w:r>
          </w:p>
        </w:tc>
      </w:tr>
      <w:tr>
        <w:tc>
          <w:tcPr>
            <w:tcW w:type="dxa" w:w="2351"/>
            <w:shd w:val="clear" w:color="auto" w:fill="EEF3F9"/>
          </w:tcPr>
          <w:p>
            <w:r>
              <w:rPr>
                <w:b/>
                <w:sz w:val="18"/>
              </w:rPr>
              <w:t>Reform (1–3y)</w:t>
            </w:r>
          </w:p>
        </w:tc>
        <w:tc>
          <w:tcPr>
            <w:tcW w:type="dxa" w:w="2351"/>
            <w:shd w:val="clear" w:color="auto" w:fill="EEF3F9"/>
          </w:tcPr>
          <w:p>
            <w:r>
              <w:rPr>
                <w:sz w:val="18"/>
              </w:rPr>
              <w:t>Industrial-sugar quality/standards alignment for food &amp; pharma buyers</w:t>
            </w:r>
          </w:p>
        </w:tc>
        <w:tc>
          <w:tcPr>
            <w:tcW w:type="dxa" w:w="2351"/>
            <w:shd w:val="clear" w:color="auto" w:fill="EEF3F9"/>
          </w:tcPr>
          <w:p>
            <w:r>
              <w:rPr>
                <w:sz w:val="18"/>
              </w:rPr>
              <w:t>UNBS, MTIC</w:t>
            </w:r>
          </w:p>
        </w:tc>
        <w:tc>
          <w:tcPr>
            <w:tcW w:type="dxa" w:w="2351"/>
            <w:shd w:val="clear" w:color="auto" w:fill="EEF3F9"/>
          </w:tcPr>
          <w:p>
            <w:r>
              <w:rPr>
                <w:sz w:val="18"/>
              </w:rPr>
              <w:t>Low–Medium</w:t>
            </w:r>
          </w:p>
        </w:tc>
      </w:tr>
      <w:tr>
        <w:tc>
          <w:tcPr>
            <w:tcW w:type="dxa" w:w="2351"/>
            <w:shd w:val="clear" w:color="auto" w:fill="FFFFFF"/>
          </w:tcPr>
          <w:p>
            <w:r>
              <w:rPr>
                <w:sz w:val="18"/>
              </w:rPr>
              <w:t>Reform (1–3y)</w:t>
            </w:r>
          </w:p>
        </w:tc>
        <w:tc>
          <w:tcPr>
            <w:tcW w:type="dxa" w:w="2351"/>
            <w:shd w:val="clear" w:color="auto" w:fill="FFFFFF"/>
          </w:tcPr>
          <w:p>
            <w:r>
              <w:rPr>
                <w:sz w:val="18"/>
              </w:rPr>
              <w:t>Grid feed-in framework for bagasse co-generation</w:t>
            </w:r>
          </w:p>
        </w:tc>
        <w:tc>
          <w:tcPr>
            <w:tcW w:type="dxa" w:w="2351"/>
            <w:shd w:val="clear" w:color="auto" w:fill="FFFFFF"/>
          </w:tcPr>
          <w:p>
            <w:r>
              <w:rPr>
                <w:sz w:val="18"/>
              </w:rPr>
              <w:t>ERA, MEMD</w:t>
            </w:r>
          </w:p>
        </w:tc>
        <w:tc>
          <w:tcPr>
            <w:tcW w:type="dxa" w:w="2351"/>
            <w:shd w:val="clear" w:color="auto" w:fill="FFFFFF"/>
          </w:tcPr>
          <w:p>
            <w:r>
              <w:rPr>
                <w:sz w:val="18"/>
              </w:rPr>
              <w:t>Medium</w:t>
            </w:r>
          </w:p>
        </w:tc>
      </w:tr>
      <w:tr>
        <w:tc>
          <w:tcPr>
            <w:tcW w:type="dxa" w:w="2351"/>
            <w:shd w:val="clear" w:color="auto" w:fill="EEF3F9"/>
          </w:tcPr>
          <w:p>
            <w:r>
              <w:rPr>
                <w:b/>
                <w:sz w:val="18"/>
              </w:rPr>
              <w:t>Investment (3–5y)</w:t>
            </w:r>
          </w:p>
        </w:tc>
        <w:tc>
          <w:tcPr>
            <w:tcW w:type="dxa" w:w="2351"/>
            <w:shd w:val="clear" w:color="auto" w:fill="EEF3F9"/>
          </w:tcPr>
          <w:p>
            <w:r>
              <w:rPr>
                <w:sz w:val="18"/>
              </w:rPr>
              <w:t>Industrial-sugar refining &amp; ethanol distillery capacity</w:t>
            </w:r>
          </w:p>
        </w:tc>
        <w:tc>
          <w:tcPr>
            <w:tcW w:type="dxa" w:w="2351"/>
            <w:shd w:val="clear" w:color="auto" w:fill="EEF3F9"/>
          </w:tcPr>
          <w:p>
            <w:r>
              <w:rPr>
                <w:sz w:val="18"/>
              </w:rPr>
              <w:t>Private-led</w:t>
            </w:r>
          </w:p>
        </w:tc>
        <w:tc>
          <w:tcPr>
            <w:tcW w:type="dxa" w:w="2351"/>
            <w:shd w:val="clear" w:color="auto" w:fill="EEF3F9"/>
          </w:tcPr>
          <w:p>
            <w:r>
              <w:rPr>
                <w:sz w:val="18"/>
              </w:rPr>
              <w:t>Indicative (see Ch.11)</w:t>
            </w:r>
          </w:p>
        </w:tc>
      </w:tr>
      <w:tr>
        <w:tc>
          <w:tcPr>
            <w:tcW w:type="dxa" w:w="2351"/>
            <w:shd w:val="clear" w:color="auto" w:fill="FFFFFF"/>
          </w:tcPr>
          <w:p>
            <w:r>
              <w:rPr>
                <w:sz w:val="18"/>
              </w:rPr>
              <w:t>Investment (3–5y)</w:t>
            </w:r>
          </w:p>
        </w:tc>
        <w:tc>
          <w:tcPr>
            <w:tcW w:type="dxa" w:w="2351"/>
            <w:shd w:val="clear" w:color="auto" w:fill="FFFFFF"/>
          </w:tcPr>
          <w:p>
            <w:r>
              <w:rPr>
                <w:sz w:val="18"/>
              </w:rPr>
              <w:t>Confectionery manufacturing</w:t>
            </w:r>
          </w:p>
        </w:tc>
        <w:tc>
          <w:tcPr>
            <w:tcW w:type="dxa" w:w="2351"/>
            <w:shd w:val="clear" w:color="auto" w:fill="FFFFFF"/>
          </w:tcPr>
          <w:p>
            <w:r>
              <w:rPr>
                <w:sz w:val="18"/>
              </w:rPr>
              <w:t>Private-led</w:t>
            </w:r>
          </w:p>
        </w:tc>
        <w:tc>
          <w:tcPr>
            <w:tcW w:type="dxa" w:w="2351"/>
            <w:shd w:val="clear" w:color="auto" w:fill="FFFFFF"/>
          </w:tcPr>
          <w:p>
            <w:r>
              <w:rPr>
                <w:sz w:val="18"/>
              </w:rPr>
              <w:t>Indicative (see Ch.11)</w:t>
            </w:r>
          </w:p>
        </w:tc>
      </w:tr>
    </w:tbl>
    <w:p/>
    <w:p>
      <w:pPr>
        <w:pStyle w:val="Heading2"/>
      </w:pPr>
      <w:r>
        <w:t>References</w:t>
      </w:r>
    </w:p>
    <w:p>
      <w:pPr>
        <w:pStyle w:val="ListBullet"/>
      </w:pPr>
      <w:r>
        <w:rPr>
          <w:i/>
        </w:rPr>
        <w:t>Sugar industry in Uganda</w:t>
      </w:r>
      <w:r>
        <w:t xml:space="preserve"> (Wikipedia, with USMA and Uganda Sugar Board data). https://en.wikipedia.org/wiki/Sugar_industry_in_Uganda</w:t>
      </w:r>
    </w:p>
    <w:p>
      <w:pPr>
        <w:pStyle w:val="ListBullet"/>
      </w:pPr>
      <w:r>
        <w:t>Daily Monitor, "Surge in sugar factories imperils industry's future." https://www.monitor.co.ug/uganda/news/national/surge-in-sugar-factories-imperils-industry-s-future-3943728</w:t>
      </w:r>
    </w:p>
    <w:p>
      <w:pPr>
        <w:pStyle w:val="ListBullet"/>
      </w:pPr>
      <w:r>
        <w:t>Food Business MEA, "Kinyara Sugar opens US$15m industrial sugar refinery" (2023). https://www.foodbusinessmea.com/ugandas-second-largest-sugar-miller-kinyara-sugar-has-opened-us15m-industrial-sugar-refinery/</w:t>
      </w:r>
    </w:p>
    <w:p>
      <w:pPr>
        <w:pStyle w:val="ListBullet"/>
      </w:pPr>
      <w:r>
        <w:t>Kakira Sugar. https://kakirasugar.com/</w:t>
      </w:r>
    </w:p>
    <w:p>
      <w:pPr>
        <w:pStyle w:val="ListBullet"/>
      </w:pPr>
      <w:r>
        <w:t xml:space="preserve">Uganda Sugar Manufacturers' Association annual report 2024 [Repository: </w:t>
      </w:r>
      <w:r>
        <w:rPr>
          <w:rFonts w:ascii="Consolas" w:hAnsi="Consolas"/>
          <w:sz w:val="19"/>
        </w:rPr>
        <w:t>data/</w:t>
      </w:r>
      <w:r>
        <w:t xml:space="preserve"> — provided by MTIC].</w:t>
      </w:r>
    </w:p>
    <w:p>
      <w:pPr>
        <w:pStyle w:val="ListBullet"/>
      </w:pPr>
      <w:r>
        <w:t>ITC TradeMap, trade statistics — HS 1701, Uganda, 2024. https://www.trademap.org</w:t>
      </w:r>
    </w:p>
    <w:p>
      <w:r>
        <w:br w:type="page"/>
      </w:r>
    </w:p>
    <w:p>
      <w:pPr>
        <w:pStyle w:val="Heading1"/>
      </w:pPr>
      <w:r>
        <w:t>Chapter 8: Plastics &amp; Packaging Value Chain</w:t>
      </w:r>
    </w:p>
    <w:p>
      <w:r>
        <w:rPr>
          <w:b/>
        </w:rPr>
        <w:t>Report:</w:t>
      </w:r>
      <w:r>
        <w:t xml:space="preserve"> Report 2</w:t>
      </w:r>
    </w:p>
    <w:p>
      <w:r>
        <w:rPr>
          <w:b/>
        </w:rPr>
        <w:t>Status:</w:t>
      </w:r>
      <w:r>
        <w:t xml:space="preserve"> Draft for validation</w:t>
      </w:r>
    </w:p>
    <w:p>
      <w:r>
        <w:rPr>
          <w:b/>
        </w:rPr>
        <w:t>Primary sources:</w:t>
      </w:r>
      <w:r>
        <w:t xml:space="preserve"> NEMA </w:t>
      </w:r>
      <w:r>
        <w:rPr>
          <w:i/>
        </w:rPr>
        <w:t>National Strategy for Plastics Circularity 2023–2028</w:t>
      </w:r>
      <w:r>
        <w:t>; UNBS; ITC TradeMap (2024).</w:t>
      </w:r>
    </w:p>
    <w:p>
      <w:pPr>
        <w:pStyle w:val="Heading2"/>
      </w:pPr>
      <w:r>
        <w:t>8.A Value Chain Map</w:t>
      </w:r>
    </w:p>
    <w:p>
      <w:r>
        <w:t xml:space="preserve">The plastics chain runs from polymer resin (feedstock) through conversion (moulding, extrusion, film) to finished plastic goods and packaging, with a parallel recycling loop. Uganda participates at the </w:t>
      </w:r>
      <w:r>
        <w:rPr>
          <w:b/>
        </w:rPr>
        <w:t>conversion and packaging</w:t>
      </w:r>
      <w:r>
        <w:t xml:space="preserve"> stage but </w:t>
      </w:r>
      <w:r>
        <w:rPr>
          <w:b/>
        </w:rPr>
        <w:t>imports all virgin resin</w:t>
      </w:r>
      <w:r>
        <w:t xml:space="preserve"> and a large share of finished plastic products.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Phase</w:t>
            </w:r>
          </w:p>
        </w:tc>
        <w:tc>
          <w:tcPr>
            <w:tcW w:type="dxa" w:w="2351"/>
            <w:shd w:val="clear" w:color="auto" w:fill="002B5B"/>
          </w:tcPr>
          <w:p>
            <w:r>
              <w:rPr>
                <w:b/>
                <w:color w:val="FFFFFF"/>
                <w:sz w:val="18"/>
              </w:rPr>
              <w:t>Activity</w:t>
            </w:r>
          </w:p>
        </w:tc>
        <w:tc>
          <w:tcPr>
            <w:tcW w:type="dxa" w:w="2351"/>
            <w:shd w:val="clear" w:color="auto" w:fill="002B5B"/>
          </w:tcPr>
          <w:p>
            <w:r>
              <w:rPr>
                <w:b/>
                <w:color w:val="FFFFFF"/>
                <w:sz w:val="18"/>
              </w:rPr>
              <w:t>Main inputs</w:t>
            </w:r>
          </w:p>
        </w:tc>
        <w:tc>
          <w:tcPr>
            <w:tcW w:type="dxa" w:w="2351"/>
            <w:shd w:val="clear" w:color="auto" w:fill="002B5B"/>
          </w:tcPr>
          <w:p>
            <w:r>
              <w:rPr>
                <w:b/>
                <w:color w:val="FFFFFF"/>
                <w:sz w:val="18"/>
              </w:rPr>
              <w:t>Output</w:t>
            </w:r>
          </w:p>
        </w:tc>
      </w:tr>
      <w:tr>
        <w:tc>
          <w:tcPr>
            <w:tcW w:type="dxa" w:w="2351"/>
            <w:shd w:val="clear" w:color="auto" w:fill="EEF3F9"/>
          </w:tcPr>
          <w:p>
            <w:r>
              <w:rPr>
                <w:sz w:val="18"/>
              </w:rPr>
              <w:t>I</w:t>
            </w:r>
          </w:p>
        </w:tc>
        <w:tc>
          <w:tcPr>
            <w:tcW w:type="dxa" w:w="2351"/>
            <w:shd w:val="clear" w:color="auto" w:fill="EEF3F9"/>
          </w:tcPr>
          <w:p>
            <w:r>
              <w:rPr>
                <w:sz w:val="18"/>
              </w:rPr>
              <w:t>Resin / feedstock</w:t>
            </w:r>
          </w:p>
        </w:tc>
        <w:tc>
          <w:tcPr>
            <w:tcW w:type="dxa" w:w="2351"/>
            <w:shd w:val="clear" w:color="auto" w:fill="EEF3F9"/>
          </w:tcPr>
          <w:p>
            <w:r>
              <w:rPr>
                <w:sz w:val="18"/>
              </w:rPr>
              <w:t>Petrochemicals (imported)</w:t>
            </w:r>
          </w:p>
        </w:tc>
        <w:tc>
          <w:tcPr>
            <w:tcW w:type="dxa" w:w="2351"/>
            <w:shd w:val="clear" w:color="auto" w:fill="EEF3F9"/>
          </w:tcPr>
          <w:p>
            <w:r>
              <w:rPr>
                <w:sz w:val="18"/>
              </w:rPr>
              <w:t>PE, PP, PET, PVC resin</w:t>
            </w:r>
          </w:p>
        </w:tc>
      </w:tr>
      <w:tr>
        <w:tc>
          <w:tcPr>
            <w:tcW w:type="dxa" w:w="2351"/>
            <w:shd w:val="clear" w:color="auto" w:fill="FFFFFF"/>
          </w:tcPr>
          <w:p>
            <w:r>
              <w:rPr>
                <w:sz w:val="18"/>
              </w:rPr>
              <w:t>II</w:t>
            </w:r>
          </w:p>
        </w:tc>
        <w:tc>
          <w:tcPr>
            <w:tcW w:type="dxa" w:w="2351"/>
            <w:shd w:val="clear" w:color="auto" w:fill="FFFFFF"/>
          </w:tcPr>
          <w:p>
            <w:r>
              <w:rPr>
                <w:sz w:val="18"/>
              </w:rPr>
              <w:t>Conversion</w:t>
            </w:r>
          </w:p>
        </w:tc>
        <w:tc>
          <w:tcPr>
            <w:tcW w:type="dxa" w:w="2351"/>
            <w:shd w:val="clear" w:color="auto" w:fill="FFFFFF"/>
          </w:tcPr>
          <w:p>
            <w:r>
              <w:rPr>
                <w:sz w:val="18"/>
              </w:rPr>
              <w:t>Resin</w:t>
            </w:r>
          </w:p>
        </w:tc>
        <w:tc>
          <w:tcPr>
            <w:tcW w:type="dxa" w:w="2351"/>
            <w:shd w:val="clear" w:color="auto" w:fill="FFFFFF"/>
          </w:tcPr>
          <w:p>
            <w:r>
              <w:rPr>
                <w:sz w:val="18"/>
              </w:rPr>
              <w:t>Films, sheets, preforms, mouldings</w:t>
            </w:r>
          </w:p>
        </w:tc>
      </w:tr>
      <w:tr>
        <w:tc>
          <w:tcPr>
            <w:tcW w:type="dxa" w:w="2351"/>
            <w:shd w:val="clear" w:color="auto" w:fill="EEF3F9"/>
          </w:tcPr>
          <w:p>
            <w:r>
              <w:rPr>
                <w:sz w:val="18"/>
              </w:rPr>
              <w:t>III</w:t>
            </w:r>
          </w:p>
        </w:tc>
        <w:tc>
          <w:tcPr>
            <w:tcW w:type="dxa" w:w="2351"/>
            <w:shd w:val="clear" w:color="auto" w:fill="EEF3F9"/>
          </w:tcPr>
          <w:p>
            <w:r>
              <w:rPr>
                <w:sz w:val="18"/>
              </w:rPr>
              <w:t>Packaging &amp; products</w:t>
            </w:r>
          </w:p>
        </w:tc>
        <w:tc>
          <w:tcPr>
            <w:tcW w:type="dxa" w:w="2351"/>
            <w:shd w:val="clear" w:color="auto" w:fill="EEF3F9"/>
          </w:tcPr>
          <w:p>
            <w:r>
              <w:rPr>
                <w:sz w:val="18"/>
              </w:rPr>
              <w:t>Converted plastic</w:t>
            </w:r>
          </w:p>
        </w:tc>
        <w:tc>
          <w:tcPr>
            <w:tcW w:type="dxa" w:w="2351"/>
            <w:shd w:val="clear" w:color="auto" w:fill="EEF3F9"/>
          </w:tcPr>
          <w:p>
            <w:r>
              <w:rPr>
                <w:sz w:val="18"/>
              </w:rPr>
              <w:t>Bottles, sacks, containers, household goods</w:t>
            </w:r>
          </w:p>
        </w:tc>
      </w:tr>
      <w:tr>
        <w:tc>
          <w:tcPr>
            <w:tcW w:type="dxa" w:w="2351"/>
            <w:shd w:val="clear" w:color="auto" w:fill="FFFFFF"/>
          </w:tcPr>
          <w:p>
            <w:r>
              <w:rPr>
                <w:sz w:val="18"/>
              </w:rPr>
              <w:t>IV</w:t>
            </w:r>
          </w:p>
        </w:tc>
        <w:tc>
          <w:tcPr>
            <w:tcW w:type="dxa" w:w="2351"/>
            <w:shd w:val="clear" w:color="auto" w:fill="FFFFFF"/>
          </w:tcPr>
          <w:p>
            <w:r>
              <w:rPr>
                <w:sz w:val="18"/>
              </w:rPr>
              <w:t>Use</w:t>
            </w:r>
          </w:p>
        </w:tc>
        <w:tc>
          <w:tcPr>
            <w:tcW w:type="dxa" w:w="2351"/>
            <w:shd w:val="clear" w:color="auto" w:fill="FFFFFF"/>
          </w:tcPr>
          <w:p>
            <w:r>
              <w:rPr>
                <w:sz w:val="18"/>
              </w:rPr>
              <w:t>Products</w:t>
            </w:r>
          </w:p>
        </w:tc>
        <w:tc>
          <w:tcPr>
            <w:tcW w:type="dxa" w:w="2351"/>
            <w:shd w:val="clear" w:color="auto" w:fill="FFFFFF"/>
          </w:tcPr>
          <w:p>
            <w:r>
              <w:rPr>
                <w:sz w:val="18"/>
              </w:rPr>
              <w:t>Consumer/industrial use</w:t>
            </w:r>
          </w:p>
        </w:tc>
      </w:tr>
      <w:tr>
        <w:tc>
          <w:tcPr>
            <w:tcW w:type="dxa" w:w="2351"/>
            <w:shd w:val="clear" w:color="auto" w:fill="EEF3F9"/>
          </w:tcPr>
          <w:p>
            <w:r>
              <w:rPr>
                <w:sz w:val="18"/>
              </w:rPr>
              <w:t>V</w:t>
            </w:r>
          </w:p>
        </w:tc>
        <w:tc>
          <w:tcPr>
            <w:tcW w:type="dxa" w:w="2351"/>
            <w:shd w:val="clear" w:color="auto" w:fill="EEF3F9"/>
          </w:tcPr>
          <w:p>
            <w:r>
              <w:rPr>
                <w:sz w:val="18"/>
              </w:rPr>
              <w:t>Recycling</w:t>
            </w:r>
          </w:p>
        </w:tc>
        <w:tc>
          <w:tcPr>
            <w:tcW w:type="dxa" w:w="2351"/>
            <w:shd w:val="clear" w:color="auto" w:fill="EEF3F9"/>
          </w:tcPr>
          <w:p>
            <w:r>
              <w:rPr>
                <w:sz w:val="18"/>
              </w:rPr>
              <w:t>Post-consumer plastic</w:t>
            </w:r>
          </w:p>
        </w:tc>
        <w:tc>
          <w:tcPr>
            <w:tcW w:type="dxa" w:w="2351"/>
            <w:shd w:val="clear" w:color="auto" w:fill="EEF3F9"/>
          </w:tcPr>
          <w:p>
            <w:r>
              <w:rPr>
                <w:sz w:val="18"/>
              </w:rPr>
              <w:t>Recycled flake/pellet</w:t>
            </w:r>
          </w:p>
        </w:tc>
      </w:tr>
    </w:tbl>
    <w:p/>
    <w:p>
      <w:r>
        <w:rPr>
          <w:b/>
        </w:rPr>
        <w:t>Where value is captured and lost.</w:t>
      </w:r>
      <w:r>
        <w:t xml:space="preserve"> Uganda imports </w:t>
      </w:r>
      <w:r>
        <w:rPr>
          <w:b/>
        </w:rPr>
        <w:t>all virgin polymer resin</w:t>
      </w:r>
      <w:r>
        <w:t xml:space="preserve"> (no domestic production until the petrochemical park, Chapter 6) and imports a large share of finished plastics and packaging. Plastic packaging (HS 3923) imports were about </w:t>
      </w:r>
      <w:r>
        <w:rPr>
          <w:b/>
        </w:rPr>
        <w:t>USD 37.1 million in 2024</w:t>
      </w:r>
      <w:r>
        <w:t xml:space="preserve"> (ITC TradeMap), and Uganda imports roughly </w:t>
      </w:r>
      <w:r>
        <w:rPr>
          <w:b/>
        </w:rPr>
        <w:t>150,000 tonnes of plastics a year</w:t>
      </w:r>
      <w:r>
        <w:t xml:space="preserve"> (NEMA). Domestic value addition is in conversion; the feedstock and much finished product are imported.</w:t>
      </w:r>
    </w:p>
    <w:p>
      <w:pPr>
        <w:pStyle w:val="Heading2"/>
      </w:pPr>
      <w:r>
        <w:t>8.B Current State Assessment</w:t>
      </w:r>
    </w:p>
    <w:p>
      <w:r>
        <w:rPr>
          <w:b/>
        </w:rPr>
        <w:t>Industry.</w:t>
      </w:r>
      <w:r>
        <w:t xml:space="preserve"> Uganda has an established plastics-conversion industry concentrated in Kampala, Wakiso, Jinja, and Mukono. </w:t>
      </w:r>
      <w:r>
        <w:rPr>
          <w:b/>
        </w:rPr>
        <w:t>UNBS reports 41 certified manufacturers of plastic carrier and flat bags holding 67 valid permits</w:t>
      </w:r>
      <w:r>
        <w:t xml:space="preserve">, indicating a substantial formal sector (UNBS, via sector reporting). Leading firms include </w:t>
      </w:r>
      <w:r>
        <w:rPr>
          <w:b/>
        </w:rPr>
        <w:t>Nice House of Plastics</w:t>
      </w:r>
      <w:r>
        <w:t xml:space="preserve"> (the largest, established 1970), </w:t>
      </w:r>
      <w:r>
        <w:rPr>
          <w:b/>
        </w:rPr>
        <w:t>Nile Plastic Industries</w:t>
      </w:r>
      <w:r>
        <w:t xml:space="preserve">, and packaging converters serving the beverage, food, and agricultural-input sectors. Recyclers such as </w:t>
      </w:r>
      <w:r>
        <w:rPr>
          <w:b/>
        </w:rPr>
        <w:t>Quality Plastics (Mukono)</w:t>
      </w:r>
      <w:r>
        <w:t xml:space="preserve"> operate a growing but under-scaled recycling loop.</w:t>
      </w:r>
    </w:p>
    <w:p>
      <w:r>
        <w:rPr>
          <w:b/>
        </w:rPr>
        <w:t>Waste and circularity.</w:t>
      </w:r>
      <w:r>
        <w:t xml:space="preserve"> Uganda generates about </w:t>
      </w:r>
      <w:r>
        <w:rPr>
          <w:b/>
        </w:rPr>
        <w:t>600 tonnes of plastic waste per day, of which under 40% is properly collected and managed</w:t>
      </w:r>
      <w:r>
        <w:t xml:space="preserve"> (NEMA). The </w:t>
      </w:r>
      <w:r>
        <w:rPr>
          <w:b/>
        </w:rPr>
        <w:t>National Strategy for Plastics Circularity (2023–2028)</w:t>
      </w:r>
      <w:r>
        <w:t xml:space="preserve"> sets the policy direction; if fully implemented, it could cut plastic pollution by up to ~37% by 2040 (NEMA).</w:t>
      </w:r>
    </w:p>
    <w:p>
      <w:r>
        <w:rPr>
          <w:b/>
        </w:rPr>
        <w:t>2025 policy shift.</w:t>
      </w:r>
      <w:r>
        <w:t xml:space="preserve"> In 2025, </w:t>
      </w:r>
      <w:r>
        <w:rPr>
          <w:b/>
        </w:rPr>
        <w:t>NEMA moved to push a ban on single-use plastic carrier bags</w:t>
      </w:r>
      <w:r>
        <w:t xml:space="preserve"> (amending the National Environment Act), aligning Uganda with EAC neighbours (Kenya, Rwanda, Tanzania). This reshapes the sector: constraining single-use bags while creating demand for </w:t>
      </w:r>
      <w:r>
        <w:rPr>
          <w:b/>
        </w:rPr>
        <w:t>alternatives, recycled content, and durable packaging</w:t>
      </w:r>
      <w:r>
        <w:t xml:space="preserve"> (NEMA; Margherita News, 2025).</w:t>
      </w:r>
    </w:p>
    <w:p>
      <w:r>
        <w:rPr>
          <w:b/>
        </w:rPr>
        <w:t>Trade position (ITC TradeMap, 2024).</w:t>
      </w:r>
      <w:r>
        <w:t xml:space="preserve"> Plastic packaging (HS 3923) imports ~USD 37.1m; broader resin and finished-plastic imports are large; exports are modest and regional. Uganda is a </w:t>
      </w:r>
      <w:r>
        <w:rPr>
          <w:b/>
        </w:rPr>
        <w:t>net importer at both the feedstock and finished-product ends</w:t>
      </w:r>
      <w:r>
        <w:t>.</w:t>
      </w:r>
    </w:p>
    <w:p>
      <w:pPr>
        <w:pStyle w:val="Heading2"/>
      </w:pPr>
      <w:r>
        <w:t>8.C Binding Constraints Analysis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Dimension</w:t>
            </w:r>
          </w:p>
        </w:tc>
        <w:tc>
          <w:tcPr>
            <w:tcW w:type="dxa" w:w="4703"/>
            <w:shd w:val="clear" w:color="auto" w:fill="002B5B"/>
          </w:tcPr>
          <w:p>
            <w:r>
              <w:rPr>
                <w:b/>
                <w:color w:val="FFFFFF"/>
                <w:sz w:val="18"/>
              </w:rPr>
              <w:t>Assessment</w:t>
            </w:r>
          </w:p>
        </w:tc>
      </w:tr>
      <w:tr>
        <w:tc>
          <w:tcPr>
            <w:tcW w:type="dxa" w:w="4703"/>
            <w:shd w:val="clear" w:color="auto" w:fill="EEF3F9"/>
          </w:tcPr>
          <w:p>
            <w:r>
              <w:rPr>
                <w:b/>
                <w:sz w:val="18"/>
              </w:rPr>
              <w:t>Inputs / raw materials</w:t>
            </w:r>
          </w:p>
        </w:tc>
        <w:tc>
          <w:tcPr>
            <w:tcW w:type="dxa" w:w="4703"/>
            <w:shd w:val="clear" w:color="auto" w:fill="EEF3F9"/>
          </w:tcPr>
          <w:p>
            <w:r>
              <w:rPr>
                <w:sz w:val="18"/>
              </w:rPr>
              <w:t>100% imported virgin resin — the core constraint; domestic resin awaits the petrochemical park (Chapter 6). Recycled feedstock is under-developed.</w:t>
            </w:r>
          </w:p>
        </w:tc>
      </w:tr>
      <w:tr>
        <w:tc>
          <w:tcPr>
            <w:tcW w:type="dxa" w:w="4703"/>
            <w:shd w:val="clear" w:color="auto" w:fill="FFFFFF"/>
          </w:tcPr>
          <w:p>
            <w:r>
              <w:rPr>
                <w:b/>
                <w:sz w:val="18"/>
              </w:rPr>
              <w:t>Technology &amp; productivity</w:t>
            </w:r>
          </w:p>
        </w:tc>
        <w:tc>
          <w:tcPr>
            <w:tcW w:type="dxa" w:w="4703"/>
            <w:shd w:val="clear" w:color="auto" w:fill="FFFFFF"/>
          </w:tcPr>
          <w:p>
            <w:r>
              <w:rPr>
                <w:sz w:val="18"/>
              </w:rPr>
              <w:t>Conversion technology is established; recycling and high-spec packaging technology need upgrading.</w:t>
            </w:r>
          </w:p>
        </w:tc>
      </w:tr>
      <w:tr>
        <w:tc>
          <w:tcPr>
            <w:tcW w:type="dxa" w:w="4703"/>
            <w:shd w:val="clear" w:color="auto" w:fill="EEF3F9"/>
          </w:tcPr>
          <w:p>
            <w:r>
              <w:rPr>
                <w:b/>
                <w:sz w:val="18"/>
              </w:rPr>
              <w:t>Energy</w:t>
            </w:r>
          </w:p>
        </w:tc>
        <w:tc>
          <w:tcPr>
            <w:tcW w:type="dxa" w:w="4703"/>
            <w:shd w:val="clear" w:color="auto" w:fill="EEF3F9"/>
          </w:tcPr>
          <w:p>
            <w:r>
              <w:rPr>
                <w:sz w:val="18"/>
              </w:rPr>
              <w:t>Conversion is moderately energy-intensive; reliability matters.</w:t>
            </w:r>
          </w:p>
        </w:tc>
      </w:tr>
      <w:tr>
        <w:tc>
          <w:tcPr>
            <w:tcW w:type="dxa" w:w="4703"/>
            <w:shd w:val="clear" w:color="auto" w:fill="FFFFFF"/>
          </w:tcPr>
          <w:p>
            <w:r>
              <w:rPr>
                <w:b/>
                <w:sz w:val="18"/>
              </w:rPr>
              <w:t>Water</w:t>
            </w:r>
          </w:p>
        </w:tc>
        <w:tc>
          <w:tcPr>
            <w:tcW w:type="dxa" w:w="4703"/>
            <w:shd w:val="clear" w:color="auto" w:fill="FFFFFF"/>
          </w:tcPr>
          <w:p>
            <w:r>
              <w:rPr>
                <w:sz w:val="18"/>
              </w:rPr>
              <w:t>Not a binding constraint.</w:t>
            </w:r>
          </w:p>
        </w:tc>
      </w:tr>
      <w:tr>
        <w:tc>
          <w:tcPr>
            <w:tcW w:type="dxa" w:w="4703"/>
            <w:shd w:val="clear" w:color="auto" w:fill="EEF3F9"/>
          </w:tcPr>
          <w:p>
            <w:r>
              <w:rPr>
                <w:b/>
                <w:sz w:val="18"/>
              </w:rPr>
              <w:t>Logistics</w:t>
            </w:r>
          </w:p>
        </w:tc>
        <w:tc>
          <w:tcPr>
            <w:tcW w:type="dxa" w:w="4703"/>
            <w:shd w:val="clear" w:color="auto" w:fill="EEF3F9"/>
          </w:tcPr>
          <w:p>
            <w:r>
              <w:rPr>
                <w:sz w:val="18"/>
              </w:rPr>
              <w:t>Imported resin bears the landlocked penalty, raising input costs.</w:t>
            </w:r>
          </w:p>
        </w:tc>
      </w:tr>
      <w:tr>
        <w:tc>
          <w:tcPr>
            <w:tcW w:type="dxa" w:w="4703"/>
            <w:shd w:val="clear" w:color="auto" w:fill="FFFFFF"/>
          </w:tcPr>
          <w:p>
            <w:r>
              <w:rPr>
                <w:b/>
                <w:sz w:val="18"/>
              </w:rPr>
              <w:t>Waste &amp; effluent</w:t>
            </w:r>
          </w:p>
        </w:tc>
        <w:tc>
          <w:tcPr>
            <w:tcW w:type="dxa" w:w="4703"/>
            <w:shd w:val="clear" w:color="auto" w:fill="FFFFFF"/>
          </w:tcPr>
          <w:p>
            <w:r>
              <w:rPr>
                <w:sz w:val="18"/>
              </w:rPr>
              <w:t>The defining issue — low collection rates, pollution; also the recycling opportunity. NEMA-regulated.</w:t>
            </w:r>
          </w:p>
        </w:tc>
      </w:tr>
      <w:tr>
        <w:tc>
          <w:tcPr>
            <w:tcW w:type="dxa" w:w="4703"/>
            <w:shd w:val="clear" w:color="auto" w:fill="EEF3F9"/>
          </w:tcPr>
          <w:p>
            <w:r>
              <w:rPr>
                <w:b/>
                <w:sz w:val="18"/>
              </w:rPr>
              <w:t>Finance &amp; investment</w:t>
            </w:r>
          </w:p>
        </w:tc>
        <w:tc>
          <w:tcPr>
            <w:tcW w:type="dxa" w:w="4703"/>
            <w:shd w:val="clear" w:color="auto" w:fill="EEF3F9"/>
          </w:tcPr>
          <w:p>
            <w:r>
              <w:rPr>
                <w:sz w:val="18"/>
              </w:rPr>
              <w:t>Recycling plants and modern converters need capital; sector is fragmented.</w:t>
            </w:r>
          </w:p>
        </w:tc>
      </w:tr>
      <w:tr>
        <w:tc>
          <w:tcPr>
            <w:tcW w:type="dxa" w:w="4703"/>
            <w:shd w:val="clear" w:color="auto" w:fill="FFFFFF"/>
          </w:tcPr>
          <w:p>
            <w:r>
              <w:rPr>
                <w:b/>
                <w:sz w:val="18"/>
              </w:rPr>
              <w:t>Skills &amp; workforce</w:t>
            </w:r>
          </w:p>
        </w:tc>
        <w:tc>
          <w:tcPr>
            <w:tcW w:type="dxa" w:w="4703"/>
            <w:shd w:val="clear" w:color="auto" w:fill="FFFFFF"/>
          </w:tcPr>
          <w:p>
            <w:r>
              <w:rPr>
                <w:sz w:val="18"/>
              </w:rPr>
              <w:t>Polymer-processing and recycling skills limited.</w:t>
            </w:r>
          </w:p>
        </w:tc>
      </w:tr>
      <w:tr>
        <w:tc>
          <w:tcPr>
            <w:tcW w:type="dxa" w:w="4703"/>
            <w:shd w:val="clear" w:color="auto" w:fill="EEF3F9"/>
          </w:tcPr>
          <w:p>
            <w:r>
              <w:rPr>
                <w:b/>
                <w:sz w:val="18"/>
              </w:rPr>
              <w:t>Standards &amp; quality</w:t>
            </w:r>
          </w:p>
        </w:tc>
        <w:tc>
          <w:tcPr>
            <w:tcW w:type="dxa" w:w="4703"/>
            <w:shd w:val="clear" w:color="auto" w:fill="EEF3F9"/>
          </w:tcPr>
          <w:p>
            <w:r>
              <w:rPr>
                <w:sz w:val="18"/>
              </w:rPr>
              <w:t>UNBS certification (bag thickness, food-grade) is central; sub-standard bags are both a quality and environmental problem.</w:t>
            </w:r>
          </w:p>
        </w:tc>
      </w:tr>
      <w:tr>
        <w:tc>
          <w:tcPr>
            <w:tcW w:type="dxa" w:w="4703"/>
            <w:shd w:val="clear" w:color="auto" w:fill="FFFFFF"/>
          </w:tcPr>
          <w:p>
            <w:r>
              <w:rPr>
                <w:b/>
                <w:sz w:val="18"/>
              </w:rPr>
              <w:t>Policy &amp; regulatory</w:t>
            </w:r>
          </w:p>
        </w:tc>
        <w:tc>
          <w:tcPr>
            <w:tcW w:type="dxa" w:w="4703"/>
            <w:shd w:val="clear" w:color="auto" w:fill="FFFFFF"/>
          </w:tcPr>
          <w:p>
            <w:r>
              <w:rPr>
                <w:sz w:val="18"/>
              </w:rPr>
              <w:t>The 2025 single-use-ban trajectory and circularity strategy are the dominant policy forces — risk for single-use producers, opportunity for recyclers and alternatives.</w:t>
            </w:r>
          </w:p>
        </w:tc>
      </w:tr>
    </w:tbl>
    <w:p/>
    <w:p>
      <w:pPr>
        <w:pStyle w:val="Heading2"/>
      </w:pPr>
      <w:r>
        <w:t>8.D Market Assessment</w:t>
      </w:r>
    </w:p>
    <w:p>
      <w:r>
        <w:rPr>
          <w:b/>
        </w:rPr>
        <w:t>Domestic.</w:t>
      </w:r>
      <w:r>
        <w:t xml:space="preserve"> Large and growing demand for packaging (beverage, food, agricultural inputs, cement bags, pharmaceuticals) and household plastics — much met by imports. Recycled-content and durable packaging demand will rise with the policy shift.</w:t>
      </w:r>
    </w:p>
    <w:p>
      <w:r>
        <w:rPr>
          <w:b/>
        </w:rPr>
        <w:t>Regional (EAC/COMESA).</w:t>
      </w:r>
      <w:r>
        <w:t xml:space="preserve"> Regional packaging demand is accessible; alignment with EAC plastic-bag bans creates a level playing field for compliant alternatives.</w:t>
      </w:r>
    </w:p>
    <w:p>
      <w:r>
        <w:rPr>
          <w:b/>
        </w:rPr>
        <w:t>Global.</w:t>
      </w:r>
      <w:r>
        <w:t xml:space="preserve"> Not relevant; the chain is domestic/regional substitution and circularity.</w:t>
      </w:r>
    </w:p>
    <w:p>
      <w:r>
        <w:rPr>
          <w:b/>
        </w:rPr>
        <w:t>Accessible market conclusion.</w:t>
      </w:r>
      <w:r>
        <w:t xml:space="preserve"> Prioritize </w:t>
      </w:r>
      <w:r>
        <w:rPr>
          <w:b/>
        </w:rPr>
        <w:t>value-added and industrial packaging</w:t>
      </w:r>
      <w:r>
        <w:t xml:space="preserve"> (food, beverage, agri-inputs, pharma), </w:t>
      </w:r>
      <w:r>
        <w:rPr>
          <w:b/>
        </w:rPr>
        <w:t>plastics recycling</w:t>
      </w:r>
      <w:r>
        <w:t xml:space="preserve"> (turning the waste problem into feedstock), and </w:t>
      </w:r>
      <w:r>
        <w:rPr>
          <w:b/>
        </w:rPr>
        <w:t>alternatives to single-use bags</w:t>
      </w:r>
      <w:r>
        <w:t xml:space="preserve"> aligned with the 2025 policy.</w:t>
      </w:r>
    </w:p>
    <w:p>
      <w:pPr>
        <w:pStyle w:val="Heading2"/>
      </w:pPr>
      <w:r>
        <w:t>8.E Prioritized Products</w:t>
      </w:r>
    </w:p>
    <w:tbl>
      <w:tblPr>
        <w:tblStyle w:val="TableGrid"/>
        <w:tblW w:type="auto" w:w="0"/>
        <w:jc w:val="left"/>
        <w:tblLook w:firstColumn="1" w:firstRow="1" w:lastColumn="0" w:lastRow="0" w:noHBand="0" w:noVBand="1" w:val="04A0"/>
      </w:tblPr>
      <w:tblGrid>
        <w:gridCol w:w="1344"/>
        <w:gridCol w:w="1344"/>
        <w:gridCol w:w="1344"/>
        <w:gridCol w:w="1344"/>
        <w:gridCol w:w="1344"/>
        <w:gridCol w:w="1344"/>
        <w:gridCol w:w="1344"/>
      </w:tblGrid>
      <w:tr>
        <w:tc>
          <w:tcPr>
            <w:tcW w:type="dxa" w:w="1344"/>
            <w:shd w:val="clear" w:color="auto" w:fill="002B5B"/>
          </w:tcPr>
          <w:p>
            <w:r>
              <w:rPr>
                <w:b/>
                <w:color w:val="FFFFFF"/>
                <w:sz w:val="18"/>
              </w:rPr>
              <w:t>Product / sub-sector</w:t>
            </w:r>
          </w:p>
        </w:tc>
        <w:tc>
          <w:tcPr>
            <w:tcW w:type="dxa" w:w="1344"/>
            <w:shd w:val="clear" w:color="auto" w:fill="002B5B"/>
          </w:tcPr>
          <w:p>
            <w:r>
              <w:rPr>
                <w:b/>
                <w:color w:val="FFFFFF"/>
                <w:sz w:val="18"/>
              </w:rPr>
              <w:t>Market</w:t>
            </w:r>
          </w:p>
        </w:tc>
        <w:tc>
          <w:tcPr>
            <w:tcW w:type="dxa" w:w="1344"/>
            <w:shd w:val="clear" w:color="auto" w:fill="002B5B"/>
          </w:tcPr>
          <w:p>
            <w:r>
              <w:rPr>
                <w:b/>
                <w:color w:val="FFFFFF"/>
                <w:sz w:val="18"/>
              </w:rPr>
              <w:t>Comp. adv.</w:t>
            </w:r>
          </w:p>
        </w:tc>
        <w:tc>
          <w:tcPr>
            <w:tcW w:type="dxa" w:w="1344"/>
            <w:shd w:val="clear" w:color="auto" w:fill="002B5B"/>
          </w:tcPr>
          <w:p>
            <w:r>
              <w:rPr>
                <w:b/>
                <w:color w:val="FFFFFF"/>
                <w:sz w:val="18"/>
              </w:rPr>
              <w:t>Feasibility</w:t>
            </w:r>
          </w:p>
        </w:tc>
        <w:tc>
          <w:tcPr>
            <w:tcW w:type="dxa" w:w="1344"/>
            <w:shd w:val="clear" w:color="auto" w:fill="002B5B"/>
          </w:tcPr>
          <w:p>
            <w:r>
              <w:rPr>
                <w:b/>
                <w:color w:val="FFFFFF"/>
                <w:sz w:val="18"/>
              </w:rPr>
              <w:t>Jobs</w:t>
            </w:r>
          </w:p>
        </w:tc>
        <w:tc>
          <w:tcPr>
            <w:tcW w:type="dxa" w:w="1344"/>
            <w:shd w:val="clear" w:color="auto" w:fill="002B5B"/>
          </w:tcPr>
          <w:p>
            <w:r>
              <w:rPr>
                <w:b/>
                <w:color w:val="FFFFFF"/>
                <w:sz w:val="18"/>
              </w:rPr>
              <w:t>Import subst.</w:t>
            </w:r>
          </w:p>
        </w:tc>
        <w:tc>
          <w:tcPr>
            <w:tcW w:type="dxa" w:w="1344"/>
            <w:shd w:val="clear" w:color="auto" w:fill="002B5B"/>
          </w:tcPr>
          <w:p>
            <w:r>
              <w:rPr>
                <w:b/>
                <w:color w:val="FFFFFF"/>
                <w:sz w:val="18"/>
              </w:rPr>
              <w:t>Priority</w:t>
            </w:r>
          </w:p>
        </w:tc>
      </w:tr>
      <w:tr>
        <w:tc>
          <w:tcPr>
            <w:tcW w:type="dxa" w:w="1344"/>
            <w:shd w:val="clear" w:color="auto" w:fill="EEF3F9"/>
          </w:tcPr>
          <w:p>
            <w:r>
              <w:rPr>
                <w:b/>
                <w:sz w:val="18"/>
              </w:rPr>
              <w:t>Industrial &amp; food/beverage packaging</w:t>
            </w:r>
          </w:p>
        </w:tc>
        <w:tc>
          <w:tcPr>
            <w:tcW w:type="dxa" w:w="1344"/>
            <w:shd w:val="clear" w:color="auto" w:fill="EEF3F9"/>
          </w:tcPr>
          <w:p>
            <w:r>
              <w:rPr>
                <w:sz w:val="18"/>
              </w:rPr>
              <w:t>High (USD 37m+)</w:t>
            </w:r>
          </w:p>
        </w:tc>
        <w:tc>
          <w:tcPr>
            <w:tcW w:type="dxa" w:w="1344"/>
            <w:shd w:val="clear" w:color="auto" w:fill="EEF3F9"/>
          </w:tcPr>
          <w:p>
            <w:r>
              <w:rPr>
                <w:sz w:val="18"/>
              </w:rPr>
              <w:t>Medium</w:t>
            </w:r>
          </w:p>
        </w:tc>
        <w:tc>
          <w:tcPr>
            <w:tcW w:type="dxa" w:w="1344"/>
            <w:shd w:val="clear" w:color="auto" w:fill="EEF3F9"/>
          </w:tcPr>
          <w:p>
            <w:r>
              <w:rPr>
                <w:sz w:val="18"/>
              </w:rPr>
              <w:t>High</w:t>
            </w:r>
          </w:p>
        </w:tc>
        <w:tc>
          <w:tcPr>
            <w:tcW w:type="dxa" w:w="1344"/>
            <w:shd w:val="clear" w:color="auto" w:fill="EEF3F9"/>
          </w:tcPr>
          <w:p>
            <w:r>
              <w:rPr>
                <w:sz w:val="18"/>
              </w:rPr>
              <w:t>High</w:t>
            </w:r>
          </w:p>
        </w:tc>
        <w:tc>
          <w:tcPr>
            <w:tcW w:type="dxa" w:w="1344"/>
            <w:shd w:val="clear" w:color="auto" w:fill="EEF3F9"/>
          </w:tcPr>
          <w:p>
            <w:r>
              <w:rPr>
                <w:sz w:val="18"/>
              </w:rPr>
              <w:t>High</w:t>
            </w:r>
          </w:p>
        </w:tc>
        <w:tc>
          <w:tcPr>
            <w:tcW w:type="dxa" w:w="1344"/>
            <w:shd w:val="clear" w:color="auto" w:fill="EEF3F9"/>
          </w:tcPr>
          <w:p>
            <w:r>
              <w:rPr>
                <w:b/>
                <w:sz w:val="18"/>
              </w:rPr>
              <w:t>Priority</w:t>
            </w:r>
          </w:p>
        </w:tc>
      </w:tr>
      <w:tr>
        <w:tc>
          <w:tcPr>
            <w:tcW w:type="dxa" w:w="1344"/>
            <w:shd w:val="clear" w:color="auto" w:fill="FFFFFF"/>
          </w:tcPr>
          <w:p>
            <w:r>
              <w:rPr>
                <w:b/>
                <w:sz w:val="18"/>
              </w:rPr>
              <w:t>Plastics recycling (flake/pellet)</w:t>
            </w:r>
          </w:p>
        </w:tc>
        <w:tc>
          <w:tcPr>
            <w:tcW w:type="dxa" w:w="1344"/>
            <w:shd w:val="clear" w:color="auto" w:fill="FFFFFF"/>
          </w:tcPr>
          <w:p>
            <w:r>
              <w:rPr>
                <w:sz w:val="18"/>
              </w:rPr>
              <w:t>High (circularity)</w:t>
            </w:r>
          </w:p>
        </w:tc>
        <w:tc>
          <w:tcPr>
            <w:tcW w:type="dxa" w:w="1344"/>
            <w:shd w:val="clear" w:color="auto" w:fill="FFFFFF"/>
          </w:tcPr>
          <w:p>
            <w:r>
              <w:rPr>
                <w:sz w:val="18"/>
              </w:rPr>
              <w:t>Medium</w:t>
            </w:r>
          </w:p>
        </w:tc>
        <w:tc>
          <w:tcPr>
            <w:tcW w:type="dxa" w:w="1344"/>
            <w:shd w:val="clear" w:color="auto" w:fill="FFFFFF"/>
          </w:tcPr>
          <w:p>
            <w:r>
              <w:rPr>
                <w:sz w:val="18"/>
              </w:rPr>
              <w:t>Medium</w:t>
            </w:r>
          </w:p>
        </w:tc>
        <w:tc>
          <w:tcPr>
            <w:tcW w:type="dxa" w:w="1344"/>
            <w:shd w:val="clear" w:color="auto" w:fill="FFFFFF"/>
          </w:tcPr>
          <w:p>
            <w:r>
              <w:rPr>
                <w:sz w:val="18"/>
              </w:rPr>
              <w:t>High</w:t>
            </w:r>
          </w:p>
        </w:tc>
        <w:tc>
          <w:tcPr>
            <w:tcW w:type="dxa" w:w="1344"/>
            <w:shd w:val="clear" w:color="auto" w:fill="FFFFFF"/>
          </w:tcPr>
          <w:p>
            <w:r>
              <w:rPr>
                <w:sz w:val="18"/>
              </w:rPr>
              <w:t>High (feedstock)</w:t>
            </w:r>
          </w:p>
        </w:tc>
        <w:tc>
          <w:tcPr>
            <w:tcW w:type="dxa" w:w="1344"/>
            <w:shd w:val="clear" w:color="auto" w:fill="FFFFFF"/>
          </w:tcPr>
          <w:p>
            <w:r>
              <w:rPr>
                <w:b/>
                <w:sz w:val="18"/>
              </w:rPr>
              <w:t>Priority</w:t>
            </w:r>
          </w:p>
        </w:tc>
      </w:tr>
      <w:tr>
        <w:tc>
          <w:tcPr>
            <w:tcW w:type="dxa" w:w="1344"/>
            <w:shd w:val="clear" w:color="auto" w:fill="EEF3F9"/>
          </w:tcPr>
          <w:p>
            <w:r>
              <w:rPr>
                <w:b/>
                <w:sz w:val="18"/>
              </w:rPr>
              <w:t>Agricultural &amp; cement packaging (sacks, films)</w:t>
            </w:r>
          </w:p>
        </w:tc>
        <w:tc>
          <w:tcPr>
            <w:tcW w:type="dxa" w:w="1344"/>
            <w:shd w:val="clear" w:color="auto" w:fill="EEF3F9"/>
          </w:tcPr>
          <w:p>
            <w:r>
              <w:rPr>
                <w:sz w:val="18"/>
              </w:rPr>
              <w:t>High</w:t>
            </w:r>
          </w:p>
        </w:tc>
        <w:tc>
          <w:tcPr>
            <w:tcW w:type="dxa" w:w="1344"/>
            <w:shd w:val="clear" w:color="auto" w:fill="EEF3F9"/>
          </w:tcPr>
          <w:p>
            <w:r>
              <w:rPr>
                <w:sz w:val="18"/>
              </w:rPr>
              <w:t>Medium</w:t>
            </w:r>
          </w:p>
        </w:tc>
        <w:tc>
          <w:tcPr>
            <w:tcW w:type="dxa" w:w="1344"/>
            <w:shd w:val="clear" w:color="auto" w:fill="EEF3F9"/>
          </w:tcPr>
          <w:p>
            <w:r>
              <w:rPr>
                <w:sz w:val="18"/>
              </w:rPr>
              <w:t>High</w:t>
            </w:r>
          </w:p>
        </w:tc>
        <w:tc>
          <w:tcPr>
            <w:tcW w:type="dxa" w:w="1344"/>
            <w:shd w:val="clear" w:color="auto" w:fill="EEF3F9"/>
          </w:tcPr>
          <w:p>
            <w:r>
              <w:rPr>
                <w:sz w:val="18"/>
              </w:rPr>
              <w:t>High</w:t>
            </w:r>
          </w:p>
        </w:tc>
        <w:tc>
          <w:tcPr>
            <w:tcW w:type="dxa" w:w="1344"/>
            <w:shd w:val="clear" w:color="auto" w:fill="EEF3F9"/>
          </w:tcPr>
          <w:p>
            <w:r>
              <w:rPr>
                <w:sz w:val="18"/>
              </w:rPr>
              <w:t>High</w:t>
            </w:r>
          </w:p>
        </w:tc>
        <w:tc>
          <w:tcPr>
            <w:tcW w:type="dxa" w:w="1344"/>
            <w:shd w:val="clear" w:color="auto" w:fill="EEF3F9"/>
          </w:tcPr>
          <w:p>
            <w:r>
              <w:rPr>
                <w:b/>
                <w:sz w:val="18"/>
              </w:rPr>
              <w:t>Priority</w:t>
            </w:r>
          </w:p>
        </w:tc>
      </w:tr>
      <w:tr>
        <w:tc>
          <w:tcPr>
            <w:tcW w:type="dxa" w:w="1344"/>
            <w:shd w:val="clear" w:color="auto" w:fill="FFFFFF"/>
          </w:tcPr>
          <w:p>
            <w:r>
              <w:rPr>
                <w:sz w:val="18"/>
              </w:rPr>
              <w:t>Single-use carrier bags</w:t>
            </w:r>
          </w:p>
        </w:tc>
        <w:tc>
          <w:tcPr>
            <w:tcW w:type="dxa" w:w="1344"/>
            <w:shd w:val="clear" w:color="auto" w:fill="FFFFFF"/>
          </w:tcPr>
          <w:p>
            <w:r>
              <w:rPr>
                <w:sz w:val="18"/>
              </w:rPr>
              <w:t>Declining (ban)</w:t>
            </w:r>
          </w:p>
        </w:tc>
        <w:tc>
          <w:tcPr>
            <w:tcW w:type="dxa" w:w="1344"/>
            <w:shd w:val="clear" w:color="auto" w:fill="FFFFFF"/>
          </w:tcPr>
          <w:p>
            <w:r>
              <w:rPr>
                <w:sz w:val="18"/>
              </w:rPr>
              <w:t>—</w:t>
            </w:r>
          </w:p>
        </w:tc>
        <w:tc>
          <w:tcPr>
            <w:tcW w:type="dxa" w:w="1344"/>
            <w:shd w:val="clear" w:color="auto" w:fill="FFFFFF"/>
          </w:tcPr>
          <w:p>
            <w:r>
              <w:rPr>
                <w:sz w:val="18"/>
              </w:rPr>
              <w:t>—</w:t>
            </w:r>
          </w:p>
        </w:tc>
        <w:tc>
          <w:tcPr>
            <w:tcW w:type="dxa" w:w="1344"/>
            <w:shd w:val="clear" w:color="auto" w:fill="FFFFFF"/>
          </w:tcPr>
          <w:p>
            <w:r>
              <w:rPr>
                <w:sz w:val="18"/>
              </w:rPr>
              <w:t>—</w:t>
            </w:r>
          </w:p>
        </w:tc>
        <w:tc>
          <w:tcPr>
            <w:tcW w:type="dxa" w:w="1344"/>
            <w:shd w:val="clear" w:color="auto" w:fill="FFFFFF"/>
          </w:tcPr>
          <w:p>
            <w:r>
              <w:rPr>
                <w:sz w:val="18"/>
              </w:rPr>
              <w:t>—</w:t>
            </w:r>
          </w:p>
        </w:tc>
        <w:tc>
          <w:tcPr>
            <w:tcW w:type="dxa" w:w="1344"/>
            <w:shd w:val="clear" w:color="auto" w:fill="FFFFFF"/>
          </w:tcPr>
          <w:p>
            <w:r>
              <w:rPr>
                <w:sz w:val="18"/>
              </w:rPr>
              <w:t>Deprioritize</w:t>
            </w:r>
          </w:p>
        </w:tc>
      </w:tr>
      <w:tr>
        <w:tc>
          <w:tcPr>
            <w:tcW w:type="dxa" w:w="1344"/>
            <w:shd w:val="clear" w:color="auto" w:fill="EEF3F9"/>
          </w:tcPr>
          <w:p>
            <w:r>
              <w:rPr>
                <w:sz w:val="18"/>
              </w:rPr>
              <w:t>Domestic virgin-resin production</w:t>
            </w:r>
          </w:p>
        </w:tc>
        <w:tc>
          <w:tcPr>
            <w:tcW w:type="dxa" w:w="1344"/>
            <w:shd w:val="clear" w:color="auto" w:fill="EEF3F9"/>
          </w:tcPr>
          <w:p>
            <w:r>
              <w:rPr>
                <w:sz w:val="18"/>
              </w:rPr>
              <w:t>High</w:t>
            </w:r>
          </w:p>
        </w:tc>
        <w:tc>
          <w:tcPr>
            <w:tcW w:type="dxa" w:w="1344"/>
            <w:shd w:val="clear" w:color="auto" w:fill="EEF3F9"/>
          </w:tcPr>
          <w:p>
            <w:r>
              <w:rPr>
                <w:sz w:val="18"/>
              </w:rPr>
              <w:t>Low now</w:t>
            </w:r>
          </w:p>
        </w:tc>
        <w:tc>
          <w:tcPr>
            <w:tcW w:type="dxa" w:w="1344"/>
            <w:shd w:val="clear" w:color="auto" w:fill="EEF3F9"/>
          </w:tcPr>
          <w:p>
            <w:r>
              <w:rPr>
                <w:sz w:val="18"/>
              </w:rPr>
              <w:t>Low</w:t>
            </w:r>
          </w:p>
        </w:tc>
        <w:tc>
          <w:tcPr>
            <w:tcW w:type="dxa" w:w="1344"/>
            <w:shd w:val="clear" w:color="auto" w:fill="EEF3F9"/>
          </w:tcPr>
          <w:p>
            <w:r>
              <w:rPr>
                <w:sz w:val="18"/>
              </w:rPr>
              <w:t>Medium</w:t>
            </w:r>
          </w:p>
        </w:tc>
        <w:tc>
          <w:tcPr>
            <w:tcW w:type="dxa" w:w="1344"/>
            <w:shd w:val="clear" w:color="auto" w:fill="EEF3F9"/>
          </w:tcPr>
          <w:p>
            <w:r>
              <w:rPr>
                <w:sz w:val="18"/>
              </w:rPr>
              <w:t>Very high</w:t>
            </w:r>
          </w:p>
        </w:tc>
        <w:tc>
          <w:tcPr>
            <w:tcW w:type="dxa" w:w="1344"/>
            <w:shd w:val="clear" w:color="auto" w:fill="EEF3F9"/>
          </w:tcPr>
          <w:p>
            <w:r>
              <w:rPr>
                <w:sz w:val="18"/>
              </w:rPr>
              <w:t>Conditional (sequence to refinery, Ch.6)</w:t>
            </w:r>
          </w:p>
        </w:tc>
      </w:tr>
    </w:tbl>
    <w:p/>
    <w:p>
      <w:r>
        <w:rPr>
          <w:b/>
        </w:rPr>
        <w:t>The three priorities for Plastics &amp; Packaging:</w:t>
      </w:r>
    </w:p>
    <w:p>
      <w:pPr>
        <w:pStyle w:val="ListNumber"/>
      </w:pPr>
      <w:r>
        <w:rPr>
          <w:b/>
        </w:rPr>
        <w:t>Industrial and food/beverage packaging</w:t>
      </w:r>
      <w:r>
        <w:t xml:space="preserve"> — substitute the USD 37m+ packaging import line with higher-value, standards-compliant domestic packaging for Uganda's food, beverage, and agri-input sectors.</w:t>
      </w:r>
    </w:p>
    <w:p>
      <w:pPr>
        <w:pStyle w:val="ListNumber"/>
      </w:pPr>
      <w:r>
        <w:rPr>
          <w:b/>
        </w:rPr>
        <w:t>Plastics recycling</w:t>
      </w:r>
      <w:r>
        <w:t xml:space="preserve"> — scale recycling to turn the 600 t/day waste stream into domestic feedstock, directly supporting circularity and reducing resin imports; the strongest alignment with the 2025 policy.</w:t>
      </w:r>
    </w:p>
    <w:p>
      <w:pPr>
        <w:pStyle w:val="ListNumber"/>
      </w:pPr>
      <w:r>
        <w:rPr>
          <w:b/>
        </w:rPr>
        <w:t>Agricultural and cement packaging</w:t>
      </w:r>
      <w:r>
        <w:t xml:space="preserve"> (woven sacks, films, mulch) — feasible, job-rich, and linked to Uganda's agriculture and cement sectors.</w:t>
      </w:r>
    </w:p>
    <w:p>
      <w:r>
        <w:rPr>
          <w:b/>
        </w:rPr>
        <w:t>Explicit deprioritization.</w:t>
      </w:r>
      <w:r>
        <w:t xml:space="preserve"> Uganda should </w:t>
      </w:r>
      <w:r>
        <w:rPr>
          <w:b/>
        </w:rPr>
        <w:t>not</w:t>
      </w:r>
      <w:r>
        <w:t xml:space="preserve"> invest in expanding </w:t>
      </w:r>
      <w:r>
        <w:rPr>
          <w:b/>
        </w:rPr>
        <w:t>single-use carrier-bag</w:t>
      </w:r>
      <w:r>
        <w:t xml:space="preserve"> capacity — the 2025 policy trajectory makes it a stranded-asset risk. Domestic </w:t>
      </w:r>
      <w:r>
        <w:rPr>
          <w:b/>
        </w:rPr>
        <w:t>virgin-resin</w:t>
      </w:r>
      <w:r>
        <w:t xml:space="preserve"> production is a conditional priority that must be </w:t>
      </w:r>
      <w:r>
        <w:rPr>
          <w:b/>
        </w:rPr>
        <w:t>sequenced to the petrochemical park</w:t>
      </w:r>
      <w:r>
        <w:t xml:space="preserve"> (Chapter 6), not pursued independently.</w:t>
      </w:r>
    </w:p>
    <w:p>
      <w:pPr>
        <w:pStyle w:val="Heading2"/>
      </w:pPr>
      <w:r>
        <w:t>8.F Priority Action Matrix</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Timeframe</w:t>
            </w:r>
          </w:p>
        </w:tc>
        <w:tc>
          <w:tcPr>
            <w:tcW w:type="dxa" w:w="2351"/>
            <w:shd w:val="clear" w:color="auto" w:fill="002B5B"/>
          </w:tcPr>
          <w:p>
            <w:r>
              <w:rPr>
                <w:b/>
                <w:color w:val="FFFFFF"/>
                <w:sz w:val="18"/>
              </w:rPr>
              <w:t>Action</w:t>
            </w:r>
          </w:p>
        </w:tc>
        <w:tc>
          <w:tcPr>
            <w:tcW w:type="dxa" w:w="2351"/>
            <w:shd w:val="clear" w:color="auto" w:fill="002B5B"/>
          </w:tcPr>
          <w:p>
            <w:r>
              <w:rPr>
                <w:b/>
                <w:color w:val="FFFFFF"/>
                <w:sz w:val="18"/>
              </w:rPr>
              <w:t>Lead</w:t>
            </w:r>
          </w:p>
        </w:tc>
        <w:tc>
          <w:tcPr>
            <w:tcW w:type="dxa" w:w="2351"/>
            <w:shd w:val="clear" w:color="auto" w:fill="002B5B"/>
          </w:tcPr>
          <w:p>
            <w:r>
              <w:rPr>
                <w:b/>
                <w:color w:val="FFFFFF"/>
                <w:sz w:val="18"/>
              </w:rPr>
              <w:t>Indicative cost</w:t>
            </w:r>
          </w:p>
        </w:tc>
      </w:tr>
      <w:tr>
        <w:tc>
          <w:tcPr>
            <w:tcW w:type="dxa" w:w="2351"/>
            <w:shd w:val="clear" w:color="auto" w:fill="EEF3F9"/>
          </w:tcPr>
          <w:p>
            <w:r>
              <w:rPr>
                <w:b/>
                <w:sz w:val="18"/>
              </w:rPr>
              <w:t>Quick win (0–12m)</w:t>
            </w:r>
          </w:p>
        </w:tc>
        <w:tc>
          <w:tcPr>
            <w:tcW w:type="dxa" w:w="2351"/>
            <w:shd w:val="clear" w:color="auto" w:fill="EEF3F9"/>
          </w:tcPr>
          <w:p>
            <w:r>
              <w:rPr>
                <w:sz w:val="18"/>
              </w:rPr>
              <w:t>Clear, phased single-use-bag rules with support for transition to alternatives/recycled content</w:t>
            </w:r>
          </w:p>
        </w:tc>
        <w:tc>
          <w:tcPr>
            <w:tcW w:type="dxa" w:w="2351"/>
            <w:shd w:val="clear" w:color="auto" w:fill="EEF3F9"/>
          </w:tcPr>
          <w:p>
            <w:r>
              <w:rPr>
                <w:sz w:val="18"/>
              </w:rPr>
              <w:t>NEMA, MTIC</w:t>
            </w:r>
          </w:p>
        </w:tc>
        <w:tc>
          <w:tcPr>
            <w:tcW w:type="dxa" w:w="2351"/>
            <w:shd w:val="clear" w:color="auto" w:fill="EEF3F9"/>
          </w:tcPr>
          <w:p>
            <w:r>
              <w:rPr>
                <w:sz w:val="18"/>
              </w:rPr>
              <w:t>Low (policy)</w:t>
            </w:r>
          </w:p>
        </w:tc>
      </w:tr>
      <w:tr>
        <w:tc>
          <w:tcPr>
            <w:tcW w:type="dxa" w:w="2351"/>
            <w:shd w:val="clear" w:color="auto" w:fill="FFFFFF"/>
          </w:tcPr>
          <w:p>
            <w:r>
              <w:rPr>
                <w:sz w:val="18"/>
              </w:rPr>
              <w:t>Quick win (0–12m)</w:t>
            </w:r>
          </w:p>
        </w:tc>
        <w:tc>
          <w:tcPr>
            <w:tcW w:type="dxa" w:w="2351"/>
            <w:shd w:val="clear" w:color="auto" w:fill="FFFFFF"/>
          </w:tcPr>
          <w:p>
            <w:r>
              <w:rPr>
                <w:sz w:val="18"/>
              </w:rPr>
              <w:t>Strengthen UNBS enforcement on packaging standards (food-grade, thickness)</w:t>
            </w:r>
          </w:p>
        </w:tc>
        <w:tc>
          <w:tcPr>
            <w:tcW w:type="dxa" w:w="2351"/>
            <w:shd w:val="clear" w:color="auto" w:fill="FFFFFF"/>
          </w:tcPr>
          <w:p>
            <w:r>
              <w:rPr>
                <w:sz w:val="18"/>
              </w:rPr>
              <w:t>UNBS</w:t>
            </w:r>
          </w:p>
        </w:tc>
        <w:tc>
          <w:tcPr>
            <w:tcW w:type="dxa" w:w="2351"/>
            <w:shd w:val="clear" w:color="auto" w:fill="FFFFFF"/>
          </w:tcPr>
          <w:p>
            <w:r>
              <w:rPr>
                <w:sz w:val="18"/>
              </w:rPr>
              <w:t>Low</w:t>
            </w:r>
          </w:p>
        </w:tc>
      </w:tr>
      <w:tr>
        <w:tc>
          <w:tcPr>
            <w:tcW w:type="dxa" w:w="2351"/>
            <w:shd w:val="clear" w:color="auto" w:fill="EEF3F9"/>
          </w:tcPr>
          <w:p>
            <w:r>
              <w:rPr>
                <w:b/>
                <w:sz w:val="18"/>
              </w:rPr>
              <w:t>Reform (1–3y)</w:t>
            </w:r>
          </w:p>
        </w:tc>
        <w:tc>
          <w:tcPr>
            <w:tcW w:type="dxa" w:w="2351"/>
            <w:shd w:val="clear" w:color="auto" w:fill="EEF3F9"/>
          </w:tcPr>
          <w:p>
            <w:r>
              <w:rPr>
                <w:sz w:val="18"/>
              </w:rPr>
              <w:t>Extended Producer Responsibility (EPR) and recycling-collection framework</w:t>
            </w:r>
          </w:p>
        </w:tc>
        <w:tc>
          <w:tcPr>
            <w:tcW w:type="dxa" w:w="2351"/>
            <w:shd w:val="clear" w:color="auto" w:fill="EEF3F9"/>
          </w:tcPr>
          <w:p>
            <w:r>
              <w:rPr>
                <w:sz w:val="18"/>
              </w:rPr>
              <w:t>NEMA, MTIC</w:t>
            </w:r>
          </w:p>
        </w:tc>
        <w:tc>
          <w:tcPr>
            <w:tcW w:type="dxa" w:w="2351"/>
            <w:shd w:val="clear" w:color="auto" w:fill="EEF3F9"/>
          </w:tcPr>
          <w:p>
            <w:r>
              <w:rPr>
                <w:sz w:val="18"/>
              </w:rPr>
              <w:t>Medium</w:t>
            </w:r>
          </w:p>
        </w:tc>
      </w:tr>
      <w:tr>
        <w:tc>
          <w:tcPr>
            <w:tcW w:type="dxa" w:w="2351"/>
            <w:shd w:val="clear" w:color="auto" w:fill="FFFFFF"/>
          </w:tcPr>
          <w:p>
            <w:r>
              <w:rPr>
                <w:sz w:val="18"/>
              </w:rPr>
              <w:t>Reform (1–3y)</w:t>
            </w:r>
          </w:p>
        </w:tc>
        <w:tc>
          <w:tcPr>
            <w:tcW w:type="dxa" w:w="2351"/>
            <w:shd w:val="clear" w:color="auto" w:fill="FFFFFF"/>
          </w:tcPr>
          <w:p>
            <w:r>
              <w:rPr>
                <w:sz w:val="18"/>
              </w:rPr>
              <w:t>Incentives for recycling plants and recycled-content packaging</w:t>
            </w:r>
          </w:p>
        </w:tc>
        <w:tc>
          <w:tcPr>
            <w:tcW w:type="dxa" w:w="2351"/>
            <w:shd w:val="clear" w:color="auto" w:fill="FFFFFF"/>
          </w:tcPr>
          <w:p>
            <w:r>
              <w:rPr>
                <w:sz w:val="18"/>
              </w:rPr>
              <w:t>MTIC, UIA, MoFPED</w:t>
            </w:r>
          </w:p>
        </w:tc>
        <w:tc>
          <w:tcPr>
            <w:tcW w:type="dxa" w:w="2351"/>
            <w:shd w:val="clear" w:color="auto" w:fill="FFFFFF"/>
          </w:tcPr>
          <w:p>
            <w:r>
              <w:rPr>
                <w:sz w:val="18"/>
              </w:rPr>
              <w:t>Medium</w:t>
            </w:r>
          </w:p>
        </w:tc>
      </w:tr>
      <w:tr>
        <w:tc>
          <w:tcPr>
            <w:tcW w:type="dxa" w:w="2351"/>
            <w:shd w:val="clear" w:color="auto" w:fill="EEF3F9"/>
          </w:tcPr>
          <w:p>
            <w:r>
              <w:rPr>
                <w:b/>
                <w:sz w:val="18"/>
              </w:rPr>
              <w:t>Investment (3–5y)</w:t>
            </w:r>
          </w:p>
        </w:tc>
        <w:tc>
          <w:tcPr>
            <w:tcW w:type="dxa" w:w="2351"/>
            <w:shd w:val="clear" w:color="auto" w:fill="EEF3F9"/>
          </w:tcPr>
          <w:p>
            <w:r>
              <w:rPr>
                <w:sz w:val="18"/>
              </w:rPr>
              <w:t>Recycling capacity (PET/HDPE flake &amp; pellet)</w:t>
            </w:r>
          </w:p>
        </w:tc>
        <w:tc>
          <w:tcPr>
            <w:tcW w:type="dxa" w:w="2351"/>
            <w:shd w:val="clear" w:color="auto" w:fill="EEF3F9"/>
          </w:tcPr>
          <w:p>
            <w:r>
              <w:rPr>
                <w:sz w:val="18"/>
              </w:rPr>
              <w:t>Private-led</w:t>
            </w:r>
          </w:p>
        </w:tc>
        <w:tc>
          <w:tcPr>
            <w:tcW w:type="dxa" w:w="2351"/>
            <w:shd w:val="clear" w:color="auto" w:fill="EEF3F9"/>
          </w:tcPr>
          <w:p>
            <w:r>
              <w:rPr>
                <w:sz w:val="18"/>
              </w:rPr>
              <w:t>Indicative (see Ch.11)</w:t>
            </w:r>
          </w:p>
        </w:tc>
      </w:tr>
      <w:tr>
        <w:tc>
          <w:tcPr>
            <w:tcW w:type="dxa" w:w="2351"/>
            <w:shd w:val="clear" w:color="auto" w:fill="FFFFFF"/>
          </w:tcPr>
          <w:p>
            <w:r>
              <w:rPr>
                <w:sz w:val="18"/>
              </w:rPr>
              <w:t>Investment (3–5y)</w:t>
            </w:r>
          </w:p>
        </w:tc>
        <w:tc>
          <w:tcPr>
            <w:tcW w:type="dxa" w:w="2351"/>
            <w:shd w:val="clear" w:color="auto" w:fill="FFFFFF"/>
          </w:tcPr>
          <w:p>
            <w:r>
              <w:rPr>
                <w:sz w:val="18"/>
              </w:rPr>
              <w:t>Modern food/beverage &amp; agri packaging plants; resin (sequenced to refinery)</w:t>
            </w:r>
          </w:p>
        </w:tc>
        <w:tc>
          <w:tcPr>
            <w:tcW w:type="dxa" w:w="2351"/>
            <w:shd w:val="clear" w:color="auto" w:fill="FFFFFF"/>
          </w:tcPr>
          <w:p>
            <w:r>
              <w:rPr>
                <w:sz w:val="18"/>
              </w:rPr>
              <w:t>Private-led / PPP</w:t>
            </w:r>
          </w:p>
        </w:tc>
        <w:tc>
          <w:tcPr>
            <w:tcW w:type="dxa" w:w="2351"/>
            <w:shd w:val="clear" w:color="auto" w:fill="FFFFFF"/>
          </w:tcPr>
          <w:p>
            <w:r>
              <w:rPr>
                <w:sz w:val="18"/>
              </w:rPr>
              <w:t>Indicative (see Ch.11)</w:t>
            </w:r>
          </w:p>
        </w:tc>
      </w:tr>
    </w:tbl>
    <w:p/>
    <w:p>
      <w:pPr>
        <w:pStyle w:val="Heading2"/>
      </w:pPr>
      <w:r>
        <w:t>References</w:t>
      </w:r>
    </w:p>
    <w:p>
      <w:pPr>
        <w:pStyle w:val="ListBullet"/>
      </w:pPr>
      <w:r>
        <w:t xml:space="preserve">NEMA, </w:t>
      </w:r>
      <w:r>
        <w:rPr>
          <w:i/>
        </w:rPr>
        <w:t>National Strategy for Management of Plastic Pollution / Plastics Circularity (2023–2028)</w:t>
      </w:r>
      <w:r>
        <w:t>. https://www.nema.go.ug/new_site/wp-content/uploads/2024/05/Plastic_circularity_-Report-2023-1.pdf</w:t>
      </w:r>
    </w:p>
    <w:p>
      <w:pPr>
        <w:pStyle w:val="ListBullet"/>
      </w:pPr>
      <w:r>
        <w:t>NEMA, "Plastics." https://www.nema.go.ug/en/plastics/</w:t>
      </w:r>
    </w:p>
    <w:p>
      <w:pPr>
        <w:pStyle w:val="ListBullet"/>
      </w:pPr>
      <w:r>
        <w:t>Margherita News, "NEMA pushes for total ban of polythene bags in Uganda" (Mar 2025). https://margheritanews.ug/2025/03/nema-pushes-for-total-polythene-bags-of-kevera-in-uganda/</w:t>
      </w:r>
    </w:p>
    <w:p>
      <w:pPr>
        <w:pStyle w:val="ListBullet"/>
      </w:pPr>
      <w:r>
        <w:t xml:space="preserve">Reportlinker, </w:t>
      </w:r>
      <w:r>
        <w:rPr>
          <w:i/>
        </w:rPr>
        <w:t>Uganda Plastic Industry Outlook 2024–2028</w:t>
      </w:r>
      <w:r>
        <w:t>. https://www.reportlinker.com/clp/country/6347/726256</w:t>
      </w:r>
    </w:p>
    <w:p>
      <w:pPr>
        <w:pStyle w:val="ListBullet"/>
      </w:pPr>
      <w:r>
        <w:t>Nile Plastic Industries. https://www.nileplasticindustries.com/</w:t>
      </w:r>
    </w:p>
    <w:p>
      <w:pPr>
        <w:pStyle w:val="ListBullet"/>
      </w:pPr>
      <w:r>
        <w:t>ITC TradeMap, trade statistics — HS 3923, Uganda, 2024. https://www.trademap.org</w:t>
      </w:r>
    </w:p>
    <w:p>
      <w:r>
        <w:br w:type="page"/>
      </w:r>
    </w:p>
    <w:p>
      <w:pPr>
        <w:pStyle w:val="Heading1"/>
      </w:pPr>
      <w:r>
        <w:t>Chapter 9: Cement &amp; Building Materials Value Chain</w:t>
      </w:r>
    </w:p>
    <w:p>
      <w:r>
        <w:rPr>
          <w:b/>
        </w:rPr>
        <w:t>Report:</w:t>
      </w:r>
      <w:r>
        <w:t xml:space="preserve"> Report 2</w:t>
      </w:r>
    </w:p>
    <w:p>
      <w:r>
        <w:rPr>
          <w:b/>
        </w:rPr>
        <w:t>Status:</w:t>
      </w:r>
      <w:r>
        <w:t xml:space="preserve"> Draft for validation</w:t>
      </w:r>
    </w:p>
    <w:p>
      <w:r>
        <w:rPr>
          <w:b/>
        </w:rPr>
        <w:t>Primary sources:</w:t>
      </w:r>
      <w:r>
        <w:t xml:space="preserve"> CemNet / Global Cement; IndexBox; Wikipedia </w:t>
      </w:r>
      <w:r>
        <w:rPr>
          <w:i/>
        </w:rPr>
        <w:t>List of cement manufacturers in Uganda</w:t>
      </w:r>
      <w:r>
        <w:t>; ITC TradeMap (2024).</w:t>
      </w:r>
    </w:p>
    <w:p>
      <w:pPr>
        <w:pStyle w:val="Heading2"/>
      </w:pPr>
      <w:r>
        <w:t>9.A Value Chain Map</w:t>
      </w:r>
    </w:p>
    <w:p>
      <w:r>
        <w:t xml:space="preserve">The cement chain runs from limestone quarrying through clinker production to cement grinding, with adjacent building-materials products (concrete, blocks, fibre-cement, tiles, aggregates). Uganda has a </w:t>
      </w:r>
      <w:r>
        <w:rPr>
          <w:b/>
        </w:rPr>
        <w:t>strong cement-grinding industry</w:t>
      </w:r>
      <w:r>
        <w:t xml:space="preserve"> but a </w:t>
      </w:r>
      <w:r>
        <w:rPr>
          <w:b/>
        </w:rPr>
        <w:t>critical clinker gap</w:t>
      </w:r>
      <w:r>
        <w:t xml:space="preserve"> — it imports more than half its clinker, the highest-value step.</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Phase</w:t>
            </w:r>
          </w:p>
        </w:tc>
        <w:tc>
          <w:tcPr>
            <w:tcW w:type="dxa" w:w="2351"/>
            <w:shd w:val="clear" w:color="auto" w:fill="002B5B"/>
          </w:tcPr>
          <w:p>
            <w:r>
              <w:rPr>
                <w:b/>
                <w:color w:val="FFFFFF"/>
                <w:sz w:val="18"/>
              </w:rPr>
              <w:t>Activity</w:t>
            </w:r>
          </w:p>
        </w:tc>
        <w:tc>
          <w:tcPr>
            <w:tcW w:type="dxa" w:w="2351"/>
            <w:shd w:val="clear" w:color="auto" w:fill="002B5B"/>
          </w:tcPr>
          <w:p>
            <w:r>
              <w:rPr>
                <w:b/>
                <w:color w:val="FFFFFF"/>
                <w:sz w:val="18"/>
              </w:rPr>
              <w:t>Main inputs</w:t>
            </w:r>
          </w:p>
        </w:tc>
        <w:tc>
          <w:tcPr>
            <w:tcW w:type="dxa" w:w="2351"/>
            <w:shd w:val="clear" w:color="auto" w:fill="002B5B"/>
          </w:tcPr>
          <w:p>
            <w:r>
              <w:rPr>
                <w:b/>
                <w:color w:val="FFFFFF"/>
                <w:sz w:val="18"/>
              </w:rPr>
              <w:t>Output</w:t>
            </w:r>
          </w:p>
        </w:tc>
      </w:tr>
      <w:tr>
        <w:tc>
          <w:tcPr>
            <w:tcW w:type="dxa" w:w="2351"/>
            <w:shd w:val="clear" w:color="auto" w:fill="EEF3F9"/>
          </w:tcPr>
          <w:p>
            <w:r>
              <w:rPr>
                <w:sz w:val="18"/>
              </w:rPr>
              <w:t>I</w:t>
            </w:r>
          </w:p>
        </w:tc>
        <w:tc>
          <w:tcPr>
            <w:tcW w:type="dxa" w:w="2351"/>
            <w:shd w:val="clear" w:color="auto" w:fill="EEF3F9"/>
          </w:tcPr>
          <w:p>
            <w:r>
              <w:rPr>
                <w:sz w:val="18"/>
              </w:rPr>
              <w:t>Limestone quarrying</w:t>
            </w:r>
          </w:p>
        </w:tc>
        <w:tc>
          <w:tcPr>
            <w:tcW w:type="dxa" w:w="2351"/>
            <w:shd w:val="clear" w:color="auto" w:fill="EEF3F9"/>
          </w:tcPr>
          <w:p>
            <w:r>
              <w:rPr>
                <w:sz w:val="18"/>
              </w:rPr>
              <w:t>Limestone deposits</w:t>
            </w:r>
          </w:p>
        </w:tc>
        <w:tc>
          <w:tcPr>
            <w:tcW w:type="dxa" w:w="2351"/>
            <w:shd w:val="clear" w:color="auto" w:fill="EEF3F9"/>
          </w:tcPr>
          <w:p>
            <w:r>
              <w:rPr>
                <w:sz w:val="18"/>
              </w:rPr>
              <w:t>Limestone</w:t>
            </w:r>
          </w:p>
        </w:tc>
      </w:tr>
      <w:tr>
        <w:tc>
          <w:tcPr>
            <w:tcW w:type="dxa" w:w="2351"/>
            <w:shd w:val="clear" w:color="auto" w:fill="FFFFFF"/>
          </w:tcPr>
          <w:p>
            <w:r>
              <w:rPr>
                <w:sz w:val="18"/>
              </w:rPr>
              <w:t>II</w:t>
            </w:r>
          </w:p>
        </w:tc>
        <w:tc>
          <w:tcPr>
            <w:tcW w:type="dxa" w:w="2351"/>
            <w:shd w:val="clear" w:color="auto" w:fill="FFFFFF"/>
          </w:tcPr>
          <w:p>
            <w:r>
              <w:rPr>
                <w:sz w:val="18"/>
              </w:rPr>
              <w:t>Clinker production</w:t>
            </w:r>
          </w:p>
        </w:tc>
        <w:tc>
          <w:tcPr>
            <w:tcW w:type="dxa" w:w="2351"/>
            <w:shd w:val="clear" w:color="auto" w:fill="FFFFFF"/>
          </w:tcPr>
          <w:p>
            <w:r>
              <w:rPr>
                <w:sz w:val="18"/>
              </w:rPr>
              <w:t>Limestone, energy, additives</w:t>
            </w:r>
          </w:p>
        </w:tc>
        <w:tc>
          <w:tcPr>
            <w:tcW w:type="dxa" w:w="2351"/>
            <w:shd w:val="clear" w:color="auto" w:fill="FFFFFF"/>
          </w:tcPr>
          <w:p>
            <w:r>
              <w:rPr>
                <w:sz w:val="18"/>
              </w:rPr>
              <w:t>Clinker</w:t>
            </w:r>
          </w:p>
        </w:tc>
      </w:tr>
      <w:tr>
        <w:tc>
          <w:tcPr>
            <w:tcW w:type="dxa" w:w="2351"/>
            <w:shd w:val="clear" w:color="auto" w:fill="EEF3F9"/>
          </w:tcPr>
          <w:p>
            <w:r>
              <w:rPr>
                <w:sz w:val="18"/>
              </w:rPr>
              <w:t>III</w:t>
            </w:r>
          </w:p>
        </w:tc>
        <w:tc>
          <w:tcPr>
            <w:tcW w:type="dxa" w:w="2351"/>
            <w:shd w:val="clear" w:color="auto" w:fill="EEF3F9"/>
          </w:tcPr>
          <w:p>
            <w:r>
              <w:rPr>
                <w:sz w:val="18"/>
              </w:rPr>
              <w:t>Cement grinding</w:t>
            </w:r>
          </w:p>
        </w:tc>
        <w:tc>
          <w:tcPr>
            <w:tcW w:type="dxa" w:w="2351"/>
            <w:shd w:val="clear" w:color="auto" w:fill="EEF3F9"/>
          </w:tcPr>
          <w:p>
            <w:r>
              <w:rPr>
                <w:sz w:val="18"/>
              </w:rPr>
              <w:t>Clinker, gypsum, additives</w:t>
            </w:r>
          </w:p>
        </w:tc>
        <w:tc>
          <w:tcPr>
            <w:tcW w:type="dxa" w:w="2351"/>
            <w:shd w:val="clear" w:color="auto" w:fill="EEF3F9"/>
          </w:tcPr>
          <w:p>
            <w:r>
              <w:rPr>
                <w:sz w:val="18"/>
              </w:rPr>
              <w:t>Cement (OPC, blended)</w:t>
            </w:r>
          </w:p>
        </w:tc>
      </w:tr>
      <w:tr>
        <w:tc>
          <w:tcPr>
            <w:tcW w:type="dxa" w:w="2351"/>
            <w:shd w:val="clear" w:color="auto" w:fill="FFFFFF"/>
          </w:tcPr>
          <w:p>
            <w:r>
              <w:rPr>
                <w:sz w:val="18"/>
              </w:rPr>
              <w:t>IV</w:t>
            </w:r>
          </w:p>
        </w:tc>
        <w:tc>
          <w:tcPr>
            <w:tcW w:type="dxa" w:w="2351"/>
            <w:shd w:val="clear" w:color="auto" w:fill="FFFFFF"/>
          </w:tcPr>
          <w:p>
            <w:r>
              <w:rPr>
                <w:sz w:val="18"/>
              </w:rPr>
              <w:t>Downstream products</w:t>
            </w:r>
          </w:p>
        </w:tc>
        <w:tc>
          <w:tcPr>
            <w:tcW w:type="dxa" w:w="2351"/>
            <w:shd w:val="clear" w:color="auto" w:fill="FFFFFF"/>
          </w:tcPr>
          <w:p>
            <w:r>
              <w:rPr>
                <w:sz w:val="18"/>
              </w:rPr>
              <w:t>Cement, aggregates</w:t>
            </w:r>
          </w:p>
        </w:tc>
        <w:tc>
          <w:tcPr>
            <w:tcW w:type="dxa" w:w="2351"/>
            <w:shd w:val="clear" w:color="auto" w:fill="FFFFFF"/>
          </w:tcPr>
          <w:p>
            <w:r>
              <w:rPr>
                <w:sz w:val="18"/>
              </w:rPr>
              <w:t>Concrete, blocks, tiles, fibre-cement</w:t>
            </w:r>
          </w:p>
        </w:tc>
      </w:tr>
      <w:tr>
        <w:tc>
          <w:tcPr>
            <w:tcW w:type="dxa" w:w="2351"/>
            <w:shd w:val="clear" w:color="auto" w:fill="EEF3F9"/>
          </w:tcPr>
          <w:p>
            <w:r>
              <w:rPr>
                <w:sz w:val="18"/>
              </w:rPr>
              <w:t>V</w:t>
            </w:r>
          </w:p>
        </w:tc>
        <w:tc>
          <w:tcPr>
            <w:tcW w:type="dxa" w:w="2351"/>
            <w:shd w:val="clear" w:color="auto" w:fill="EEF3F9"/>
          </w:tcPr>
          <w:p>
            <w:r>
              <w:rPr>
                <w:sz w:val="18"/>
              </w:rPr>
              <w:t>Market</w:t>
            </w:r>
          </w:p>
        </w:tc>
        <w:tc>
          <w:tcPr>
            <w:tcW w:type="dxa" w:w="2351"/>
            <w:shd w:val="clear" w:color="auto" w:fill="EEF3F9"/>
          </w:tcPr>
          <w:p>
            <w:r>
              <w:rPr>
                <w:sz w:val="18"/>
              </w:rPr>
              <w:t>Products</w:t>
            </w:r>
          </w:p>
        </w:tc>
        <w:tc>
          <w:tcPr>
            <w:tcW w:type="dxa" w:w="2351"/>
            <w:shd w:val="clear" w:color="auto" w:fill="EEF3F9"/>
          </w:tcPr>
          <w:p>
            <w:r>
              <w:rPr>
                <w:sz w:val="18"/>
              </w:rPr>
              <w:t>Construction</w:t>
            </w:r>
          </w:p>
        </w:tc>
      </w:tr>
    </w:tbl>
    <w:p/>
    <w:p>
      <w:r>
        <w:rPr>
          <w:b/>
        </w:rPr>
        <w:t>Where value is captured and lost.</w:t>
      </w:r>
      <w:r>
        <w:t xml:space="preserve"> Uganda has substantial grinding capacity but </w:t>
      </w:r>
      <w:r>
        <w:rPr>
          <w:b/>
        </w:rPr>
        <w:t>imports over 50% of its clinker</w:t>
      </w:r>
      <w:r>
        <w:t xml:space="preserve"> — the most capital- and energy-intensive, highest-value step. Cement and clinker (HS 2523) imports were about </w:t>
      </w:r>
      <w:r>
        <w:rPr>
          <w:b/>
        </w:rPr>
        <w:t>USD 162.2 million in 2024</w:t>
      </w:r>
      <w:r>
        <w:t xml:space="preserve">, against exports of about </w:t>
      </w:r>
      <w:r>
        <w:rPr>
          <w:b/>
        </w:rPr>
        <w:t>USD 86.0 million</w:t>
      </w:r>
      <w:r>
        <w:t xml:space="preserve"> (ITC TradeMap) — Uganda is both a significant exporter of finished cement to neighbours </w:t>
      </w:r>
      <w:r>
        <w:rPr>
          <w:i/>
        </w:rPr>
        <w:t>and</w:t>
      </w:r>
      <w:r>
        <w:t xml:space="preserve"> a major importer of clinker, the classic "missing middle." Closing the clinker gap is the value-addition prize.</w:t>
      </w:r>
    </w:p>
    <w:p>
      <w:pPr>
        <w:pStyle w:val="Heading2"/>
      </w:pPr>
      <w:r>
        <w:t>9.B Current State Assessment</w:t>
      </w:r>
    </w:p>
    <w:p>
      <w:r>
        <w:rPr>
          <w:b/>
        </w:rPr>
        <w:t>Market.</w:t>
      </w:r>
      <w:r>
        <w:t xml:space="preserve"> Uganda's cement market reached about </w:t>
      </w:r>
      <w:r>
        <w:rPr>
          <w:b/>
        </w:rPr>
        <w:t>USD 707 million in 2024, up ~12% year-on-year</w:t>
      </w:r>
      <w:r>
        <w:t xml:space="preserve"> (IndexBox), driven by construction, infrastructure, and the oil-and-gas build-out.</w:t>
      </w:r>
    </w:p>
    <w:p>
      <w:r>
        <w:rPr>
          <w:b/>
        </w:rPr>
        <w:t>Capacity and firms.</w:t>
      </w:r>
      <w:r>
        <w:t xml:space="preserve"> Installed cement (grinding) capacity has grown well beyond the ~6.8 million tpa of 2018. Major producers (Wikipedia plant list; CemNet):</w:t>
      </w:r>
    </w:p>
    <w:p>
      <w:pPr>
        <w:pStyle w:val="ListBullet"/>
      </w:pPr>
      <w:r>
        <w:rPr>
          <w:b/>
        </w:rPr>
        <w:t>Tororo Cement</w:t>
      </w:r>
      <w:r>
        <w:t xml:space="preserve"> — the largest, ~3.0 million tpa.</w:t>
      </w:r>
    </w:p>
    <w:p>
      <w:pPr>
        <w:pStyle w:val="ListBullet"/>
      </w:pPr>
      <w:r>
        <w:rPr>
          <w:b/>
        </w:rPr>
        <w:t>Hima Cement</w:t>
      </w:r>
      <w:r>
        <w:t xml:space="preserve"> — ~2.0 million tpa across Hima (Kasese), Namanve blending, and Tororo grinding; owns the </w:t>
      </w:r>
      <w:r>
        <w:rPr>
          <w:b/>
        </w:rPr>
        <w:t>Dura limestone quarry (Kamwenge)</w:t>
      </w:r>
      <w:r>
        <w:t>, with reserves estimated sufficient to ~2036.</w:t>
      </w:r>
    </w:p>
    <w:p>
      <w:pPr>
        <w:pStyle w:val="ListBullet"/>
      </w:pPr>
      <w:r>
        <w:rPr>
          <w:b/>
        </w:rPr>
        <w:t>Simba Cement (Uganda)</w:t>
      </w:r>
      <w:r>
        <w:t xml:space="preserve"> — ~1.0 million tpa; backed by a new clinker plant in West Pokot, Kenya (2024).</w:t>
      </w:r>
    </w:p>
    <w:p>
      <w:pPr>
        <w:pStyle w:val="ListBullet"/>
      </w:pPr>
      <w:r>
        <w:rPr>
          <w:b/>
        </w:rPr>
        <w:t>Kampala Cement</w:t>
      </w:r>
      <w:r>
        <w:t xml:space="preserve"> — ~1.0 million tpa.</w:t>
      </w:r>
    </w:p>
    <w:p>
      <w:pPr>
        <w:pStyle w:val="ListBullet"/>
      </w:pPr>
      <w:r>
        <w:t xml:space="preserve">New capacity: a </w:t>
      </w:r>
      <w:r>
        <w:rPr>
          <w:b/>
        </w:rPr>
        <w:t>USD 300 million plant in north-eastern Uganda</w:t>
      </w:r>
      <w:r>
        <w:t xml:space="preserve"> (&gt;6,000 t clinker/day) and </w:t>
      </w:r>
      <w:r>
        <w:rPr>
          <w:b/>
        </w:rPr>
        <w:t>West International Holding's USD 200 million Buikwe plant</w:t>
      </w:r>
      <w:r>
        <w:t xml:space="preserve"> (~4,000 t/day, due 2025) — both adding clinker capacity to close the import gap (Ecofin Agency; CemNet, 2024–25).</w:t>
      </w:r>
    </w:p>
    <w:p>
      <w:r>
        <w:rPr>
          <w:b/>
        </w:rPr>
        <w:t>Clinker dependence.</w:t>
      </w:r>
      <w:r>
        <w:t xml:space="preserve"> Despite strong grinding capacity, Uganda imports </w:t>
      </w:r>
      <w:r>
        <w:rPr>
          <w:b/>
        </w:rPr>
        <w:t>&gt;50% of its clinker</w:t>
      </w:r>
      <w:r>
        <w:t xml:space="preserve"> — the structural weakness the new plants aim to address.</w:t>
      </w:r>
    </w:p>
    <w:p>
      <w:r>
        <w:rPr>
          <w:b/>
        </w:rPr>
        <w:t>Trade position (ITC TradeMap, 2024).</w:t>
      </w:r>
      <w:r>
        <w:t xml:space="preserve"> Cement &amp; clinker (HS 2523): imports ~USD 162.2m, exports ~USD 86.0m. Uganda exports finished cement to </w:t>
      </w:r>
      <w:r>
        <w:rPr>
          <w:b/>
        </w:rPr>
        <w:t>Rwanda, DRC, South Sudan, and Kenya</w:t>
      </w:r>
      <w:r>
        <w:t xml:space="preserve"> while importing clinker — a chain that is competitive downstream but leaks value upstream.</w:t>
      </w:r>
    </w:p>
    <w:p>
      <w:pPr>
        <w:pStyle w:val="Heading2"/>
      </w:pPr>
      <w:r>
        <w:t>9.C Binding Constraints Analysis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Dimension</w:t>
            </w:r>
          </w:p>
        </w:tc>
        <w:tc>
          <w:tcPr>
            <w:tcW w:type="dxa" w:w="4703"/>
            <w:shd w:val="clear" w:color="auto" w:fill="002B5B"/>
          </w:tcPr>
          <w:p>
            <w:r>
              <w:rPr>
                <w:b/>
                <w:color w:val="FFFFFF"/>
                <w:sz w:val="18"/>
              </w:rPr>
              <w:t>Assessment</w:t>
            </w:r>
          </w:p>
        </w:tc>
      </w:tr>
      <w:tr>
        <w:tc>
          <w:tcPr>
            <w:tcW w:type="dxa" w:w="4703"/>
            <w:shd w:val="clear" w:color="auto" w:fill="EEF3F9"/>
          </w:tcPr>
          <w:p>
            <w:r>
              <w:rPr>
                <w:b/>
                <w:sz w:val="18"/>
              </w:rPr>
              <w:t>Inputs / raw materials</w:t>
            </w:r>
          </w:p>
        </w:tc>
        <w:tc>
          <w:tcPr>
            <w:tcW w:type="dxa" w:w="4703"/>
            <w:shd w:val="clear" w:color="auto" w:fill="EEF3F9"/>
          </w:tcPr>
          <w:p>
            <w:r>
              <w:rPr>
                <w:sz w:val="18"/>
              </w:rPr>
              <w:t>Limestone reserves exist (Dura/Kamwenge, Tororo, Karamoja) but clinker capacity has lagged grinding — hence &gt;50% clinker imports. New plants address this.</w:t>
            </w:r>
          </w:p>
        </w:tc>
      </w:tr>
      <w:tr>
        <w:tc>
          <w:tcPr>
            <w:tcW w:type="dxa" w:w="4703"/>
            <w:shd w:val="clear" w:color="auto" w:fill="FFFFFF"/>
          </w:tcPr>
          <w:p>
            <w:r>
              <w:rPr>
                <w:b/>
                <w:sz w:val="18"/>
              </w:rPr>
              <w:t>Technology &amp; productivity</w:t>
            </w:r>
          </w:p>
        </w:tc>
        <w:tc>
          <w:tcPr>
            <w:tcW w:type="dxa" w:w="4703"/>
            <w:shd w:val="clear" w:color="auto" w:fill="FFFFFF"/>
          </w:tcPr>
          <w:p>
            <w:r>
              <w:rPr>
                <w:sz w:val="18"/>
              </w:rPr>
              <w:t>Grinding is well-established; clinker kilns are capital- and energy-intensive; the new plants bring modern capacity.</w:t>
            </w:r>
          </w:p>
        </w:tc>
      </w:tr>
      <w:tr>
        <w:tc>
          <w:tcPr>
            <w:tcW w:type="dxa" w:w="4703"/>
            <w:shd w:val="clear" w:color="auto" w:fill="EEF3F9"/>
          </w:tcPr>
          <w:p>
            <w:r>
              <w:rPr>
                <w:b/>
                <w:sz w:val="18"/>
              </w:rPr>
              <w:t>Energy</w:t>
            </w:r>
          </w:p>
        </w:tc>
        <w:tc>
          <w:tcPr>
            <w:tcW w:type="dxa" w:w="4703"/>
            <w:shd w:val="clear" w:color="auto" w:fill="EEF3F9"/>
          </w:tcPr>
          <w:p>
            <w:r>
              <w:rPr>
                <w:sz w:val="18"/>
              </w:rPr>
              <w:t>Clinker production is highly energy-intensive (thermal + electricity); energy cost and reliability are decisive for competitiveness.</w:t>
            </w:r>
          </w:p>
        </w:tc>
      </w:tr>
      <w:tr>
        <w:tc>
          <w:tcPr>
            <w:tcW w:type="dxa" w:w="4703"/>
            <w:shd w:val="clear" w:color="auto" w:fill="FFFFFF"/>
          </w:tcPr>
          <w:p>
            <w:r>
              <w:rPr>
                <w:b/>
                <w:sz w:val="18"/>
              </w:rPr>
              <w:t>Water</w:t>
            </w:r>
          </w:p>
        </w:tc>
        <w:tc>
          <w:tcPr>
            <w:tcW w:type="dxa" w:w="4703"/>
            <w:shd w:val="clear" w:color="auto" w:fill="FFFFFF"/>
          </w:tcPr>
          <w:p>
            <w:r>
              <w:rPr>
                <w:sz w:val="18"/>
              </w:rPr>
              <w:t>Process water managed; not the binding constraint.</w:t>
            </w:r>
          </w:p>
        </w:tc>
      </w:tr>
      <w:tr>
        <w:tc>
          <w:tcPr>
            <w:tcW w:type="dxa" w:w="4703"/>
            <w:shd w:val="clear" w:color="auto" w:fill="EEF3F9"/>
          </w:tcPr>
          <w:p>
            <w:r>
              <w:rPr>
                <w:b/>
                <w:sz w:val="18"/>
              </w:rPr>
              <w:t>Logistics</w:t>
            </w:r>
          </w:p>
        </w:tc>
        <w:tc>
          <w:tcPr>
            <w:tcW w:type="dxa" w:w="4703"/>
            <w:shd w:val="clear" w:color="auto" w:fill="EEF3F9"/>
          </w:tcPr>
          <w:p>
            <w:r>
              <w:rPr>
                <w:sz w:val="18"/>
              </w:rPr>
              <w:t>Cement is bulk/low-value-density; the landlocked penalty (~18–20% of sale price) both protects the domestic market and limits distant exports — favouring domestic clinker over imports.</w:t>
            </w:r>
          </w:p>
        </w:tc>
      </w:tr>
      <w:tr>
        <w:tc>
          <w:tcPr>
            <w:tcW w:type="dxa" w:w="4703"/>
            <w:shd w:val="clear" w:color="auto" w:fill="FFFFFF"/>
          </w:tcPr>
          <w:p>
            <w:r>
              <w:rPr>
                <w:b/>
                <w:sz w:val="18"/>
              </w:rPr>
              <w:t>Waste &amp; effluent</w:t>
            </w:r>
          </w:p>
        </w:tc>
        <w:tc>
          <w:tcPr>
            <w:tcW w:type="dxa" w:w="4703"/>
            <w:shd w:val="clear" w:color="auto" w:fill="FFFFFF"/>
          </w:tcPr>
          <w:p>
            <w:r>
              <w:rPr>
                <w:sz w:val="18"/>
              </w:rPr>
              <w:t>Kiln dust and emissions managed under NEMA; co-processing of waste (alternative fuels) is an opportunity.</w:t>
            </w:r>
          </w:p>
        </w:tc>
      </w:tr>
      <w:tr>
        <w:tc>
          <w:tcPr>
            <w:tcW w:type="dxa" w:w="4703"/>
            <w:shd w:val="clear" w:color="auto" w:fill="EEF3F9"/>
          </w:tcPr>
          <w:p>
            <w:r>
              <w:rPr>
                <w:b/>
                <w:sz w:val="18"/>
              </w:rPr>
              <w:t>Finance &amp; investment</w:t>
            </w:r>
          </w:p>
        </w:tc>
        <w:tc>
          <w:tcPr>
            <w:tcW w:type="dxa" w:w="4703"/>
            <w:shd w:val="clear" w:color="auto" w:fill="EEF3F9"/>
          </w:tcPr>
          <w:p>
            <w:r>
              <w:rPr>
                <w:sz w:val="18"/>
              </w:rPr>
              <w:t>Clinker plants are very capital-intensive; recent USD 200–300m investments show appetite.</w:t>
            </w:r>
          </w:p>
        </w:tc>
      </w:tr>
      <w:tr>
        <w:tc>
          <w:tcPr>
            <w:tcW w:type="dxa" w:w="4703"/>
            <w:shd w:val="clear" w:color="auto" w:fill="FFFFFF"/>
          </w:tcPr>
          <w:p>
            <w:r>
              <w:rPr>
                <w:b/>
                <w:sz w:val="18"/>
              </w:rPr>
              <w:t>Skills &amp; workforce</w:t>
            </w:r>
          </w:p>
        </w:tc>
        <w:tc>
          <w:tcPr>
            <w:tcW w:type="dxa" w:w="4703"/>
            <w:shd w:val="clear" w:color="auto" w:fill="FFFFFF"/>
          </w:tcPr>
          <w:p>
            <w:r>
              <w:rPr>
                <w:sz w:val="18"/>
              </w:rPr>
              <w:t>Process and maintenance skills needed; sector has a trained base.</w:t>
            </w:r>
          </w:p>
        </w:tc>
      </w:tr>
      <w:tr>
        <w:tc>
          <w:tcPr>
            <w:tcW w:type="dxa" w:w="4703"/>
            <w:shd w:val="clear" w:color="auto" w:fill="EEF3F9"/>
          </w:tcPr>
          <w:p>
            <w:r>
              <w:rPr>
                <w:b/>
                <w:sz w:val="18"/>
              </w:rPr>
              <w:t>Standards &amp; quality</w:t>
            </w:r>
          </w:p>
        </w:tc>
        <w:tc>
          <w:tcPr>
            <w:tcW w:type="dxa" w:w="4703"/>
            <w:shd w:val="clear" w:color="auto" w:fill="EEF3F9"/>
          </w:tcPr>
          <w:p>
            <w:r>
              <w:rPr>
                <w:sz w:val="18"/>
              </w:rPr>
              <w:t>UNBS cement standards; sub-standard cement is a safety and market issue.</w:t>
            </w:r>
          </w:p>
        </w:tc>
      </w:tr>
      <w:tr>
        <w:tc>
          <w:tcPr>
            <w:tcW w:type="dxa" w:w="4703"/>
            <w:shd w:val="clear" w:color="auto" w:fill="FFFFFF"/>
          </w:tcPr>
          <w:p>
            <w:r>
              <w:rPr>
                <w:b/>
                <w:sz w:val="18"/>
              </w:rPr>
              <w:t>Policy &amp; regulatory</w:t>
            </w:r>
          </w:p>
        </w:tc>
        <w:tc>
          <w:tcPr>
            <w:tcW w:type="dxa" w:w="4703"/>
            <w:shd w:val="clear" w:color="auto" w:fill="FFFFFF"/>
          </w:tcPr>
          <w:p>
            <w:r>
              <w:rPr>
                <w:sz w:val="18"/>
              </w:rPr>
              <w:t>Limestone licensing, energy policy, and EAC trade rules shape competitiveness; clinker-import reliance is the central strategic concern.</w:t>
            </w:r>
          </w:p>
        </w:tc>
      </w:tr>
    </w:tbl>
    <w:p/>
    <w:p>
      <w:pPr>
        <w:pStyle w:val="Heading2"/>
      </w:pPr>
      <w:r>
        <w:t>9.D Market Assessment</w:t>
      </w:r>
    </w:p>
    <w:p>
      <w:r>
        <w:rPr>
          <w:b/>
        </w:rPr>
        <w:t>Domestic.</w:t>
      </w:r>
      <w:r>
        <w:t xml:space="preserve"> Large and growing (USD 707m, +12% in 2024), driven by construction, infrastructure, and oil-and-gas. Domestic demand comfortably supports closing the clinker gap.</w:t>
      </w:r>
    </w:p>
    <w:p>
      <w:r>
        <w:rPr>
          <w:b/>
        </w:rPr>
        <w:t>Regional (EAC/COMESA).</w:t>
      </w:r>
      <w:r>
        <w:t xml:space="preserve"> Uganda is already a competitive </w:t>
      </w:r>
      <w:r>
        <w:rPr>
          <w:b/>
        </w:rPr>
        <w:t>finished-cement exporter</w:t>
      </w:r>
      <w:r>
        <w:t xml:space="preserve"> to Rwanda, DRC, South Sudan, and Kenya (USD 86m in 2024) — proximity favours Uganda in these markets. Reliable domestic clinker would deepen this advantage.</w:t>
      </w:r>
    </w:p>
    <w:p>
      <w:r>
        <w:rPr>
          <w:b/>
        </w:rPr>
        <w:t>Global.</w:t>
      </w:r>
      <w:r>
        <w:t xml:space="preserve"> Not relevant — cement is a regional product by economics.</w:t>
      </w:r>
    </w:p>
    <w:p>
      <w:r>
        <w:rPr>
          <w:b/>
        </w:rPr>
        <w:t>Accessible market conclusion.</w:t>
      </w:r>
      <w:r>
        <w:t xml:space="preserve"> Prioritize </w:t>
      </w:r>
      <w:r>
        <w:rPr>
          <w:b/>
        </w:rPr>
        <w:t>domestic clinker production</w:t>
      </w:r>
      <w:r>
        <w:t xml:space="preserve"> (close the &gt;50% import gap), </w:t>
      </w:r>
      <w:r>
        <w:rPr>
          <w:b/>
        </w:rPr>
        <w:t>defend and grow regional finished-cement exports</w:t>
      </w:r>
      <w:r>
        <w:t xml:space="preserve">, and develop </w:t>
      </w:r>
      <w:r>
        <w:rPr>
          <w:b/>
        </w:rPr>
        <w:t>higher-value building materials</w:t>
      </w:r>
      <w:r>
        <w:t xml:space="preserve"> (fibre-cement, tiles, precast).</w:t>
      </w:r>
    </w:p>
    <w:p>
      <w:pPr>
        <w:pStyle w:val="Heading2"/>
      </w:pPr>
      <w:r>
        <w:t>9.E Prioritized Products</w:t>
      </w:r>
    </w:p>
    <w:tbl>
      <w:tblPr>
        <w:tblStyle w:val="TableGrid"/>
        <w:tblW w:type="auto" w:w="0"/>
        <w:jc w:val="left"/>
        <w:tblLook w:firstColumn="1" w:firstRow="1" w:lastColumn="0" w:lastRow="0" w:noHBand="0" w:noVBand="1" w:val="04A0"/>
      </w:tblPr>
      <w:tblGrid>
        <w:gridCol w:w="1344"/>
        <w:gridCol w:w="1344"/>
        <w:gridCol w:w="1344"/>
        <w:gridCol w:w="1344"/>
        <w:gridCol w:w="1344"/>
        <w:gridCol w:w="1344"/>
        <w:gridCol w:w="1344"/>
      </w:tblGrid>
      <w:tr>
        <w:tc>
          <w:tcPr>
            <w:tcW w:type="dxa" w:w="1344"/>
            <w:shd w:val="clear" w:color="auto" w:fill="002B5B"/>
          </w:tcPr>
          <w:p>
            <w:r>
              <w:rPr>
                <w:b/>
                <w:color w:val="FFFFFF"/>
                <w:sz w:val="18"/>
              </w:rPr>
              <w:t>Product / sub-sector</w:t>
            </w:r>
          </w:p>
        </w:tc>
        <w:tc>
          <w:tcPr>
            <w:tcW w:type="dxa" w:w="1344"/>
            <w:shd w:val="clear" w:color="auto" w:fill="002B5B"/>
          </w:tcPr>
          <w:p>
            <w:r>
              <w:rPr>
                <w:b/>
                <w:color w:val="FFFFFF"/>
                <w:sz w:val="18"/>
              </w:rPr>
              <w:t>Market</w:t>
            </w:r>
          </w:p>
        </w:tc>
        <w:tc>
          <w:tcPr>
            <w:tcW w:type="dxa" w:w="1344"/>
            <w:shd w:val="clear" w:color="auto" w:fill="002B5B"/>
          </w:tcPr>
          <w:p>
            <w:r>
              <w:rPr>
                <w:b/>
                <w:color w:val="FFFFFF"/>
                <w:sz w:val="18"/>
              </w:rPr>
              <w:t>Comp. adv.</w:t>
            </w:r>
          </w:p>
        </w:tc>
        <w:tc>
          <w:tcPr>
            <w:tcW w:type="dxa" w:w="1344"/>
            <w:shd w:val="clear" w:color="auto" w:fill="002B5B"/>
          </w:tcPr>
          <w:p>
            <w:r>
              <w:rPr>
                <w:b/>
                <w:color w:val="FFFFFF"/>
                <w:sz w:val="18"/>
              </w:rPr>
              <w:t>Feasibility</w:t>
            </w:r>
          </w:p>
        </w:tc>
        <w:tc>
          <w:tcPr>
            <w:tcW w:type="dxa" w:w="1344"/>
            <w:shd w:val="clear" w:color="auto" w:fill="002B5B"/>
          </w:tcPr>
          <w:p>
            <w:r>
              <w:rPr>
                <w:b/>
                <w:color w:val="FFFFFF"/>
                <w:sz w:val="18"/>
              </w:rPr>
              <w:t>Jobs</w:t>
            </w:r>
          </w:p>
        </w:tc>
        <w:tc>
          <w:tcPr>
            <w:tcW w:type="dxa" w:w="1344"/>
            <w:shd w:val="clear" w:color="auto" w:fill="002B5B"/>
          </w:tcPr>
          <w:p>
            <w:r>
              <w:rPr>
                <w:b/>
                <w:color w:val="FFFFFF"/>
                <w:sz w:val="18"/>
              </w:rPr>
              <w:t>Import subst.</w:t>
            </w:r>
          </w:p>
        </w:tc>
        <w:tc>
          <w:tcPr>
            <w:tcW w:type="dxa" w:w="1344"/>
            <w:shd w:val="clear" w:color="auto" w:fill="002B5B"/>
          </w:tcPr>
          <w:p>
            <w:r>
              <w:rPr>
                <w:b/>
                <w:color w:val="FFFFFF"/>
                <w:sz w:val="18"/>
              </w:rPr>
              <w:t>Priority</w:t>
            </w:r>
          </w:p>
        </w:tc>
      </w:tr>
      <w:tr>
        <w:tc>
          <w:tcPr>
            <w:tcW w:type="dxa" w:w="1344"/>
            <w:shd w:val="clear" w:color="auto" w:fill="EEF3F9"/>
          </w:tcPr>
          <w:p>
            <w:r>
              <w:rPr>
                <w:b/>
                <w:sz w:val="18"/>
              </w:rPr>
              <w:t>Clinker production (close the import gap)</w:t>
            </w:r>
          </w:p>
        </w:tc>
        <w:tc>
          <w:tcPr>
            <w:tcW w:type="dxa" w:w="1344"/>
            <w:shd w:val="clear" w:color="auto" w:fill="EEF3F9"/>
          </w:tcPr>
          <w:p>
            <w:r>
              <w:rPr>
                <w:sz w:val="18"/>
              </w:rPr>
              <w:t>High (USD 162m imports)</w:t>
            </w:r>
          </w:p>
        </w:tc>
        <w:tc>
          <w:tcPr>
            <w:tcW w:type="dxa" w:w="1344"/>
            <w:shd w:val="clear" w:color="auto" w:fill="EEF3F9"/>
          </w:tcPr>
          <w:p>
            <w:r>
              <w:rPr>
                <w:sz w:val="18"/>
              </w:rPr>
              <w:t>High (limestone)</w:t>
            </w:r>
          </w:p>
        </w:tc>
        <w:tc>
          <w:tcPr>
            <w:tcW w:type="dxa" w:w="1344"/>
            <w:shd w:val="clear" w:color="auto" w:fill="EEF3F9"/>
          </w:tcPr>
          <w:p>
            <w:r>
              <w:rPr>
                <w:sz w:val="18"/>
              </w:rPr>
              <w:t>Medium</w:t>
            </w:r>
          </w:p>
        </w:tc>
        <w:tc>
          <w:tcPr>
            <w:tcW w:type="dxa" w:w="1344"/>
            <w:shd w:val="clear" w:color="auto" w:fill="EEF3F9"/>
          </w:tcPr>
          <w:p>
            <w:r>
              <w:rPr>
                <w:sz w:val="18"/>
              </w:rPr>
              <w:t>High</w:t>
            </w:r>
          </w:p>
        </w:tc>
        <w:tc>
          <w:tcPr>
            <w:tcW w:type="dxa" w:w="1344"/>
            <w:shd w:val="clear" w:color="auto" w:fill="EEF3F9"/>
          </w:tcPr>
          <w:p>
            <w:r>
              <w:rPr>
                <w:sz w:val="18"/>
              </w:rPr>
              <w:t>Very high</w:t>
            </w:r>
          </w:p>
        </w:tc>
        <w:tc>
          <w:tcPr>
            <w:tcW w:type="dxa" w:w="1344"/>
            <w:shd w:val="clear" w:color="auto" w:fill="EEF3F9"/>
          </w:tcPr>
          <w:p>
            <w:r>
              <w:rPr>
                <w:b/>
                <w:sz w:val="18"/>
              </w:rPr>
              <w:t>Priority</w:t>
            </w:r>
          </w:p>
        </w:tc>
      </w:tr>
      <w:tr>
        <w:tc>
          <w:tcPr>
            <w:tcW w:type="dxa" w:w="1344"/>
            <w:shd w:val="clear" w:color="auto" w:fill="FFFFFF"/>
          </w:tcPr>
          <w:p>
            <w:r>
              <w:rPr>
                <w:b/>
                <w:sz w:val="18"/>
              </w:rPr>
              <w:t>Finished cement (defend &amp; grow regional export)</w:t>
            </w:r>
          </w:p>
        </w:tc>
        <w:tc>
          <w:tcPr>
            <w:tcW w:type="dxa" w:w="1344"/>
            <w:shd w:val="clear" w:color="auto" w:fill="FFFFFF"/>
          </w:tcPr>
          <w:p>
            <w:r>
              <w:rPr>
                <w:sz w:val="18"/>
              </w:rPr>
              <w:t>High (USD 86m export)</w:t>
            </w:r>
          </w:p>
        </w:tc>
        <w:tc>
          <w:tcPr>
            <w:tcW w:type="dxa" w:w="1344"/>
            <w:shd w:val="clear" w:color="auto" w:fill="FFFFFF"/>
          </w:tcPr>
          <w:p>
            <w:r>
              <w:rPr>
                <w:sz w:val="18"/>
              </w:rPr>
              <w:t>High</w:t>
            </w:r>
          </w:p>
        </w:tc>
        <w:tc>
          <w:tcPr>
            <w:tcW w:type="dxa" w:w="1344"/>
            <w:shd w:val="clear" w:color="auto" w:fill="FFFFFF"/>
          </w:tcPr>
          <w:p>
            <w:r>
              <w:rPr>
                <w:sz w:val="18"/>
              </w:rPr>
              <w:t>High</w:t>
            </w:r>
          </w:p>
        </w:tc>
        <w:tc>
          <w:tcPr>
            <w:tcW w:type="dxa" w:w="1344"/>
            <w:shd w:val="clear" w:color="auto" w:fill="FFFFFF"/>
          </w:tcPr>
          <w:p>
            <w:r>
              <w:rPr>
                <w:sz w:val="18"/>
              </w:rPr>
              <w:t>High</w:t>
            </w:r>
          </w:p>
        </w:tc>
        <w:tc>
          <w:tcPr>
            <w:tcW w:type="dxa" w:w="1344"/>
            <w:shd w:val="clear" w:color="auto" w:fill="FFFFFF"/>
          </w:tcPr>
          <w:p>
            <w:r>
              <w:rPr>
                <w:sz w:val="18"/>
              </w:rPr>
              <w:t>Achieved</w:t>
            </w:r>
          </w:p>
        </w:tc>
        <w:tc>
          <w:tcPr>
            <w:tcW w:type="dxa" w:w="1344"/>
            <w:shd w:val="clear" w:color="auto" w:fill="FFFFFF"/>
          </w:tcPr>
          <w:p>
            <w:r>
              <w:rPr>
                <w:b/>
                <w:sz w:val="18"/>
              </w:rPr>
              <w:t>Priority</w:t>
            </w:r>
          </w:p>
        </w:tc>
      </w:tr>
      <w:tr>
        <w:tc>
          <w:tcPr>
            <w:tcW w:type="dxa" w:w="1344"/>
            <w:shd w:val="clear" w:color="auto" w:fill="EEF3F9"/>
          </w:tcPr>
          <w:p>
            <w:r>
              <w:rPr>
                <w:b/>
                <w:sz w:val="18"/>
              </w:rPr>
              <w:t>Higher-value building materials (fibre-cement, tiles, precast)</w:t>
            </w:r>
          </w:p>
        </w:tc>
        <w:tc>
          <w:tcPr>
            <w:tcW w:type="dxa" w:w="1344"/>
            <w:shd w:val="clear" w:color="auto" w:fill="EEF3F9"/>
          </w:tcPr>
          <w:p>
            <w:r>
              <w:rPr>
                <w:sz w:val="18"/>
              </w:rPr>
              <w:t>Medium–High</w:t>
            </w:r>
          </w:p>
        </w:tc>
        <w:tc>
          <w:tcPr>
            <w:tcW w:type="dxa" w:w="1344"/>
            <w:shd w:val="clear" w:color="auto" w:fill="EEF3F9"/>
          </w:tcPr>
          <w:p>
            <w:r>
              <w:rPr>
                <w:sz w:val="18"/>
              </w:rPr>
              <w:t>Medium</w:t>
            </w:r>
          </w:p>
        </w:tc>
        <w:tc>
          <w:tcPr>
            <w:tcW w:type="dxa" w:w="1344"/>
            <w:shd w:val="clear" w:color="auto" w:fill="EEF3F9"/>
          </w:tcPr>
          <w:p>
            <w:r>
              <w:rPr>
                <w:sz w:val="18"/>
              </w:rPr>
              <w:t>Medium</w:t>
            </w:r>
          </w:p>
        </w:tc>
        <w:tc>
          <w:tcPr>
            <w:tcW w:type="dxa" w:w="1344"/>
            <w:shd w:val="clear" w:color="auto" w:fill="EEF3F9"/>
          </w:tcPr>
          <w:p>
            <w:r>
              <w:rPr>
                <w:sz w:val="18"/>
              </w:rPr>
              <w:t>High</w:t>
            </w:r>
          </w:p>
        </w:tc>
        <w:tc>
          <w:tcPr>
            <w:tcW w:type="dxa" w:w="1344"/>
            <w:shd w:val="clear" w:color="auto" w:fill="EEF3F9"/>
          </w:tcPr>
          <w:p>
            <w:r>
              <w:rPr>
                <w:sz w:val="18"/>
              </w:rPr>
              <w:t>High</w:t>
            </w:r>
          </w:p>
        </w:tc>
        <w:tc>
          <w:tcPr>
            <w:tcW w:type="dxa" w:w="1344"/>
            <w:shd w:val="clear" w:color="auto" w:fill="EEF3F9"/>
          </w:tcPr>
          <w:p>
            <w:r>
              <w:rPr>
                <w:b/>
                <w:sz w:val="18"/>
              </w:rPr>
              <w:t>Priority</w:t>
            </w:r>
          </w:p>
        </w:tc>
      </w:tr>
      <w:tr>
        <w:tc>
          <w:tcPr>
            <w:tcW w:type="dxa" w:w="1344"/>
            <w:shd w:val="clear" w:color="auto" w:fill="FFFFFF"/>
          </w:tcPr>
          <w:p>
            <w:r>
              <w:rPr>
                <w:sz w:val="18"/>
              </w:rPr>
              <w:t>Specialty/white cement</w:t>
            </w:r>
          </w:p>
        </w:tc>
        <w:tc>
          <w:tcPr>
            <w:tcW w:type="dxa" w:w="1344"/>
            <w:shd w:val="clear" w:color="auto" w:fill="FFFFFF"/>
          </w:tcPr>
          <w:p>
            <w:r>
              <w:rPr>
                <w:sz w:val="18"/>
              </w:rPr>
              <w:t>Low</w:t>
            </w:r>
          </w:p>
        </w:tc>
        <w:tc>
          <w:tcPr>
            <w:tcW w:type="dxa" w:w="1344"/>
            <w:shd w:val="clear" w:color="auto" w:fill="FFFFFF"/>
          </w:tcPr>
          <w:p>
            <w:r>
              <w:rPr>
                <w:sz w:val="18"/>
              </w:rPr>
              <w:t>Low</w:t>
            </w:r>
          </w:p>
        </w:tc>
        <w:tc>
          <w:tcPr>
            <w:tcW w:type="dxa" w:w="1344"/>
            <w:shd w:val="clear" w:color="auto" w:fill="FFFFFF"/>
          </w:tcPr>
          <w:p>
            <w:r>
              <w:rPr>
                <w:sz w:val="18"/>
              </w:rPr>
              <w:t>Low</w:t>
            </w:r>
          </w:p>
        </w:tc>
        <w:tc>
          <w:tcPr>
            <w:tcW w:type="dxa" w:w="1344"/>
            <w:shd w:val="clear" w:color="auto" w:fill="FFFFFF"/>
          </w:tcPr>
          <w:p>
            <w:r>
              <w:rPr>
                <w:sz w:val="18"/>
              </w:rPr>
              <w:t>Low</w:t>
            </w:r>
          </w:p>
        </w:tc>
        <w:tc>
          <w:tcPr>
            <w:tcW w:type="dxa" w:w="1344"/>
            <w:shd w:val="clear" w:color="auto" w:fill="FFFFFF"/>
          </w:tcPr>
          <w:p>
            <w:r>
              <w:rPr>
                <w:sz w:val="18"/>
              </w:rPr>
              <w:t>Low</w:t>
            </w:r>
          </w:p>
        </w:tc>
        <w:tc>
          <w:tcPr>
            <w:tcW w:type="dxa" w:w="1344"/>
            <w:shd w:val="clear" w:color="auto" w:fill="FFFFFF"/>
          </w:tcPr>
          <w:p>
            <w:r>
              <w:rPr>
                <w:sz w:val="18"/>
              </w:rPr>
              <w:t>Deprioritize</w:t>
            </w:r>
          </w:p>
        </w:tc>
      </w:tr>
    </w:tbl>
    <w:p/>
    <w:p>
      <w:r>
        <w:rPr>
          <w:b/>
        </w:rPr>
        <w:t>The three priorities for Cement &amp; Building Materials:</w:t>
      </w:r>
    </w:p>
    <w:p>
      <w:pPr>
        <w:pStyle w:val="ListNumber"/>
      </w:pPr>
      <w:r>
        <w:rPr>
          <w:b/>
        </w:rPr>
        <w:t>Clinker production</w:t>
      </w:r>
      <w:r>
        <w:t xml:space="preserve"> — the single highest-value step and the chain's structural gap; the new USD 200–300m plants should be supported to substitute the USD 162m clinker/cement import line and secure feedstock for domestic grinders.</w:t>
      </w:r>
    </w:p>
    <w:p>
      <w:pPr>
        <w:pStyle w:val="ListNumber"/>
      </w:pPr>
      <w:r>
        <w:rPr>
          <w:b/>
        </w:rPr>
        <w:t>Finished cement for regional export</w:t>
      </w:r>
      <w:r>
        <w:t xml:space="preserve"> — defend and grow Uganda's competitive USD 86m export position to neighbours, strengthened by reliable domestic clinker.</w:t>
      </w:r>
    </w:p>
    <w:p>
      <w:pPr>
        <w:pStyle w:val="ListNumber"/>
      </w:pPr>
      <w:r>
        <w:rPr>
          <w:b/>
        </w:rPr>
        <w:t>Higher-value building materials</w:t>
      </w:r>
      <w:r>
        <w:t xml:space="preserve"> — fibre-cement sheets, tiles, and precast/concrete products that add value and substitute imports in construction.</w:t>
      </w:r>
    </w:p>
    <w:p>
      <w:r>
        <w:rPr>
          <w:b/>
        </w:rPr>
        <w:t>Explicit deprioritization.</w:t>
      </w:r>
      <w:r>
        <w:t xml:space="preserve"> Uganda should </w:t>
      </w:r>
      <w:r>
        <w:rPr>
          <w:b/>
        </w:rPr>
        <w:t>not</w:t>
      </w:r>
      <w:r>
        <w:t xml:space="preserve"> target niche specialty or white-cement production — small markets requiring specialised, costly capacity. The strategic priority is </w:t>
      </w:r>
      <w:r>
        <w:rPr>
          <w:b/>
        </w:rPr>
        <w:t>mainstream clinker + cement + building materials</w:t>
      </w:r>
      <w:r>
        <w:t xml:space="preserve"> for domestic and regional markets.</w:t>
      </w:r>
    </w:p>
    <w:p>
      <w:pPr>
        <w:pStyle w:val="Heading2"/>
      </w:pPr>
      <w:r>
        <w:t>9.F Priority Action Matrix</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Timeframe</w:t>
            </w:r>
          </w:p>
        </w:tc>
        <w:tc>
          <w:tcPr>
            <w:tcW w:type="dxa" w:w="2351"/>
            <w:shd w:val="clear" w:color="auto" w:fill="002B5B"/>
          </w:tcPr>
          <w:p>
            <w:r>
              <w:rPr>
                <w:b/>
                <w:color w:val="FFFFFF"/>
                <w:sz w:val="18"/>
              </w:rPr>
              <w:t>Action</w:t>
            </w:r>
          </w:p>
        </w:tc>
        <w:tc>
          <w:tcPr>
            <w:tcW w:type="dxa" w:w="2351"/>
            <w:shd w:val="clear" w:color="auto" w:fill="002B5B"/>
          </w:tcPr>
          <w:p>
            <w:r>
              <w:rPr>
                <w:b/>
                <w:color w:val="FFFFFF"/>
                <w:sz w:val="18"/>
              </w:rPr>
              <w:t>Lead</w:t>
            </w:r>
          </w:p>
        </w:tc>
        <w:tc>
          <w:tcPr>
            <w:tcW w:type="dxa" w:w="2351"/>
            <w:shd w:val="clear" w:color="auto" w:fill="002B5B"/>
          </w:tcPr>
          <w:p>
            <w:r>
              <w:rPr>
                <w:b/>
                <w:color w:val="FFFFFF"/>
                <w:sz w:val="18"/>
              </w:rPr>
              <w:t>Indicative cost</w:t>
            </w:r>
          </w:p>
        </w:tc>
      </w:tr>
      <w:tr>
        <w:tc>
          <w:tcPr>
            <w:tcW w:type="dxa" w:w="2351"/>
            <w:shd w:val="clear" w:color="auto" w:fill="EEF3F9"/>
          </w:tcPr>
          <w:p>
            <w:r>
              <w:rPr>
                <w:b/>
                <w:sz w:val="18"/>
              </w:rPr>
              <w:t>Quick win (0–12m)</w:t>
            </w:r>
          </w:p>
        </w:tc>
        <w:tc>
          <w:tcPr>
            <w:tcW w:type="dxa" w:w="2351"/>
            <w:shd w:val="clear" w:color="auto" w:fill="EEF3F9"/>
          </w:tcPr>
          <w:p>
            <w:r>
              <w:rPr>
                <w:sz w:val="18"/>
              </w:rPr>
              <w:t>UNBS enforcement on cement quality; support new clinker plants' commissioning</w:t>
            </w:r>
          </w:p>
        </w:tc>
        <w:tc>
          <w:tcPr>
            <w:tcW w:type="dxa" w:w="2351"/>
            <w:shd w:val="clear" w:color="auto" w:fill="EEF3F9"/>
          </w:tcPr>
          <w:p>
            <w:r>
              <w:rPr>
                <w:sz w:val="18"/>
              </w:rPr>
              <w:t>UNBS, MTIC</w:t>
            </w:r>
          </w:p>
        </w:tc>
        <w:tc>
          <w:tcPr>
            <w:tcW w:type="dxa" w:w="2351"/>
            <w:shd w:val="clear" w:color="auto" w:fill="EEF3F9"/>
          </w:tcPr>
          <w:p>
            <w:r>
              <w:rPr>
                <w:sz w:val="18"/>
              </w:rPr>
              <w:t>Low</w:t>
            </w:r>
          </w:p>
        </w:tc>
      </w:tr>
      <w:tr>
        <w:tc>
          <w:tcPr>
            <w:tcW w:type="dxa" w:w="2351"/>
            <w:shd w:val="clear" w:color="auto" w:fill="FFFFFF"/>
          </w:tcPr>
          <w:p>
            <w:r>
              <w:rPr>
                <w:sz w:val="18"/>
              </w:rPr>
              <w:t>Quick win (0–12m)</w:t>
            </w:r>
          </w:p>
        </w:tc>
        <w:tc>
          <w:tcPr>
            <w:tcW w:type="dxa" w:w="2351"/>
            <w:shd w:val="clear" w:color="auto" w:fill="FFFFFF"/>
          </w:tcPr>
          <w:p>
            <w:r>
              <w:rPr>
                <w:sz w:val="18"/>
              </w:rPr>
              <w:t>Secure limestone licensing and land for clinker expansion</w:t>
            </w:r>
          </w:p>
        </w:tc>
        <w:tc>
          <w:tcPr>
            <w:tcW w:type="dxa" w:w="2351"/>
            <w:shd w:val="clear" w:color="auto" w:fill="FFFFFF"/>
          </w:tcPr>
          <w:p>
            <w:r>
              <w:rPr>
                <w:sz w:val="18"/>
              </w:rPr>
              <w:t>MEMD/DGSM, MTIC</w:t>
            </w:r>
          </w:p>
        </w:tc>
        <w:tc>
          <w:tcPr>
            <w:tcW w:type="dxa" w:w="2351"/>
            <w:shd w:val="clear" w:color="auto" w:fill="FFFFFF"/>
          </w:tcPr>
          <w:p>
            <w:r>
              <w:rPr>
                <w:sz w:val="18"/>
              </w:rPr>
              <w:t>Low–Medium</w:t>
            </w:r>
          </w:p>
        </w:tc>
      </w:tr>
      <w:tr>
        <w:tc>
          <w:tcPr>
            <w:tcW w:type="dxa" w:w="2351"/>
            <w:shd w:val="clear" w:color="auto" w:fill="EEF3F9"/>
          </w:tcPr>
          <w:p>
            <w:r>
              <w:rPr>
                <w:b/>
                <w:sz w:val="18"/>
              </w:rPr>
              <w:t>Reform (1–3y)</w:t>
            </w:r>
          </w:p>
        </w:tc>
        <w:tc>
          <w:tcPr>
            <w:tcW w:type="dxa" w:w="2351"/>
            <w:shd w:val="clear" w:color="auto" w:fill="EEF3F9"/>
          </w:tcPr>
          <w:p>
            <w:r>
              <w:rPr>
                <w:sz w:val="18"/>
              </w:rPr>
              <w:t>Energy agreements for energy-intensive clinker plants; alternative-fuel/co-processing framework</w:t>
            </w:r>
          </w:p>
        </w:tc>
        <w:tc>
          <w:tcPr>
            <w:tcW w:type="dxa" w:w="2351"/>
            <w:shd w:val="clear" w:color="auto" w:fill="EEF3F9"/>
          </w:tcPr>
          <w:p>
            <w:r>
              <w:rPr>
                <w:sz w:val="18"/>
              </w:rPr>
              <w:t>ERA, MEMD, NEMA</w:t>
            </w:r>
          </w:p>
        </w:tc>
        <w:tc>
          <w:tcPr>
            <w:tcW w:type="dxa" w:w="2351"/>
            <w:shd w:val="clear" w:color="auto" w:fill="EEF3F9"/>
          </w:tcPr>
          <w:p>
            <w:r>
              <w:rPr>
                <w:sz w:val="18"/>
              </w:rPr>
              <w:t>Medium</w:t>
            </w:r>
          </w:p>
        </w:tc>
      </w:tr>
      <w:tr>
        <w:tc>
          <w:tcPr>
            <w:tcW w:type="dxa" w:w="2351"/>
            <w:shd w:val="clear" w:color="auto" w:fill="FFFFFF"/>
          </w:tcPr>
          <w:p>
            <w:r>
              <w:rPr>
                <w:sz w:val="18"/>
              </w:rPr>
              <w:t>Reform (1–3y)</w:t>
            </w:r>
          </w:p>
        </w:tc>
        <w:tc>
          <w:tcPr>
            <w:tcW w:type="dxa" w:w="2351"/>
            <w:shd w:val="clear" w:color="auto" w:fill="FFFFFF"/>
          </w:tcPr>
          <w:p>
            <w:r>
              <w:rPr>
                <w:sz w:val="18"/>
              </w:rPr>
              <w:t>Regional-export facilitation (standards mutual recognition, corridor logistics)</w:t>
            </w:r>
          </w:p>
        </w:tc>
        <w:tc>
          <w:tcPr>
            <w:tcW w:type="dxa" w:w="2351"/>
            <w:shd w:val="clear" w:color="auto" w:fill="FFFFFF"/>
          </w:tcPr>
          <w:p>
            <w:r>
              <w:rPr>
                <w:sz w:val="18"/>
              </w:rPr>
              <w:t>MTIC, EAC</w:t>
            </w:r>
          </w:p>
        </w:tc>
        <w:tc>
          <w:tcPr>
            <w:tcW w:type="dxa" w:w="2351"/>
            <w:shd w:val="clear" w:color="auto" w:fill="FFFFFF"/>
          </w:tcPr>
          <w:p>
            <w:r>
              <w:rPr>
                <w:sz w:val="18"/>
              </w:rPr>
              <w:t>Low–Medium</w:t>
            </w:r>
          </w:p>
        </w:tc>
      </w:tr>
      <w:tr>
        <w:tc>
          <w:tcPr>
            <w:tcW w:type="dxa" w:w="2351"/>
            <w:shd w:val="clear" w:color="auto" w:fill="EEF3F9"/>
          </w:tcPr>
          <w:p>
            <w:r>
              <w:rPr>
                <w:b/>
                <w:sz w:val="18"/>
              </w:rPr>
              <w:t>Investment (3–5y)</w:t>
            </w:r>
          </w:p>
        </w:tc>
        <w:tc>
          <w:tcPr>
            <w:tcW w:type="dxa" w:w="2351"/>
            <w:shd w:val="clear" w:color="auto" w:fill="EEF3F9"/>
          </w:tcPr>
          <w:p>
            <w:r>
              <w:rPr>
                <w:sz w:val="18"/>
              </w:rPr>
              <w:t>Clinker capacity build-out (NE plant, Buikwe, expansions)</w:t>
            </w:r>
          </w:p>
        </w:tc>
        <w:tc>
          <w:tcPr>
            <w:tcW w:type="dxa" w:w="2351"/>
            <w:shd w:val="clear" w:color="auto" w:fill="EEF3F9"/>
          </w:tcPr>
          <w:p>
            <w:r>
              <w:rPr>
                <w:sz w:val="18"/>
              </w:rPr>
              <w:t>Private-led</w:t>
            </w:r>
          </w:p>
        </w:tc>
        <w:tc>
          <w:tcPr>
            <w:tcW w:type="dxa" w:w="2351"/>
            <w:shd w:val="clear" w:color="auto" w:fill="EEF3F9"/>
          </w:tcPr>
          <w:p>
            <w:r>
              <w:rPr>
                <w:sz w:val="18"/>
              </w:rPr>
              <w:t>~USD 200–300m+ (announced)</w:t>
            </w:r>
          </w:p>
        </w:tc>
      </w:tr>
      <w:tr>
        <w:tc>
          <w:tcPr>
            <w:tcW w:type="dxa" w:w="2351"/>
            <w:shd w:val="clear" w:color="auto" w:fill="FFFFFF"/>
          </w:tcPr>
          <w:p>
            <w:r>
              <w:rPr>
                <w:sz w:val="18"/>
              </w:rPr>
              <w:t>Investment (3–5y)</w:t>
            </w:r>
          </w:p>
        </w:tc>
        <w:tc>
          <w:tcPr>
            <w:tcW w:type="dxa" w:w="2351"/>
            <w:shd w:val="clear" w:color="auto" w:fill="FFFFFF"/>
          </w:tcPr>
          <w:p>
            <w:r>
              <w:rPr>
                <w:sz w:val="18"/>
              </w:rPr>
              <w:t>Higher-value building-materials plants (fibre-cement, tiles, precast)</w:t>
            </w:r>
          </w:p>
        </w:tc>
        <w:tc>
          <w:tcPr>
            <w:tcW w:type="dxa" w:w="2351"/>
            <w:shd w:val="clear" w:color="auto" w:fill="FFFFFF"/>
          </w:tcPr>
          <w:p>
            <w:r>
              <w:rPr>
                <w:sz w:val="18"/>
              </w:rPr>
              <w:t>Private-led</w:t>
            </w:r>
          </w:p>
        </w:tc>
        <w:tc>
          <w:tcPr>
            <w:tcW w:type="dxa" w:w="2351"/>
            <w:shd w:val="clear" w:color="auto" w:fill="FFFFFF"/>
          </w:tcPr>
          <w:p>
            <w:r>
              <w:rPr>
                <w:sz w:val="18"/>
              </w:rPr>
              <w:t>Indicative (see Ch.11)</w:t>
            </w:r>
          </w:p>
        </w:tc>
      </w:tr>
    </w:tbl>
    <w:p/>
    <w:p>
      <w:pPr>
        <w:pStyle w:val="Heading2"/>
      </w:pPr>
      <w:r>
        <w:t>References</w:t>
      </w:r>
    </w:p>
    <w:p>
      <w:pPr>
        <w:pStyle w:val="ListBullet"/>
      </w:pPr>
      <w:r>
        <w:t xml:space="preserve">IndexBox, </w:t>
      </w:r>
      <w:r>
        <w:rPr>
          <w:i/>
        </w:rPr>
        <w:t>Uganda's Cement Market Report 2025</w:t>
      </w:r>
      <w:r>
        <w:t>. https://www.indexbox.io/store/uganda-cement-market-analysis-forecast-size-trends-and-insights/</w:t>
      </w:r>
    </w:p>
    <w:p>
      <w:pPr>
        <w:pStyle w:val="ListBullet"/>
      </w:pPr>
      <w:r>
        <w:t>CemNet / International Cement Review, Uganda country data. https://www.cemnet.com/global-cement-report/country/uganda</w:t>
      </w:r>
    </w:p>
    <w:p>
      <w:pPr>
        <w:pStyle w:val="ListBullet"/>
      </w:pPr>
      <w:r>
        <w:t>Ecofin Agency, "Uganda to Commission $300 Million Cement Plant to Cut Imports Amid Rising Demand." https://www.ecofinagency.com/news-industry/2104-54866-uganda-to-commission-300-million-cement-plant-to-cut-imports-amid-rising-demand</w:t>
      </w:r>
    </w:p>
    <w:p>
      <w:pPr>
        <w:pStyle w:val="ListBullet"/>
      </w:pPr>
      <w:r>
        <w:t>CemNet, "Uganda launching US$300m cement plant to boost industry." https://www.cemnet.com/News/story/181356/uganda-launching-us-300m-cement-plant-to-boost-industry.html</w:t>
      </w:r>
    </w:p>
    <w:p>
      <w:pPr>
        <w:pStyle w:val="ListBullet"/>
      </w:pPr>
      <w:r>
        <w:rPr>
          <w:i/>
        </w:rPr>
        <w:t>List of cement manufacturers in Uganda</w:t>
      </w:r>
      <w:r>
        <w:t xml:space="preserve"> (Wikipedia). https://en.wikipedia.org/wiki/List_of_cement_manufacturers_in_Uganda</w:t>
      </w:r>
    </w:p>
    <w:p>
      <w:pPr>
        <w:pStyle w:val="ListBullet"/>
      </w:pPr>
      <w:r>
        <w:t>Hima Cement, "About Us." https://himacement.co/About-Us</w:t>
      </w:r>
    </w:p>
    <w:p>
      <w:pPr>
        <w:pStyle w:val="ListBullet"/>
      </w:pPr>
      <w:r>
        <w:t>ITC TradeMap, trade statistics — HS 2523, Uganda, 2024. https://www.trademap.org</w:t>
      </w:r>
    </w:p>
    <w:p>
      <w:r>
        <w:br w:type="page"/>
      </w:r>
    </w:p>
    <w:p>
      <w:pPr>
        <w:pStyle w:val="Heading1"/>
      </w:pPr>
      <w:r>
        <w:t>Chapter 10: Cross-Cutting Priority Actions and Policy Recommendations</w:t>
      </w:r>
    </w:p>
    <w:p>
      <w:r>
        <w:rPr>
          <w:b/>
        </w:rPr>
        <w:t>Report:</w:t>
      </w:r>
      <w:r>
        <w:t xml:space="preserve"> Report 2 — Textiles &amp; Garments, Pharmaceuticals, Petrochemicals &amp; Fertilizers, Sugar &amp; Confectionery, Plastics &amp; Packaging, and Cement &amp; Building Materials Value Chains</w:t>
      </w:r>
    </w:p>
    <w:p>
      <w:r>
        <w:rPr>
          <w:b/>
        </w:rPr>
        <w:t>Status:</w:t>
      </w:r>
      <w:r>
        <w:t xml:space="preserve"> Draft for validation</w:t>
      </w:r>
    </w:p>
    <w:p>
      <w:pPr>
        <w:pStyle w:val="Heading2"/>
      </w:pPr>
      <w:r>
        <w:t>10.1 Introduction</w:t>
      </w:r>
    </w:p>
    <w:p>
      <w:r>
        <w:t xml:space="preserve">The six Report 2 value chains span agro-processing (textiles, sugar), health (pharmaceuticals), agricultural inputs and energy (fertilizers, petrochemicals), and construction-linked manufacturing (cement, plastics). Despite their diversity, they share a common set of binding constraints and a common strategic pattern: </w:t>
      </w:r>
      <w:r>
        <w:rPr>
          <w:b/>
        </w:rPr>
        <w:t>Uganda exports or under-processes raw inputs and imports the finished product.</w:t>
      </w:r>
      <w:r>
        <w:t xml:space="preserve"> This chapter consolidates the cross-cutting actions that lift all six, mapped to the six PCP priority areas.</w:t>
      </w:r>
    </w:p>
    <w:p>
      <w:pPr>
        <w:pStyle w:val="Heading2"/>
      </w:pPr>
      <w:r>
        <w:t>10.2 The Shared Binding Constraints</w:t>
      </w:r>
    </w:p>
    <w:p>
      <w:r>
        <w:rPr>
          <w:b/>
        </w:rPr>
        <w:t>1. Energy cost and reliability.</w:t>
      </w:r>
      <w:r>
        <w:t xml:space="preserve"> Cement (clinker), textiles (spinning/wet-processing), and any future petrochemical processing are energy-intensive. Uganda's industrial tariff (~5.5 US¢/kWh, 2025; ERA) is regionally competitive, but reliability and backup cost matter. Sugar co-generation is a partial in-sector solution that can ease grid pressure.</w:t>
      </w:r>
    </w:p>
    <w:p>
      <w:r>
        <w:rPr>
          <w:b/>
        </w:rPr>
        <w:t>2. Logistics and the landlocked penalty.</w:t>
      </w:r>
      <w:r>
        <w:t xml:space="preserve"> Logistics inefficiencies cost the economy ~USD 827 million/year and ~18–20% of the sale price of goods — affecting imported inputs (resin, APIs, clinker) and regional exports (sugar, cement, garments) alike.</w:t>
      </w:r>
    </w:p>
    <w:p>
      <w:r>
        <w:rPr>
          <w:b/>
        </w:rPr>
        <w:t>3. Access to long-term finance.</w:t>
      </w:r>
      <w:r>
        <w:t xml:space="preserve"> GMP pharmaceutical plants, spinning mills, clinker kilns, recycling plants, and the refinery are all highly capital-intensive. Long-term finance is scarce and costly, and </w:t>
      </w:r>
      <w:r>
        <w:rPr>
          <w:b/>
        </w:rPr>
        <w:t>2025 liquidity tightening has crowded out private credit</w:t>
      </w:r>
      <w:r>
        <w:t xml:space="preserve"> (KPMG, </w:t>
      </w:r>
      <w:r>
        <w:rPr>
          <w:i/>
        </w:rPr>
        <w:t>Budget Brief 2025/26</w:t>
      </w:r>
      <w:r>
        <w:t>).</w:t>
      </w:r>
    </w:p>
    <w:p>
      <w:r>
        <w:rPr>
          <w:b/>
        </w:rPr>
        <w:t>4. Skills.</w:t>
      </w:r>
      <w:r>
        <w:t xml:space="preserve"> ~68% of manufacturers report difficulty finding required technical skills (UMA). Textile engineering, pharmaceutical QA/QC, chemical/process engineering, and food technology are particularly scarce.</w:t>
      </w:r>
    </w:p>
    <w:p>
      <w:r>
        <w:rPr>
          <w:b/>
        </w:rPr>
        <w:t>5. Standards and quality.</w:t>
      </w:r>
      <w:r>
        <w:t xml:space="preserve"> UNBS standards (food, cement, packaging) and NDA/WHO-GMP (pharmaceuticals) are simultaneously the gatekeepers to markets and the means to displace sub-standard imports. Enforcement is uneven.</w:t>
      </w:r>
    </w:p>
    <w:p>
      <w:r>
        <w:rPr>
          <w:b/>
        </w:rPr>
        <w:t>6. Raw-material / feedstock dependence.</w:t>
      </w:r>
      <w:r>
        <w:t xml:space="preserve"> A recurring theme: imported APIs (pharma), imported resin (plastics), imported clinker (cement), under-processed lint (textiles), and unmet fertilizer supply. Securing or substituting feedstock is the structural key across the report.</w:t>
      </w:r>
    </w:p>
    <w:p>
      <w:pPr>
        <w:pStyle w:val="Heading2"/>
      </w:pPr>
      <w:r>
        <w:t>10.3 Cross-Cutting Priority Actions</w:t>
      </w:r>
    </w:p>
    <w:p>
      <w:pPr>
        <w:pStyle w:val="Heading3"/>
      </w:pPr>
      <w:r>
        <w:t>A. Move up the value chain from raw commodity to processed product</w:t>
      </w:r>
    </w:p>
    <w:p>
      <w:r>
        <w:t xml:space="preserve">The defining Report 2 opportunity. Process cotton lint domestically (textiles), produce clinker (cement), make industrial sugar and ethanol from surplus cane, and substitute finished medicines and packaging. Policy should consistently favour </w:t>
      </w:r>
      <w:r>
        <w:rPr>
          <w:b/>
        </w:rPr>
        <w:t>domestic value addition over raw-commodity export and finished-goods import.</w:t>
      </w:r>
    </w:p>
    <w:p>
      <w:pPr>
        <w:pStyle w:val="Heading3"/>
      </w:pPr>
      <w:r>
        <w:t>B. Standards and quality infrastructure</w:t>
      </w:r>
    </w:p>
    <w:p>
      <w:r>
        <w:t xml:space="preserve">Resource </w:t>
      </w:r>
      <w:r>
        <w:rPr>
          <w:b/>
        </w:rPr>
        <w:t>UNBS and NDA</w:t>
      </w:r>
      <w:r>
        <w:t xml:space="preserve"> to enforce standards on imported textiles, medicines, cement, packaging, and fertilizer — protecting consumers and levelling the field for compliant domestic producers. The single highest-leverage cross-cutting lever for Report 2 (PCP Area 4).</w:t>
      </w:r>
    </w:p>
    <w:p>
      <w:pPr>
        <w:pStyle w:val="Heading3"/>
      </w:pPr>
      <w:r>
        <w:t>C. Guaranteed demand through public procurement</w:t>
      </w:r>
    </w:p>
    <w:p>
      <w:r>
        <w:t xml:space="preserve">Use public procurement as a demand anchor: </w:t>
      </w:r>
      <w:r>
        <w:rPr>
          <w:b/>
        </w:rPr>
        <w:t>locally made essential medicines</w:t>
      </w:r>
      <w:r>
        <w:t xml:space="preserve"> (NMS/JMS), </w:t>
      </w:r>
      <w:r>
        <w:rPr>
          <w:b/>
        </w:rPr>
        <w:t>institutional uniforms</w:t>
      </w:r>
      <w:r>
        <w:t xml:space="preserve"> (garments), </w:t>
      </w:r>
      <w:r>
        <w:rPr>
          <w:b/>
        </w:rPr>
        <w:t>domestic cement</w:t>
      </w:r>
      <w:r>
        <w:t xml:space="preserve"> for public infrastructure, and </w:t>
      </w:r>
      <w:r>
        <w:rPr>
          <w:b/>
        </w:rPr>
        <w:t>fertilizer</w:t>
      </w:r>
      <w:r>
        <w:t xml:space="preserve"> programmes for agriculture.</w:t>
      </w:r>
    </w:p>
    <w:p>
      <w:pPr>
        <w:pStyle w:val="Heading3"/>
      </w:pPr>
      <w:r>
        <w:t>D. Industrial parks, utilities, and circularity</w:t>
      </w:r>
    </w:p>
    <w:p>
      <w:r>
        <w:t xml:space="preserve">Develop serviced parks with reliable power, water, and </w:t>
      </w:r>
      <w:r>
        <w:rPr>
          <w:b/>
        </w:rPr>
        <w:t>effluent treatment</w:t>
      </w:r>
      <w:r>
        <w:t xml:space="preserve"> (critical for textiles wet-processing and pharma), and build the </w:t>
      </w:r>
      <w:r>
        <w:rPr>
          <w:b/>
        </w:rPr>
        <w:t>circular-economy infrastructure</w:t>
      </w:r>
      <w:r>
        <w:t xml:space="preserve"> (plastics recycling, EPR, sugar co-generation, waste co-processing in cement) that the NEMA strategy envisages (PCP Areas 3 &amp; 5).</w:t>
      </w:r>
    </w:p>
    <w:p>
      <w:pPr>
        <w:pStyle w:val="Heading3"/>
      </w:pPr>
      <w:r>
        <w:t>E. Industrial-finance instrument</w:t>
      </w:r>
    </w:p>
    <w:p>
      <w:r>
        <w:t xml:space="preserve">Scale a </w:t>
      </w:r>
      <w:r>
        <w:rPr>
          <w:b/>
        </w:rPr>
        <w:t>long-term industrial-finance facility</w:t>
      </w:r>
      <w:r>
        <w:t xml:space="preserve"> (UDB + partners, blended/concessional) for the capital-intensive plants — GMP pharma, spinning, clinker, recycling — to offset the crowding-out of private credit.</w:t>
      </w:r>
    </w:p>
    <w:p>
      <w:pPr>
        <w:pStyle w:val="Heading3"/>
      </w:pPr>
      <w:r>
        <w:t>F. Skills compact</w:t>
      </w:r>
    </w:p>
    <w:p>
      <w:r>
        <w:t xml:space="preserve">A targeted skills programme spanning </w:t>
      </w:r>
      <w:r>
        <w:rPr>
          <w:b/>
        </w:rPr>
        <w:t>textile engineering, pharmaceutical QA/QC and regulatory affairs, chemical/process engineering, and food technology</w:t>
      </w:r>
      <w:r>
        <w:t>, delivered through Makerere, UIRI, and TVET in partnership with anchor firms.</w:t>
      </w:r>
    </w:p>
    <w:p>
      <w:pPr>
        <w:pStyle w:val="Heading3"/>
      </w:pPr>
      <w:r>
        <w:t>G. Sequence the petrochemical opportunity</w:t>
      </w:r>
    </w:p>
    <w:p>
      <w:r>
        <w:t xml:space="preserve">Treat the </w:t>
      </w:r>
      <w:r>
        <w:rPr>
          <w:b/>
        </w:rPr>
        <w:t>Kabaale refinery / Kabalega petrochemical park</w:t>
      </w:r>
      <w:r>
        <w:t xml:space="preserve"> as the medium-term feedstock anchor for plastics and fertilizers, and </w:t>
      </w:r>
      <w:r>
        <w:rPr>
          <w:b/>
        </w:rPr>
        <w:t>prepare the downstream linkages now</w:t>
      </w:r>
      <w:r>
        <w:t xml:space="preserve"> (recycling, blending, conversion) so that domestic resin and chemicals have ready demand when the refinery comes online (~2029–30).</w:t>
      </w:r>
    </w:p>
    <w:p>
      <w:pPr>
        <w:pStyle w:val="Heading2"/>
      </w:pPr>
      <w:r>
        <w:t>10.4 Alignment to PCP Priority Areas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PCP Priority Area</w:t>
            </w:r>
          </w:p>
        </w:tc>
        <w:tc>
          <w:tcPr>
            <w:tcW w:type="dxa" w:w="4703"/>
            <w:shd w:val="clear" w:color="auto" w:fill="002B5B"/>
          </w:tcPr>
          <w:p>
            <w:r>
              <w:rPr>
                <w:b/>
                <w:color w:val="FFFFFF"/>
                <w:sz w:val="18"/>
              </w:rPr>
              <w:t>Report 2 cross-cutting actions</w:t>
            </w:r>
          </w:p>
        </w:tc>
      </w:tr>
      <w:tr>
        <w:tc>
          <w:tcPr>
            <w:tcW w:type="dxa" w:w="4703"/>
            <w:shd w:val="clear" w:color="auto" w:fill="EEF3F9"/>
          </w:tcPr>
          <w:p>
            <w:r>
              <w:rPr>
                <w:sz w:val="18"/>
              </w:rPr>
              <w:t>1. Industrial policy implementation &amp; coordination</w:t>
            </w:r>
          </w:p>
        </w:tc>
        <w:tc>
          <w:tcPr>
            <w:tcW w:type="dxa" w:w="4703"/>
            <w:shd w:val="clear" w:color="auto" w:fill="EEF3F9"/>
          </w:tcPr>
          <w:p>
            <w:r>
              <w:rPr>
                <w:sz w:val="18"/>
              </w:rPr>
              <w:t>Value-addition policy (A); procurement (C); cross-agency coordination (MTIC–MAAIF–MoH–MEMD)</w:t>
            </w:r>
          </w:p>
        </w:tc>
      </w:tr>
      <w:tr>
        <w:tc>
          <w:tcPr>
            <w:tcW w:type="dxa" w:w="4703"/>
            <w:shd w:val="clear" w:color="auto" w:fill="FFFFFF"/>
          </w:tcPr>
          <w:p>
            <w:r>
              <w:rPr>
                <w:sz w:val="18"/>
              </w:rPr>
              <w:t>2. Mobilizing public &amp; private investment</w:t>
            </w:r>
          </w:p>
        </w:tc>
        <w:tc>
          <w:tcPr>
            <w:tcW w:type="dxa" w:w="4703"/>
            <w:shd w:val="clear" w:color="auto" w:fill="FFFFFF"/>
          </w:tcPr>
          <w:p>
            <w:r>
              <w:rPr>
                <w:sz w:val="18"/>
              </w:rPr>
              <w:t>Industrial-finance instrument (E); investment portfolio (Ch.11); refinery PPP</w:t>
            </w:r>
          </w:p>
        </w:tc>
      </w:tr>
      <w:tr>
        <w:tc>
          <w:tcPr>
            <w:tcW w:type="dxa" w:w="4703"/>
            <w:shd w:val="clear" w:color="auto" w:fill="EEF3F9"/>
          </w:tcPr>
          <w:p>
            <w:r>
              <w:rPr>
                <w:sz w:val="18"/>
              </w:rPr>
              <w:t>3. Sustainable industrial parks &amp; free zones</w:t>
            </w:r>
          </w:p>
        </w:tc>
        <w:tc>
          <w:tcPr>
            <w:tcW w:type="dxa" w:w="4703"/>
            <w:shd w:val="clear" w:color="auto" w:fill="EEF3F9"/>
          </w:tcPr>
          <w:p>
            <w:r>
              <w:rPr>
                <w:sz w:val="18"/>
              </w:rPr>
              <w:t>Parks, utilities, effluent infrastructure (D)</w:t>
            </w:r>
          </w:p>
        </w:tc>
      </w:tr>
      <w:tr>
        <w:tc>
          <w:tcPr>
            <w:tcW w:type="dxa" w:w="4703"/>
            <w:shd w:val="clear" w:color="auto" w:fill="FFFFFF"/>
          </w:tcPr>
          <w:p>
            <w:r>
              <w:rPr>
                <w:sz w:val="18"/>
              </w:rPr>
              <w:t>4. National standards, quality &amp; accreditation</w:t>
            </w:r>
          </w:p>
        </w:tc>
        <w:tc>
          <w:tcPr>
            <w:tcW w:type="dxa" w:w="4703"/>
            <w:shd w:val="clear" w:color="auto" w:fill="FFFFFF"/>
          </w:tcPr>
          <w:p>
            <w:r>
              <w:rPr>
                <w:sz w:val="18"/>
              </w:rPr>
              <w:t>UNBS/NDA enforcement (B) — highest-leverage for Report 2</w:t>
            </w:r>
          </w:p>
        </w:tc>
      </w:tr>
      <w:tr>
        <w:tc>
          <w:tcPr>
            <w:tcW w:type="dxa" w:w="4703"/>
            <w:shd w:val="clear" w:color="auto" w:fill="EEF3F9"/>
          </w:tcPr>
          <w:p>
            <w:r>
              <w:rPr>
                <w:sz w:val="18"/>
              </w:rPr>
              <w:t>5. Green industry, circular economy &amp; Industry 4.0</w:t>
            </w:r>
          </w:p>
        </w:tc>
        <w:tc>
          <w:tcPr>
            <w:tcW w:type="dxa" w:w="4703"/>
            <w:shd w:val="clear" w:color="auto" w:fill="EEF3F9"/>
          </w:tcPr>
          <w:p>
            <w:r>
              <w:rPr>
                <w:sz w:val="18"/>
              </w:rPr>
              <w:t>Plastics circularity, sugar co-generation, cement co-processing (D)</w:t>
            </w:r>
          </w:p>
        </w:tc>
      </w:tr>
      <w:tr>
        <w:tc>
          <w:tcPr>
            <w:tcW w:type="dxa" w:w="4703"/>
            <w:shd w:val="clear" w:color="auto" w:fill="FFFFFF"/>
          </w:tcPr>
          <w:p>
            <w:r>
              <w:rPr>
                <w:sz w:val="18"/>
              </w:rPr>
              <w:t>6. Productive renewable energy &amp; efficiency</w:t>
            </w:r>
          </w:p>
        </w:tc>
        <w:tc>
          <w:tcPr>
            <w:tcW w:type="dxa" w:w="4703"/>
            <w:shd w:val="clear" w:color="auto" w:fill="FFFFFF"/>
          </w:tcPr>
          <w:p>
            <w:r>
              <w:rPr>
                <w:sz w:val="18"/>
              </w:rPr>
              <w:t>Industrial power reliability; sugar bagasse co-generation (D)</w:t>
            </w:r>
          </w:p>
        </w:tc>
      </w:tr>
    </w:tbl>
    <w:p/>
    <w:p>
      <w:pPr>
        <w:pStyle w:val="Heading2"/>
      </w:pPr>
      <w:r>
        <w:t>10.5 Summary of Cross-Cutting Recommendations</w:t>
      </w:r>
    </w:p>
    <w:p>
      <w:pPr>
        <w:pStyle w:val="ListNumber"/>
      </w:pPr>
      <w:r>
        <w:rPr>
          <w:b/>
        </w:rPr>
        <w:t>Favour domestic value addition</w:t>
      </w:r>
      <w:r>
        <w:t xml:space="preserve"> over raw-commodity export / finished-goods import, consistently across policy.</w:t>
      </w:r>
    </w:p>
    <w:p>
      <w:pPr>
        <w:pStyle w:val="ListNumber"/>
      </w:pPr>
      <w:r>
        <w:rPr>
          <w:b/>
        </w:rPr>
        <w:t>Enforce UNBS and NDA standards</w:t>
      </w:r>
      <w:r>
        <w:t xml:space="preserve"> (highest-leverage quick win for Report 2).</w:t>
      </w:r>
    </w:p>
    <w:p>
      <w:pPr>
        <w:pStyle w:val="ListNumber"/>
      </w:pPr>
      <w:r>
        <w:rPr>
          <w:b/>
        </w:rPr>
        <w:t>Anchor demand through public procurement</w:t>
      </w:r>
      <w:r>
        <w:t xml:space="preserve"> (medicines, uniforms, cement, fertilizer).</w:t>
      </w:r>
    </w:p>
    <w:p>
      <w:pPr>
        <w:pStyle w:val="ListNumber"/>
      </w:pPr>
      <w:r>
        <w:rPr>
          <w:b/>
        </w:rPr>
        <w:t>Build parks, utilities, effluent, and circular-economy infrastructure.</w:t>
      </w:r>
    </w:p>
    <w:p>
      <w:pPr>
        <w:pStyle w:val="ListNumber"/>
      </w:pPr>
      <w:r>
        <w:rPr>
          <w:b/>
        </w:rPr>
        <w:t>Create a long-term industrial-finance facility.</w:t>
      </w:r>
    </w:p>
    <w:p>
      <w:pPr>
        <w:pStyle w:val="ListNumber"/>
      </w:pPr>
      <w:r>
        <w:rPr>
          <w:b/>
        </w:rPr>
        <w:t>Launch a cross-sector skills compact.</w:t>
      </w:r>
    </w:p>
    <w:p>
      <w:pPr>
        <w:pStyle w:val="ListNumber"/>
      </w:pPr>
      <w:r>
        <w:rPr>
          <w:b/>
        </w:rPr>
        <w:t>Sequence the petrochemical park</w:t>
      </w:r>
      <w:r>
        <w:t xml:space="preserve"> and prepare its downstream linkages now.</w:t>
      </w:r>
    </w:p>
    <w:p>
      <w:r>
        <w:t>Together these convert Uganda's agricultural base, established sugar/cement industries, proven pharmaceutical capability, and emerging oil sector into a value-adding, import-substituting industrial system.</w:t>
      </w:r>
    </w:p>
    <w:p>
      <w:pPr>
        <w:pStyle w:val="Heading2"/>
      </w:pPr>
      <w:r>
        <w:t>References</w:t>
      </w:r>
    </w:p>
    <w:p>
      <w:pPr>
        <w:pStyle w:val="ListBullet"/>
      </w:pPr>
      <w:r>
        <w:t>Electricity Regulatory Authority, tariffs 2025. https://www.era.go.ug/</w:t>
      </w:r>
    </w:p>
    <w:p>
      <w:pPr>
        <w:pStyle w:val="ListBullet"/>
      </w:pPr>
      <w:r>
        <w:t xml:space="preserve">KPMG, </w:t>
      </w:r>
      <w:r>
        <w:rPr>
          <w:i/>
        </w:rPr>
        <w:t>Uganda Budget Brief 2025/26</w:t>
      </w:r>
      <w:r>
        <w:t>. https://assets.kpmg.com/</w:t>
      </w:r>
    </w:p>
    <w:p>
      <w:pPr>
        <w:pStyle w:val="ListBullet"/>
      </w:pPr>
      <w:r>
        <w:t>Uganda Manufacturers Association; UNIDO — skills evidence. https://uma.or.ug/ ; https://www.unido.org/</w:t>
      </w:r>
    </w:p>
    <w:p>
      <w:pPr>
        <w:pStyle w:val="ListBullet"/>
      </w:pPr>
      <w:r>
        <w:t xml:space="preserve">NEMA, </w:t>
      </w:r>
      <w:r>
        <w:rPr>
          <w:i/>
        </w:rPr>
        <w:t>Plastics Circularity Strategy 2023–2028</w:t>
      </w:r>
      <w:r>
        <w:t xml:space="preserve">; </w:t>
      </w:r>
      <w:r>
        <w:rPr>
          <w:i/>
        </w:rPr>
        <w:t>Effluent Discharge Regulations 2020</w:t>
      </w:r>
      <w:r>
        <w:t>. https://www.nema.go.ug/</w:t>
      </w:r>
    </w:p>
    <w:p>
      <w:pPr>
        <w:pStyle w:val="ListBullet"/>
      </w:pPr>
      <w:r>
        <w:t>National Drug Authority. https://www.nda.or.ug/</w:t>
      </w:r>
    </w:p>
    <w:p>
      <w:pPr>
        <w:pStyle w:val="ListBullet"/>
      </w:pPr>
      <w:r>
        <w:t xml:space="preserve">UNIDO, </w:t>
      </w:r>
      <w:r>
        <w:rPr>
          <w:i/>
        </w:rPr>
        <w:t>Programme for Country Partnership</w:t>
      </w:r>
      <w:r>
        <w:t>. https://www.unido.org/programme-country-partnership</w:t>
      </w:r>
    </w:p>
    <w:p>
      <w:pPr>
        <w:pStyle w:val="ListBullet"/>
      </w:pPr>
      <w:r>
        <w:t>ITC TradeMap. https://www.trademap.org</w:t>
      </w:r>
    </w:p>
    <w:p>
      <w:r>
        <w:br w:type="page"/>
      </w:r>
    </w:p>
    <w:p>
      <w:pPr>
        <w:pStyle w:val="Heading1"/>
      </w:pPr>
      <w:r>
        <w:t>Chapter 11: Investment Portfolio and Implementation Roadmap</w:t>
      </w:r>
    </w:p>
    <w:p>
      <w:r>
        <w:rPr>
          <w:b/>
        </w:rPr>
        <w:t>Report:</w:t>
      </w:r>
      <w:r>
        <w:t xml:space="preserve"> Report 2 — Textiles &amp; Garments, Pharmaceuticals, Petrochemicals &amp; Fertilizers, Sugar &amp; Confectionery, Plastics &amp; Packaging, and Cement &amp; Building Materials Value Chains</w:t>
      </w:r>
    </w:p>
    <w:p>
      <w:r>
        <w:rPr>
          <w:b/>
        </w:rPr>
        <w:t>Status:</w:t>
      </w:r>
      <w:r>
        <w:t xml:space="preserve"> Draft for validation</w:t>
      </w:r>
    </w:p>
    <w:p>
      <w:pPr>
        <w:pStyle w:val="IntenseQuote"/>
      </w:pPr>
      <w:r>
        <w:rPr>
          <w:b/>
        </w:rPr>
        <w:t>Important note on figures.</w:t>
      </w:r>
      <w:r>
        <w:t xml:space="preserve"> All CAPEX/OPEX figures in this chapter are </w:t>
      </w:r>
      <w:r>
        <w:rPr>
          <w:b/>
        </w:rPr>
        <w:t>indicative planning estimates</w:t>
      </w:r>
      <w:r>
        <w:t xml:space="preserve">, drawn from comparable projects, announced investments, and order-of-magnitude benchmarks — </w:t>
      </w:r>
      <w:r>
        <w:rPr>
          <w:b/>
        </w:rPr>
        <w:t>not appraised project costs</w:t>
      </w:r>
      <w:r>
        <w:t>. They must be confirmed through full feasibility studies before any investment decision. Where a figure derives from an announced project, the source is cited.</w:t>
      </w:r>
    </w:p>
    <w:p>
      <w:pPr>
        <w:pStyle w:val="Heading2"/>
      </w:pPr>
      <w:r>
        <w:t>11.1 Purpose</w:t>
      </w:r>
    </w:p>
    <w:p>
      <w:r>
        <w:t xml:space="preserve">This chapter consolidates the prioritized products from Chapters 4–9 into an investment portfolio and phased roadmap for the six Report 2 chains. Project profiles cover the </w:t>
      </w:r>
      <w:r>
        <w:rPr>
          <w:b/>
        </w:rPr>
        <w:t>priority products only</w:t>
      </w:r>
      <w:r>
        <w:t>.</w:t>
      </w:r>
    </w:p>
    <w:p>
      <w:pPr>
        <w:pStyle w:val="Heading2"/>
      </w:pPr>
      <w:r>
        <w:t>11.2 Investment Portfolio Overview</w:t>
      </w:r>
    </w:p>
    <w:tbl>
      <w:tblPr>
        <w:tblStyle w:val="TableGrid"/>
        <w:tblW w:type="auto" w:w="0"/>
        <w:jc w:val="left"/>
        <w:tblLook w:firstColumn="1" w:firstRow="1" w:lastColumn="0" w:lastRow="0" w:noHBand="0" w:noVBand="1" w:val="04A0"/>
      </w:tblPr>
      <w:tblGrid>
        <w:gridCol w:w="1568"/>
        <w:gridCol w:w="1568"/>
        <w:gridCol w:w="1568"/>
        <w:gridCol w:w="1568"/>
        <w:gridCol w:w="1568"/>
        <w:gridCol w:w="1568"/>
      </w:tblGrid>
      <w:tr>
        <w:tc>
          <w:tcPr>
            <w:tcW w:type="dxa" w:w="1568"/>
            <w:shd w:val="clear" w:color="auto" w:fill="002B5B"/>
          </w:tcPr>
          <w:p>
            <w:r>
              <w:rPr>
                <w:b/>
                <w:color w:val="FFFFFF"/>
                <w:sz w:val="18"/>
              </w:rPr>
              <w:t>#</w:t>
            </w:r>
          </w:p>
        </w:tc>
        <w:tc>
          <w:tcPr>
            <w:tcW w:type="dxa" w:w="1568"/>
            <w:shd w:val="clear" w:color="auto" w:fill="002B5B"/>
          </w:tcPr>
          <w:p>
            <w:r>
              <w:rPr>
                <w:b/>
                <w:color w:val="FFFFFF"/>
                <w:sz w:val="18"/>
              </w:rPr>
              <w:t>Investment</w:t>
            </w:r>
          </w:p>
        </w:tc>
        <w:tc>
          <w:tcPr>
            <w:tcW w:type="dxa" w:w="1568"/>
            <w:shd w:val="clear" w:color="auto" w:fill="002B5B"/>
          </w:tcPr>
          <w:p>
            <w:r>
              <w:rPr>
                <w:b/>
                <w:color w:val="FFFFFF"/>
                <w:sz w:val="18"/>
              </w:rPr>
              <w:t>Chain</w:t>
            </w:r>
          </w:p>
        </w:tc>
        <w:tc>
          <w:tcPr>
            <w:tcW w:type="dxa" w:w="1568"/>
            <w:shd w:val="clear" w:color="auto" w:fill="002B5B"/>
          </w:tcPr>
          <w:p>
            <w:r>
              <w:rPr>
                <w:b/>
                <w:color w:val="FFFFFF"/>
                <w:sz w:val="18"/>
              </w:rPr>
              <w:t>Modality</w:t>
            </w:r>
          </w:p>
        </w:tc>
        <w:tc>
          <w:tcPr>
            <w:tcW w:type="dxa" w:w="1568"/>
            <w:shd w:val="clear" w:color="auto" w:fill="002B5B"/>
          </w:tcPr>
          <w:p>
            <w:r>
              <w:rPr>
                <w:b/>
                <w:color w:val="FFFFFF"/>
                <w:sz w:val="18"/>
              </w:rPr>
              <w:t>Indicative CAPEX</w:t>
            </w:r>
          </w:p>
        </w:tc>
        <w:tc>
          <w:tcPr>
            <w:tcW w:type="dxa" w:w="1568"/>
            <w:shd w:val="clear" w:color="auto" w:fill="002B5B"/>
          </w:tcPr>
          <w:p>
            <w:r>
              <w:rPr>
                <w:b/>
                <w:color w:val="FFFFFF"/>
                <w:sz w:val="18"/>
              </w:rPr>
              <w:t>Status / anchor</w:t>
            </w:r>
          </w:p>
        </w:tc>
      </w:tr>
      <w:tr>
        <w:tc>
          <w:tcPr>
            <w:tcW w:type="dxa" w:w="1568"/>
            <w:shd w:val="clear" w:color="auto" w:fill="EEF3F9"/>
          </w:tcPr>
          <w:p>
            <w:r>
              <w:rPr>
                <w:sz w:val="18"/>
              </w:rPr>
              <w:t>1</w:t>
            </w:r>
          </w:p>
        </w:tc>
        <w:tc>
          <w:tcPr>
            <w:tcW w:type="dxa" w:w="1568"/>
            <w:shd w:val="clear" w:color="auto" w:fill="EEF3F9"/>
          </w:tcPr>
          <w:p>
            <w:r>
              <w:rPr>
                <w:sz w:val="18"/>
              </w:rPr>
              <w:t>Spinning/weaving + garment capacity</w:t>
            </w:r>
          </w:p>
        </w:tc>
        <w:tc>
          <w:tcPr>
            <w:tcW w:type="dxa" w:w="1568"/>
            <w:shd w:val="clear" w:color="auto" w:fill="EEF3F9"/>
          </w:tcPr>
          <w:p>
            <w:r>
              <w:rPr>
                <w:sz w:val="18"/>
              </w:rPr>
              <w:t>Textiles</w:t>
            </w:r>
          </w:p>
        </w:tc>
        <w:tc>
          <w:tcPr>
            <w:tcW w:type="dxa" w:w="1568"/>
            <w:shd w:val="clear" w:color="auto" w:fill="EEF3F9"/>
          </w:tcPr>
          <w:p>
            <w:r>
              <w:rPr>
                <w:sz w:val="18"/>
              </w:rPr>
              <w:t>Private-led + PPP</w:t>
            </w:r>
          </w:p>
        </w:tc>
        <w:tc>
          <w:tcPr>
            <w:tcW w:type="dxa" w:w="1568"/>
            <w:shd w:val="clear" w:color="auto" w:fill="EEF3F9"/>
          </w:tcPr>
          <w:p>
            <w:r>
              <w:rPr>
                <w:sz w:val="18"/>
              </w:rPr>
              <w:t>~USD 100–250m</w:t>
            </w:r>
          </w:p>
        </w:tc>
        <w:tc>
          <w:tcPr>
            <w:tcW w:type="dxa" w:w="1568"/>
            <w:shd w:val="clear" w:color="auto" w:fill="EEF3F9"/>
          </w:tcPr>
          <w:p>
            <w:r>
              <w:rPr>
                <w:sz w:val="18"/>
              </w:rPr>
              <w:t>Nytil, Fine Spinners, Lira</w:t>
            </w:r>
          </w:p>
        </w:tc>
      </w:tr>
      <w:tr>
        <w:tc>
          <w:tcPr>
            <w:tcW w:type="dxa" w:w="1568"/>
            <w:shd w:val="clear" w:color="auto" w:fill="FFFFFF"/>
          </w:tcPr>
          <w:p>
            <w:r>
              <w:rPr>
                <w:sz w:val="18"/>
              </w:rPr>
              <w:t>2</w:t>
            </w:r>
          </w:p>
        </w:tc>
        <w:tc>
          <w:tcPr>
            <w:tcW w:type="dxa" w:w="1568"/>
            <w:shd w:val="clear" w:color="auto" w:fill="FFFFFF"/>
          </w:tcPr>
          <w:p>
            <w:r>
              <w:rPr>
                <w:sz w:val="18"/>
              </w:rPr>
              <w:t>GMP essential-generics expansion</w:t>
            </w:r>
          </w:p>
        </w:tc>
        <w:tc>
          <w:tcPr>
            <w:tcW w:type="dxa" w:w="1568"/>
            <w:shd w:val="clear" w:color="auto" w:fill="FFFFFF"/>
          </w:tcPr>
          <w:p>
            <w:r>
              <w:rPr>
                <w:sz w:val="18"/>
              </w:rPr>
              <w:t>Pharmaceuticals</w:t>
            </w:r>
          </w:p>
        </w:tc>
        <w:tc>
          <w:tcPr>
            <w:tcW w:type="dxa" w:w="1568"/>
            <w:shd w:val="clear" w:color="auto" w:fill="FFFFFF"/>
          </w:tcPr>
          <w:p>
            <w:r>
              <w:rPr>
                <w:sz w:val="18"/>
              </w:rPr>
              <w:t>Private-led + PPP</w:t>
            </w:r>
          </w:p>
        </w:tc>
        <w:tc>
          <w:tcPr>
            <w:tcW w:type="dxa" w:w="1568"/>
            <w:shd w:val="clear" w:color="auto" w:fill="FFFFFF"/>
          </w:tcPr>
          <w:p>
            <w:r>
              <w:rPr>
                <w:sz w:val="18"/>
              </w:rPr>
              <w:t>~USD 50–150m</w:t>
            </w:r>
          </w:p>
        </w:tc>
        <w:tc>
          <w:tcPr>
            <w:tcW w:type="dxa" w:w="1568"/>
            <w:shd w:val="clear" w:color="auto" w:fill="FFFFFF"/>
          </w:tcPr>
          <w:p>
            <w:r>
              <w:rPr>
                <w:sz w:val="18"/>
              </w:rPr>
              <w:t>QCIL and others</w:t>
            </w:r>
          </w:p>
        </w:tc>
      </w:tr>
      <w:tr>
        <w:tc>
          <w:tcPr>
            <w:tcW w:type="dxa" w:w="1568"/>
            <w:shd w:val="clear" w:color="auto" w:fill="EEF3F9"/>
          </w:tcPr>
          <w:p>
            <w:r>
              <w:rPr>
                <w:sz w:val="18"/>
              </w:rPr>
              <w:t>3</w:t>
            </w:r>
          </w:p>
        </w:tc>
        <w:tc>
          <w:tcPr>
            <w:tcW w:type="dxa" w:w="1568"/>
            <w:shd w:val="clear" w:color="auto" w:fill="EEF3F9"/>
          </w:tcPr>
          <w:p>
            <w:r>
              <w:rPr>
                <w:sz w:val="18"/>
              </w:rPr>
              <w:t>Fertilizer revival/blending</w:t>
            </w:r>
          </w:p>
        </w:tc>
        <w:tc>
          <w:tcPr>
            <w:tcW w:type="dxa" w:w="1568"/>
            <w:shd w:val="clear" w:color="auto" w:fill="EEF3F9"/>
          </w:tcPr>
          <w:p>
            <w:r>
              <w:rPr>
                <w:sz w:val="18"/>
              </w:rPr>
              <w:t>Petrochem/Fert</w:t>
            </w:r>
          </w:p>
        </w:tc>
        <w:tc>
          <w:tcPr>
            <w:tcW w:type="dxa" w:w="1568"/>
            <w:shd w:val="clear" w:color="auto" w:fill="EEF3F9"/>
          </w:tcPr>
          <w:p>
            <w:r>
              <w:rPr>
                <w:sz w:val="18"/>
              </w:rPr>
              <w:t>PPP / private</w:t>
            </w:r>
          </w:p>
        </w:tc>
        <w:tc>
          <w:tcPr>
            <w:tcW w:type="dxa" w:w="1568"/>
            <w:shd w:val="clear" w:color="auto" w:fill="EEF3F9"/>
          </w:tcPr>
          <w:p>
            <w:r>
              <w:rPr>
                <w:sz w:val="18"/>
              </w:rPr>
              <w:t>~USD 100–300m</w:t>
            </w:r>
          </w:p>
        </w:tc>
        <w:tc>
          <w:tcPr>
            <w:tcW w:type="dxa" w:w="1568"/>
            <w:shd w:val="clear" w:color="auto" w:fill="EEF3F9"/>
          </w:tcPr>
          <w:p>
            <w:r>
              <w:rPr>
                <w:sz w:val="18"/>
              </w:rPr>
              <w:t>Sukulu resolution + blending</w:t>
            </w:r>
          </w:p>
        </w:tc>
      </w:tr>
      <w:tr>
        <w:tc>
          <w:tcPr>
            <w:tcW w:type="dxa" w:w="1568"/>
            <w:shd w:val="clear" w:color="auto" w:fill="FFFFFF"/>
          </w:tcPr>
          <w:p>
            <w:r>
              <w:rPr>
                <w:sz w:val="18"/>
              </w:rPr>
              <w:t>4</w:t>
            </w:r>
          </w:p>
        </w:tc>
        <w:tc>
          <w:tcPr>
            <w:tcW w:type="dxa" w:w="1568"/>
            <w:shd w:val="clear" w:color="auto" w:fill="FFFFFF"/>
          </w:tcPr>
          <w:p>
            <w:r>
              <w:rPr>
                <w:sz w:val="18"/>
              </w:rPr>
              <w:t>Refinery &amp; petrochemical park</w:t>
            </w:r>
          </w:p>
        </w:tc>
        <w:tc>
          <w:tcPr>
            <w:tcW w:type="dxa" w:w="1568"/>
            <w:shd w:val="clear" w:color="auto" w:fill="FFFFFF"/>
          </w:tcPr>
          <w:p>
            <w:r>
              <w:rPr>
                <w:sz w:val="18"/>
              </w:rPr>
              <w:t>Petrochem/Fert</w:t>
            </w:r>
          </w:p>
        </w:tc>
        <w:tc>
          <w:tcPr>
            <w:tcW w:type="dxa" w:w="1568"/>
            <w:shd w:val="clear" w:color="auto" w:fill="FFFFFF"/>
          </w:tcPr>
          <w:p>
            <w:r>
              <w:rPr>
                <w:sz w:val="18"/>
              </w:rPr>
              <w:t>Investor + UNOC (PPP)</w:t>
            </w:r>
          </w:p>
        </w:tc>
        <w:tc>
          <w:tcPr>
            <w:tcW w:type="dxa" w:w="1568"/>
            <w:shd w:val="clear" w:color="auto" w:fill="FFFFFF"/>
          </w:tcPr>
          <w:p>
            <w:r>
              <w:rPr>
                <w:sz w:val="18"/>
              </w:rPr>
              <w:t>~USD 4bn (announced)</w:t>
            </w:r>
          </w:p>
        </w:tc>
        <w:tc>
          <w:tcPr>
            <w:tcW w:type="dxa" w:w="1568"/>
            <w:shd w:val="clear" w:color="auto" w:fill="FFFFFF"/>
          </w:tcPr>
          <w:p>
            <w:r>
              <w:rPr>
                <w:sz w:val="18"/>
              </w:rPr>
              <w:t>Alpha MBM agreement, Mar 2025</w:t>
            </w:r>
          </w:p>
        </w:tc>
      </w:tr>
      <w:tr>
        <w:tc>
          <w:tcPr>
            <w:tcW w:type="dxa" w:w="1568"/>
            <w:shd w:val="clear" w:color="auto" w:fill="EEF3F9"/>
          </w:tcPr>
          <w:p>
            <w:r>
              <w:rPr>
                <w:sz w:val="18"/>
              </w:rPr>
              <w:t>5</w:t>
            </w:r>
          </w:p>
        </w:tc>
        <w:tc>
          <w:tcPr>
            <w:tcW w:type="dxa" w:w="1568"/>
            <w:shd w:val="clear" w:color="auto" w:fill="EEF3F9"/>
          </w:tcPr>
          <w:p>
            <w:r>
              <w:rPr>
                <w:sz w:val="18"/>
              </w:rPr>
              <w:t>Industrial sugar + ethanol + co-gen</w:t>
            </w:r>
          </w:p>
        </w:tc>
        <w:tc>
          <w:tcPr>
            <w:tcW w:type="dxa" w:w="1568"/>
            <w:shd w:val="clear" w:color="auto" w:fill="EEF3F9"/>
          </w:tcPr>
          <w:p>
            <w:r>
              <w:rPr>
                <w:sz w:val="18"/>
              </w:rPr>
              <w:t>Sugar</w:t>
            </w:r>
          </w:p>
        </w:tc>
        <w:tc>
          <w:tcPr>
            <w:tcW w:type="dxa" w:w="1568"/>
            <w:shd w:val="clear" w:color="auto" w:fill="EEF3F9"/>
          </w:tcPr>
          <w:p>
            <w:r>
              <w:rPr>
                <w:sz w:val="18"/>
              </w:rPr>
              <w:t>Private-led</w:t>
            </w:r>
          </w:p>
        </w:tc>
        <w:tc>
          <w:tcPr>
            <w:tcW w:type="dxa" w:w="1568"/>
            <w:shd w:val="clear" w:color="auto" w:fill="EEF3F9"/>
          </w:tcPr>
          <w:p>
            <w:r>
              <w:rPr>
                <w:sz w:val="18"/>
              </w:rPr>
              <w:t>~USD 50–150m</w:t>
            </w:r>
          </w:p>
        </w:tc>
        <w:tc>
          <w:tcPr>
            <w:tcW w:type="dxa" w:w="1568"/>
            <w:shd w:val="clear" w:color="auto" w:fill="EEF3F9"/>
          </w:tcPr>
          <w:p>
            <w:r>
              <w:rPr>
                <w:sz w:val="18"/>
              </w:rPr>
              <w:t>Kakira, Kinyara, others</w:t>
            </w:r>
          </w:p>
        </w:tc>
      </w:tr>
      <w:tr>
        <w:tc>
          <w:tcPr>
            <w:tcW w:type="dxa" w:w="1568"/>
            <w:shd w:val="clear" w:color="auto" w:fill="FFFFFF"/>
          </w:tcPr>
          <w:p>
            <w:r>
              <w:rPr>
                <w:sz w:val="18"/>
              </w:rPr>
              <w:t>6</w:t>
            </w:r>
          </w:p>
        </w:tc>
        <w:tc>
          <w:tcPr>
            <w:tcW w:type="dxa" w:w="1568"/>
            <w:shd w:val="clear" w:color="auto" w:fill="FFFFFF"/>
          </w:tcPr>
          <w:p>
            <w:r>
              <w:rPr>
                <w:sz w:val="18"/>
              </w:rPr>
              <w:t>Plastics recycling + packaging</w:t>
            </w:r>
          </w:p>
        </w:tc>
        <w:tc>
          <w:tcPr>
            <w:tcW w:type="dxa" w:w="1568"/>
            <w:shd w:val="clear" w:color="auto" w:fill="FFFFFF"/>
          </w:tcPr>
          <w:p>
            <w:r>
              <w:rPr>
                <w:sz w:val="18"/>
              </w:rPr>
              <w:t>Plastics</w:t>
            </w:r>
          </w:p>
        </w:tc>
        <w:tc>
          <w:tcPr>
            <w:tcW w:type="dxa" w:w="1568"/>
            <w:shd w:val="clear" w:color="auto" w:fill="FFFFFF"/>
          </w:tcPr>
          <w:p>
            <w:r>
              <w:rPr>
                <w:sz w:val="18"/>
              </w:rPr>
              <w:t>Private-led</w:t>
            </w:r>
          </w:p>
        </w:tc>
        <w:tc>
          <w:tcPr>
            <w:tcW w:type="dxa" w:w="1568"/>
            <w:shd w:val="clear" w:color="auto" w:fill="FFFFFF"/>
          </w:tcPr>
          <w:p>
            <w:r>
              <w:rPr>
                <w:sz w:val="18"/>
              </w:rPr>
              <w:t>~USD 30–80m</w:t>
            </w:r>
          </w:p>
        </w:tc>
        <w:tc>
          <w:tcPr>
            <w:tcW w:type="dxa" w:w="1568"/>
            <w:shd w:val="clear" w:color="auto" w:fill="FFFFFF"/>
          </w:tcPr>
          <w:p>
            <w:r>
              <w:rPr>
                <w:sz w:val="18"/>
              </w:rPr>
              <w:t>Existing converters + recyclers</w:t>
            </w:r>
          </w:p>
        </w:tc>
      </w:tr>
      <w:tr>
        <w:tc>
          <w:tcPr>
            <w:tcW w:type="dxa" w:w="1568"/>
            <w:shd w:val="clear" w:color="auto" w:fill="EEF3F9"/>
          </w:tcPr>
          <w:p>
            <w:r>
              <w:rPr>
                <w:sz w:val="18"/>
              </w:rPr>
              <w:t>7</w:t>
            </w:r>
          </w:p>
        </w:tc>
        <w:tc>
          <w:tcPr>
            <w:tcW w:type="dxa" w:w="1568"/>
            <w:shd w:val="clear" w:color="auto" w:fill="EEF3F9"/>
          </w:tcPr>
          <w:p>
            <w:r>
              <w:rPr>
                <w:sz w:val="18"/>
              </w:rPr>
              <w:t>Clinker capacity build-out</w:t>
            </w:r>
          </w:p>
        </w:tc>
        <w:tc>
          <w:tcPr>
            <w:tcW w:type="dxa" w:w="1568"/>
            <w:shd w:val="clear" w:color="auto" w:fill="EEF3F9"/>
          </w:tcPr>
          <w:p>
            <w:r>
              <w:rPr>
                <w:sz w:val="18"/>
              </w:rPr>
              <w:t>Cement</w:t>
            </w:r>
          </w:p>
        </w:tc>
        <w:tc>
          <w:tcPr>
            <w:tcW w:type="dxa" w:w="1568"/>
            <w:shd w:val="clear" w:color="auto" w:fill="EEF3F9"/>
          </w:tcPr>
          <w:p>
            <w:r>
              <w:rPr>
                <w:sz w:val="18"/>
              </w:rPr>
              <w:t>Private-led</w:t>
            </w:r>
          </w:p>
        </w:tc>
        <w:tc>
          <w:tcPr>
            <w:tcW w:type="dxa" w:w="1568"/>
            <w:shd w:val="clear" w:color="auto" w:fill="EEF3F9"/>
          </w:tcPr>
          <w:p>
            <w:r>
              <w:rPr>
                <w:sz w:val="18"/>
              </w:rPr>
              <w:t>~USD 200–300m+</w:t>
            </w:r>
          </w:p>
        </w:tc>
        <w:tc>
          <w:tcPr>
            <w:tcW w:type="dxa" w:w="1568"/>
            <w:shd w:val="clear" w:color="auto" w:fill="EEF3F9"/>
          </w:tcPr>
          <w:p>
            <w:r>
              <w:rPr>
                <w:sz w:val="18"/>
              </w:rPr>
              <w:t>NE plant, Buikwe (announced)</w:t>
            </w:r>
          </w:p>
        </w:tc>
      </w:tr>
      <w:tr>
        <w:tc>
          <w:tcPr>
            <w:tcW w:type="dxa" w:w="1568"/>
            <w:shd w:val="clear" w:color="auto" w:fill="FFFFFF"/>
          </w:tcPr>
          <w:p>
            <w:r>
              <w:rPr>
                <w:sz w:val="18"/>
              </w:rPr>
              <w:t>8</w:t>
            </w:r>
          </w:p>
        </w:tc>
        <w:tc>
          <w:tcPr>
            <w:tcW w:type="dxa" w:w="1568"/>
            <w:shd w:val="clear" w:color="auto" w:fill="FFFFFF"/>
          </w:tcPr>
          <w:p>
            <w:r>
              <w:rPr>
                <w:sz w:val="18"/>
              </w:rPr>
              <w:t>Higher-value building materials</w:t>
            </w:r>
          </w:p>
        </w:tc>
        <w:tc>
          <w:tcPr>
            <w:tcW w:type="dxa" w:w="1568"/>
            <w:shd w:val="clear" w:color="auto" w:fill="FFFFFF"/>
          </w:tcPr>
          <w:p>
            <w:r>
              <w:rPr>
                <w:sz w:val="18"/>
              </w:rPr>
              <w:t>Cement</w:t>
            </w:r>
          </w:p>
        </w:tc>
        <w:tc>
          <w:tcPr>
            <w:tcW w:type="dxa" w:w="1568"/>
            <w:shd w:val="clear" w:color="auto" w:fill="FFFFFF"/>
          </w:tcPr>
          <w:p>
            <w:r>
              <w:rPr>
                <w:sz w:val="18"/>
              </w:rPr>
              <w:t>Private-led</w:t>
            </w:r>
          </w:p>
        </w:tc>
        <w:tc>
          <w:tcPr>
            <w:tcW w:type="dxa" w:w="1568"/>
            <w:shd w:val="clear" w:color="auto" w:fill="FFFFFF"/>
          </w:tcPr>
          <w:p>
            <w:r>
              <w:rPr>
                <w:sz w:val="18"/>
              </w:rPr>
              <w:t>~USD 20–60m</w:t>
            </w:r>
          </w:p>
        </w:tc>
        <w:tc>
          <w:tcPr>
            <w:tcW w:type="dxa" w:w="1568"/>
            <w:shd w:val="clear" w:color="auto" w:fill="FFFFFF"/>
          </w:tcPr>
          <w:p>
            <w:r>
              <w:rPr>
                <w:sz w:val="18"/>
              </w:rPr>
              <w:t>Fibre-cement, tiles, precast</w:t>
            </w:r>
          </w:p>
        </w:tc>
      </w:tr>
    </w:tbl>
    <w:p/>
    <w:p>
      <w:r>
        <w:rPr>
          <w:b/>
        </w:rPr>
        <w:t>Portfolio logic.</w:t>
      </w:r>
      <w:r>
        <w:t xml:space="preserve"> The largest single item (refinery, #4) is investor-led and already anchored; it is the medium-term feedstock enabler for plastics (#6) and fertilizers (#3). The fastest, highest-certainty wins are in </w:t>
      </w:r>
      <w:r>
        <w:rPr>
          <w:b/>
        </w:rPr>
        <w:t>sugar downstream (#5), plastics recycling (#6), cement clinker (#7), and essential generics (#2)</w:t>
      </w:r>
      <w:r>
        <w:t xml:space="preserve"> — all building on existing competitive bases.</w:t>
      </w:r>
    </w:p>
    <w:p>
      <w:pPr>
        <w:pStyle w:val="Heading2"/>
      </w:pPr>
      <w:r>
        <w:t>11.3 Project Profiles (Priority Products Only)</w:t>
      </w:r>
    </w:p>
    <w:p>
      <w:pPr>
        <w:pStyle w:val="Heading3"/>
      </w:pPr>
      <w:r>
        <w:t>Profile 1 — Spinning/Weaving + Garment Capacity (Textiles)</w:t>
      </w:r>
    </w:p>
    <w:p>
      <w:pPr>
        <w:pStyle w:val="ListBullet"/>
      </w:pPr>
      <w:r>
        <w:rPr>
          <w:b/>
        </w:rPr>
        <w:t>Business case:</w:t>
      </w:r>
      <w:r>
        <w:t xml:space="preserve"> ~90% of cotton lint is exported raw (~USD 11.3m, 2024); domestic processing captures the value gap to yarn, fabric, and garments. Institutional uniform and regional apparel demand anchor sales.</w:t>
      </w:r>
    </w:p>
    <w:p>
      <w:pPr>
        <w:pStyle w:val="ListBullet"/>
      </w:pPr>
      <w:r>
        <w:rPr>
          <w:b/>
        </w:rPr>
        <w:t>Anchors:</w:t>
      </w:r>
      <w:r>
        <w:t xml:space="preserve"> Southern Range Nyanza (Nytil), Fine Spinners, Lira spinning facility.</w:t>
      </w:r>
    </w:p>
    <w:p>
      <w:pPr>
        <w:pStyle w:val="ListBullet"/>
      </w:pPr>
      <w:r>
        <w:rPr>
          <w:b/>
        </w:rPr>
        <w:t>Modality:</w:t>
      </w:r>
      <w:r>
        <w:t xml:space="preserve"> Private-led + PPP (wet-processing/effluent infrastructure). </w:t>
      </w:r>
      <w:r>
        <w:rPr>
          <w:b/>
        </w:rPr>
        <w:t>Indicative CAPEX:</w:t>
      </w:r>
      <w:r>
        <w:t xml:space="preserve"> USD 100–250m. </w:t>
      </w:r>
      <w:r>
        <w:rPr>
          <w:b/>
        </w:rPr>
        <w:t>Key risk:</w:t>
      </w:r>
      <w:r>
        <w:t xml:space="preserve"> cotton supply volatility, wet-processing/effluent. </w:t>
      </w:r>
      <w:r>
        <w:rPr>
          <w:b/>
        </w:rPr>
        <w:t>Mitigation:</w:t>
      </w:r>
      <w:r>
        <w:t xml:space="preserve"> agronomy programme, shared effluent treatment.</w:t>
      </w:r>
    </w:p>
    <w:p>
      <w:pPr>
        <w:pStyle w:val="Heading3"/>
      </w:pPr>
      <w:r>
        <w:t>Profile 2 — GMP Essential-Generics Expansion (Pharmaceuticals)</w:t>
      </w:r>
    </w:p>
    <w:p>
      <w:pPr>
        <w:pStyle w:val="ListBullet"/>
      </w:pPr>
      <w:r>
        <w:rPr>
          <w:b/>
        </w:rPr>
        <w:t>Business case:</w:t>
      </w:r>
      <w:r>
        <w:t xml:space="preserve"> ~90% of medicines imported; medicaments imports USD 263.4m (2024). Expanding WHO-GMP generics (ARVs, antimalarials, anti-TB, NCD) substitutes imports and serves donor/regional markets.</w:t>
      </w:r>
    </w:p>
    <w:p>
      <w:pPr>
        <w:pStyle w:val="ListBullet"/>
      </w:pPr>
      <w:r>
        <w:rPr>
          <w:b/>
        </w:rPr>
        <w:t>Anchor:</w:t>
      </w:r>
      <w:r>
        <w:t xml:space="preserve"> Cipla QCIL (~1.2bn tablets/yr) and other GMP firms.</w:t>
      </w:r>
    </w:p>
    <w:p>
      <w:pPr>
        <w:pStyle w:val="ListBullet"/>
      </w:pPr>
      <w:r>
        <w:rPr>
          <w:b/>
        </w:rPr>
        <w:t>Modality:</w:t>
      </w:r>
      <w:r>
        <w:t xml:space="preserve"> Private-led + PPP (GMP-upgrade fund). </w:t>
      </w:r>
      <w:r>
        <w:rPr>
          <w:b/>
        </w:rPr>
        <w:t>Indicative CAPEX:</w:t>
      </w:r>
      <w:r>
        <w:t xml:space="preserve"> USD 50–150m. </w:t>
      </w:r>
      <w:r>
        <w:rPr>
          <w:b/>
        </w:rPr>
        <w:t>Key risk:</w:t>
      </w:r>
      <w:r>
        <w:t xml:space="preserve"> API dependence, regulatory lead time. </w:t>
      </w:r>
      <w:r>
        <w:rPr>
          <w:b/>
        </w:rPr>
        <w:t>Mitigation:</w:t>
      </w:r>
      <w:r>
        <w:t xml:space="preserve"> preferential procurement, prequalification support.</w:t>
      </w:r>
    </w:p>
    <w:p>
      <w:pPr>
        <w:pStyle w:val="Heading3"/>
      </w:pPr>
      <w:r>
        <w:t>Profile 3 — Fertilizer Revival/Blending (Petrochem/Fertilizers)</w:t>
      </w:r>
    </w:p>
    <w:p>
      <w:pPr>
        <w:pStyle w:val="ListBullet"/>
      </w:pPr>
      <w:r>
        <w:rPr>
          <w:b/>
        </w:rPr>
        <w:t>Business case:</w:t>
      </w:r>
      <w:r>
        <w:t xml:space="preserve"> Demand approaching 1m t vs ~50,000 t imported; phosphate fertilizer imports (HS 3105) USD 32.1m (2024). Reviving/replacing Sukulu and expanding blending serves agricultural productivity.</w:t>
      </w:r>
    </w:p>
    <w:p>
      <w:pPr>
        <w:pStyle w:val="ListBullet"/>
      </w:pPr>
      <w:r>
        <w:rPr>
          <w:b/>
        </w:rPr>
        <w:t>Modality:</w:t>
      </w:r>
      <w:r>
        <w:t xml:space="preserve"> PPP / private-led. </w:t>
      </w:r>
      <w:r>
        <w:rPr>
          <w:b/>
        </w:rPr>
        <w:t>Indicative CAPEX:</w:t>
      </w:r>
      <w:r>
        <w:t xml:space="preserve"> USD 100–300m. </w:t>
      </w:r>
      <w:r>
        <w:rPr>
          <w:b/>
        </w:rPr>
        <w:t>Key risk:</w:t>
      </w:r>
      <w:r>
        <w:t xml:space="preserve"> the Sukulu financing collapse precedent. </w:t>
      </w:r>
      <w:r>
        <w:rPr>
          <w:b/>
        </w:rPr>
        <w:t>Mitigation:</w:t>
      </w:r>
      <w:r>
        <w:t xml:space="preserve"> restructure or re-tender; start with blending capacity.</w:t>
      </w:r>
    </w:p>
    <w:p>
      <w:pPr>
        <w:pStyle w:val="Heading3"/>
      </w:pPr>
      <w:r>
        <w:t>Profile 4 — Refinery &amp; Petrochemical Park (Petrochem/Fertilizers)</w:t>
      </w:r>
    </w:p>
    <w:p>
      <w:pPr>
        <w:pStyle w:val="ListBullet"/>
      </w:pPr>
      <w:r>
        <w:rPr>
          <w:b/>
        </w:rPr>
        <w:t>Business case:</w:t>
      </w:r>
      <w:r>
        <w:t xml:space="preserve"> 60,000 bpd refinery + Kabalega Petrochemical Industrial Park; domestic fuels, polymers (plastics feedstock), and chemical inputs.</w:t>
      </w:r>
    </w:p>
    <w:p>
      <w:pPr>
        <w:pStyle w:val="ListBullet"/>
      </w:pPr>
      <w:r>
        <w:rPr>
          <w:b/>
        </w:rPr>
        <w:t>Anchor:</w:t>
      </w:r>
      <w:r>
        <w:t xml:space="preserve"> Alpha MBM implementation agreement, March 2025 (~USD 4bn; Government ~40% via UNOC); operations ~2029–30.</w:t>
      </w:r>
    </w:p>
    <w:p>
      <w:pPr>
        <w:pStyle w:val="ListBullet"/>
      </w:pPr>
      <w:r>
        <w:rPr>
          <w:b/>
        </w:rPr>
        <w:t>Modality:</w:t>
      </w:r>
      <w:r>
        <w:t xml:space="preserve"> Investor + UNOC (PPP). </w:t>
      </w:r>
      <w:r>
        <w:rPr>
          <w:b/>
        </w:rPr>
        <w:t>Sequencing note:</w:t>
      </w:r>
      <w:r>
        <w:t xml:space="preserve"> the medium-term enabler for Profiles 3 and 6.</w:t>
      </w:r>
    </w:p>
    <w:p>
      <w:pPr>
        <w:pStyle w:val="Heading3"/>
      </w:pPr>
      <w:r>
        <w:t>Profile 5 — Industrial Sugar + Ethanol + Co-generation (Sugar)</w:t>
      </w:r>
    </w:p>
    <w:p>
      <w:pPr>
        <w:pStyle w:val="ListBullet"/>
      </w:pPr>
      <w:r>
        <w:rPr>
          <w:b/>
        </w:rPr>
        <w:t>Business case:</w:t>
      </w:r>
      <w:r>
        <w:t xml:space="preserve"> Structural surplus (~822k t output vs ~370k t consumption) plus USD 38.1m industrial-sugar imports; downstream products absorb the surplus into higher value.</w:t>
      </w:r>
    </w:p>
    <w:p>
      <w:pPr>
        <w:pStyle w:val="ListBullet"/>
      </w:pPr>
      <w:r>
        <w:rPr>
          <w:b/>
        </w:rPr>
        <w:t>Anchors:</w:t>
      </w:r>
      <w:r>
        <w:t xml:space="preserve"> Kakira, Kinyara, SCOUL, Mayuge.</w:t>
      </w:r>
    </w:p>
    <w:p>
      <w:pPr>
        <w:pStyle w:val="ListBullet"/>
      </w:pPr>
      <w:r>
        <w:rPr>
          <w:b/>
        </w:rPr>
        <w:t>Modality:</w:t>
      </w:r>
      <w:r>
        <w:t xml:space="preserve"> Private-led. </w:t>
      </w:r>
      <w:r>
        <w:rPr>
          <w:b/>
        </w:rPr>
        <w:t>Indicative CAPEX:</w:t>
      </w:r>
      <w:r>
        <w:t xml:space="preserve"> USD 50–150m. </w:t>
      </w:r>
      <w:r>
        <w:rPr>
          <w:b/>
        </w:rPr>
        <w:t>High-certainty</w:t>
      </w:r>
      <w:r>
        <w:t xml:space="preserve"> given existing cane and mills.</w:t>
      </w:r>
    </w:p>
    <w:p>
      <w:pPr>
        <w:pStyle w:val="Heading3"/>
      </w:pPr>
      <w:r>
        <w:t>Profile 6 — Plastics Recycling + Value-Added Packaging (Plastics)</w:t>
      </w:r>
    </w:p>
    <w:p>
      <w:pPr>
        <w:pStyle w:val="ListBullet"/>
      </w:pPr>
      <w:r>
        <w:rPr>
          <w:b/>
        </w:rPr>
        <w:t>Business case:</w:t>
      </w:r>
      <w:r>
        <w:t xml:space="preserve"> ~150,000 t/yr plastics imported; packaging imports (HS 3923) USD 37.1m (2024); 600 t/day waste, &lt;40% collected. Recycling substitutes resin imports; value-added packaging substitutes finished imports; both align with the 2025 circularity policy.</w:t>
      </w:r>
    </w:p>
    <w:p>
      <w:pPr>
        <w:pStyle w:val="ListBullet"/>
      </w:pPr>
      <w:r>
        <w:rPr>
          <w:b/>
        </w:rPr>
        <w:t>Modality:</w:t>
      </w:r>
      <w:r>
        <w:t xml:space="preserve"> Private-led (EPR framework). </w:t>
      </w:r>
      <w:r>
        <w:rPr>
          <w:b/>
        </w:rPr>
        <w:t>Indicative CAPEX:</w:t>
      </w:r>
      <w:r>
        <w:t xml:space="preserve"> USD 30–80m. </w:t>
      </w:r>
      <w:r>
        <w:rPr>
          <w:b/>
        </w:rPr>
        <w:t>High alignment</w:t>
      </w:r>
      <w:r>
        <w:t xml:space="preserve"> with policy direction.</w:t>
      </w:r>
    </w:p>
    <w:p>
      <w:pPr>
        <w:pStyle w:val="Heading3"/>
      </w:pPr>
      <w:r>
        <w:t>Profile 7 — Clinker Capacity Build-out (Cement)</w:t>
      </w:r>
    </w:p>
    <w:p>
      <w:pPr>
        <w:pStyle w:val="ListBullet"/>
      </w:pPr>
      <w:r>
        <w:rPr>
          <w:b/>
        </w:rPr>
        <w:t>Business case:</w:t>
      </w:r>
      <w:r>
        <w:t xml:space="preserve"> &gt;50% of clinker imported; cement/clinker imports (HS 2523) USD 162.2m (2024) against USD 86.0m exports. Domestic clinker closes the gap and secures feedstock for grinders.</w:t>
      </w:r>
    </w:p>
    <w:p>
      <w:pPr>
        <w:pStyle w:val="ListBullet"/>
      </w:pPr>
      <w:r>
        <w:rPr>
          <w:b/>
        </w:rPr>
        <w:t>Anchors:</w:t>
      </w:r>
      <w:r>
        <w:t xml:space="preserve"> USD 300m NE plant; West International USD 200m Buikwe plant.</w:t>
      </w:r>
    </w:p>
    <w:p>
      <w:pPr>
        <w:pStyle w:val="ListBullet"/>
      </w:pPr>
      <w:r>
        <w:rPr>
          <w:b/>
        </w:rPr>
        <w:t>Modality:</w:t>
      </w:r>
      <w:r>
        <w:t xml:space="preserve"> Private-led. </w:t>
      </w:r>
      <w:r>
        <w:rPr>
          <w:b/>
        </w:rPr>
        <w:t>Indicative CAPEX:</w:t>
      </w:r>
      <w:r>
        <w:t xml:space="preserve"> USD 200–300m+. </w:t>
      </w:r>
      <w:r>
        <w:rPr>
          <w:b/>
        </w:rPr>
        <w:t>Key risk:</w:t>
      </w:r>
      <w:r>
        <w:t xml:space="preserve"> energy cost. </w:t>
      </w:r>
      <w:r>
        <w:rPr>
          <w:b/>
        </w:rPr>
        <w:t>Mitigation:</w:t>
      </w:r>
      <w:r>
        <w:t xml:space="preserve"> energy agreements, alternative fuels.</w:t>
      </w:r>
    </w:p>
    <w:p>
      <w:pPr>
        <w:pStyle w:val="Heading3"/>
      </w:pPr>
      <w:r>
        <w:t>Profile 8 — Higher-Value Building Materials (Cement)</w:t>
      </w:r>
    </w:p>
    <w:p>
      <w:pPr>
        <w:pStyle w:val="ListBullet"/>
      </w:pPr>
      <w:r>
        <w:rPr>
          <w:b/>
        </w:rPr>
        <w:t>Business case:</w:t>
      </w:r>
      <w:r>
        <w:t xml:space="preserve"> Fibre-cement, tiles, and precast add value and substitute construction-material imports.</w:t>
      </w:r>
    </w:p>
    <w:p>
      <w:pPr>
        <w:pStyle w:val="ListBullet"/>
      </w:pPr>
      <w:r>
        <w:rPr>
          <w:b/>
        </w:rPr>
        <w:t>Modality:</w:t>
      </w:r>
      <w:r>
        <w:t xml:space="preserve"> Private-led. </w:t>
      </w:r>
      <w:r>
        <w:rPr>
          <w:b/>
        </w:rPr>
        <w:t>Indicative CAPEX:</w:t>
      </w:r>
      <w:r>
        <w:t xml:space="preserve"> USD 20–60m.</w:t>
      </w:r>
    </w:p>
    <w:p>
      <w:pPr>
        <w:pStyle w:val="Heading2"/>
      </w:pPr>
      <w:r>
        <w:t>11.4 Implementation Roadmap</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002B5B"/>
          </w:tcPr>
          <w:p>
            <w:r>
              <w:rPr>
                <w:b/>
                <w:color w:val="FFFFFF"/>
                <w:sz w:val="18"/>
              </w:rPr>
              <w:t>Horizon</w:t>
            </w:r>
          </w:p>
        </w:tc>
        <w:tc>
          <w:tcPr>
            <w:tcW w:type="dxa" w:w="1881"/>
            <w:shd w:val="clear" w:color="auto" w:fill="002B5B"/>
          </w:tcPr>
          <w:p>
            <w:r>
              <w:rPr>
                <w:b/>
                <w:color w:val="FFFFFF"/>
                <w:sz w:val="18"/>
              </w:rPr>
              <w:t>Agro-processing (Textiles, Sugar)</w:t>
            </w:r>
          </w:p>
        </w:tc>
        <w:tc>
          <w:tcPr>
            <w:tcW w:type="dxa" w:w="1881"/>
            <w:shd w:val="clear" w:color="auto" w:fill="002B5B"/>
          </w:tcPr>
          <w:p>
            <w:r>
              <w:rPr>
                <w:b/>
                <w:color w:val="FFFFFF"/>
                <w:sz w:val="18"/>
              </w:rPr>
              <w:t>Health &amp; Inputs (Pharma, Fertilizer)</w:t>
            </w:r>
          </w:p>
        </w:tc>
        <w:tc>
          <w:tcPr>
            <w:tcW w:type="dxa" w:w="1881"/>
            <w:shd w:val="clear" w:color="auto" w:fill="002B5B"/>
          </w:tcPr>
          <w:p>
            <w:r>
              <w:rPr>
                <w:b/>
                <w:color w:val="FFFFFF"/>
                <w:sz w:val="18"/>
              </w:rPr>
              <w:t>Construction-linked (Cement, Plastics)</w:t>
            </w:r>
          </w:p>
        </w:tc>
        <w:tc>
          <w:tcPr>
            <w:tcW w:type="dxa" w:w="1881"/>
            <w:shd w:val="clear" w:color="auto" w:fill="002B5B"/>
          </w:tcPr>
          <w:p>
            <w:r>
              <w:rPr>
                <w:b/>
                <w:color w:val="FFFFFF"/>
                <w:sz w:val="18"/>
              </w:rPr>
              <w:t>Petrochemicals</w:t>
            </w:r>
          </w:p>
        </w:tc>
      </w:tr>
      <w:tr>
        <w:tc>
          <w:tcPr>
            <w:tcW w:type="dxa" w:w="1881"/>
            <w:shd w:val="clear" w:color="auto" w:fill="EEF3F9"/>
          </w:tcPr>
          <w:p>
            <w:r>
              <w:rPr>
                <w:b/>
                <w:sz w:val="18"/>
              </w:rPr>
              <w:t>Year 1 (quick wins)</w:t>
            </w:r>
          </w:p>
        </w:tc>
        <w:tc>
          <w:tcPr>
            <w:tcW w:type="dxa" w:w="1881"/>
            <w:shd w:val="clear" w:color="auto" w:fill="EEF3F9"/>
          </w:tcPr>
          <w:p>
            <w:r>
              <w:rPr>
                <w:sz w:val="18"/>
              </w:rPr>
              <w:t>Uniform procurement; cotton agronomy; sugar licensing discipline + ethanol mandate</w:t>
            </w:r>
          </w:p>
        </w:tc>
        <w:tc>
          <w:tcPr>
            <w:tcW w:type="dxa" w:w="1881"/>
            <w:shd w:val="clear" w:color="auto" w:fill="EEF3F9"/>
          </w:tcPr>
          <w:p>
            <w:r>
              <w:rPr>
                <w:sz w:val="18"/>
              </w:rPr>
              <w:t>NMS/JMS local-medicine procurement; resolve Sukulu; fertilizer quality enforcement</w:t>
            </w:r>
          </w:p>
        </w:tc>
        <w:tc>
          <w:tcPr>
            <w:tcW w:type="dxa" w:w="1881"/>
            <w:shd w:val="clear" w:color="auto" w:fill="EEF3F9"/>
          </w:tcPr>
          <w:p>
            <w:r>
              <w:rPr>
                <w:sz w:val="18"/>
              </w:rPr>
              <w:t>UNBS enforcement; support new clinker plants; phased single-use-bag rules</w:t>
            </w:r>
          </w:p>
        </w:tc>
        <w:tc>
          <w:tcPr>
            <w:tcW w:type="dxa" w:w="1881"/>
            <w:shd w:val="clear" w:color="auto" w:fill="EEF3F9"/>
          </w:tcPr>
          <w:p>
            <w:r>
              <w:rPr>
                <w:sz w:val="18"/>
              </w:rPr>
              <w:t>Park readiness planning</w:t>
            </w:r>
          </w:p>
        </w:tc>
      </w:tr>
      <w:tr>
        <w:tc>
          <w:tcPr>
            <w:tcW w:type="dxa" w:w="1881"/>
            <w:shd w:val="clear" w:color="auto" w:fill="FFFFFF"/>
          </w:tcPr>
          <w:p>
            <w:r>
              <w:rPr>
                <w:b/>
                <w:sz w:val="18"/>
              </w:rPr>
              <w:t>Years 2–3 (reforms + first capital)</w:t>
            </w:r>
          </w:p>
        </w:tc>
        <w:tc>
          <w:tcPr>
            <w:tcW w:type="dxa" w:w="1881"/>
            <w:shd w:val="clear" w:color="auto" w:fill="FFFFFF"/>
          </w:tcPr>
          <w:p>
            <w:r>
              <w:rPr>
                <w:sz w:val="18"/>
              </w:rPr>
              <w:t>Wet-processing/effluent infra; textile &amp; food-tech skills</w:t>
            </w:r>
          </w:p>
        </w:tc>
        <w:tc>
          <w:tcPr>
            <w:tcW w:type="dxa" w:w="1881"/>
            <w:shd w:val="clear" w:color="auto" w:fill="FFFFFF"/>
          </w:tcPr>
          <w:p>
            <w:r>
              <w:rPr>
                <w:sz w:val="18"/>
              </w:rPr>
              <w:t>GMP-upgrade fund; fertilizer strategy/subsidy</w:t>
            </w:r>
          </w:p>
        </w:tc>
        <w:tc>
          <w:tcPr>
            <w:tcW w:type="dxa" w:w="1881"/>
            <w:shd w:val="clear" w:color="auto" w:fill="FFFFFF"/>
          </w:tcPr>
          <w:p>
            <w:r>
              <w:rPr>
                <w:sz w:val="18"/>
              </w:rPr>
              <w:t>EPR &amp; recycling framework; energy agreements for clinker</w:t>
            </w:r>
          </w:p>
        </w:tc>
        <w:tc>
          <w:tcPr>
            <w:tcW w:type="dxa" w:w="1881"/>
            <w:shd w:val="clear" w:color="auto" w:fill="FFFFFF"/>
          </w:tcPr>
          <w:p>
            <w:r>
              <w:rPr>
                <w:sz w:val="18"/>
              </w:rPr>
              <w:t>Downstream linkage prep</w:t>
            </w:r>
          </w:p>
        </w:tc>
      </w:tr>
      <w:tr>
        <w:tc>
          <w:tcPr>
            <w:tcW w:type="dxa" w:w="1881"/>
            <w:shd w:val="clear" w:color="auto" w:fill="EEF3F9"/>
          </w:tcPr>
          <w:p>
            <w:r>
              <w:rPr>
                <w:b/>
                <w:sz w:val="18"/>
              </w:rPr>
              <w:t>Years 4–5 (major investment)</w:t>
            </w:r>
          </w:p>
        </w:tc>
        <w:tc>
          <w:tcPr>
            <w:tcW w:type="dxa" w:w="1881"/>
            <w:shd w:val="clear" w:color="auto" w:fill="EEF3F9"/>
          </w:tcPr>
          <w:p>
            <w:r>
              <w:rPr>
                <w:sz w:val="18"/>
              </w:rPr>
              <w:t>Spinning/weaving + garment park; industrial sugar/ethanol/co-gen</w:t>
            </w:r>
          </w:p>
        </w:tc>
        <w:tc>
          <w:tcPr>
            <w:tcW w:type="dxa" w:w="1881"/>
            <w:shd w:val="clear" w:color="auto" w:fill="EEF3F9"/>
          </w:tcPr>
          <w:p>
            <w:r>
              <w:rPr>
                <w:sz w:val="18"/>
              </w:rPr>
              <w:t>GMP generics expansion; phosphate/blending capacity</w:t>
            </w:r>
          </w:p>
        </w:tc>
        <w:tc>
          <w:tcPr>
            <w:tcW w:type="dxa" w:w="1881"/>
            <w:shd w:val="clear" w:color="auto" w:fill="EEF3F9"/>
          </w:tcPr>
          <w:p>
            <w:r>
              <w:rPr>
                <w:sz w:val="18"/>
              </w:rPr>
              <w:t>Clinker build-out; recycling &amp; packaging; building materials</w:t>
            </w:r>
          </w:p>
        </w:tc>
        <w:tc>
          <w:tcPr>
            <w:tcW w:type="dxa" w:w="1881"/>
            <w:shd w:val="clear" w:color="auto" w:fill="EEF3F9"/>
          </w:tcPr>
          <w:p>
            <w:r>
              <w:rPr>
                <w:sz w:val="18"/>
              </w:rPr>
              <w:t>Refinery + petrochemical park commissioning</w:t>
            </w:r>
          </w:p>
        </w:tc>
      </w:tr>
    </w:tbl>
    <w:p/>
    <w:p>
      <w:r>
        <w:rPr>
          <w:b/>
        </w:rPr>
        <w:t>Sequencing principle.</w:t>
      </w:r>
      <w:r>
        <w:t xml:space="preserve"> Quick wins are policy and procurement (low cost, high signal). Years 2–3 build standards, skills, finance, and infrastructure. Years 4–5 are the major capital builds — with the refinery/petrochemical park as the medium-term feedstock anchor that should pull plastics and fertilizer investment into its orbit.</w:t>
      </w:r>
    </w:p>
    <w:p>
      <w:pPr>
        <w:pStyle w:val="Heading2"/>
      </w:pPr>
      <w:r>
        <w:t>11.5 Indicative Portfolio Total</w:t>
      </w:r>
    </w:p>
    <w:p>
      <w:r>
        <w:t xml:space="preserve">Excluding the investor-financed refinery (~USD 4bn, separately anchored), the seven other priority investments represent an </w:t>
      </w:r>
      <w:r>
        <w:rPr>
          <w:b/>
        </w:rPr>
        <w:t>indicative total in the order of USD 0.6–1.3 billion</w:t>
      </w:r>
      <w:r>
        <w:t xml:space="preserve"> over five years, the majority </w:t>
      </w:r>
      <w:r>
        <w:rPr>
          <w:b/>
        </w:rPr>
        <w:t>private-led</w:t>
      </w:r>
      <w:r>
        <w:t xml:space="preserve">, with public/PPP support concentrated in </w:t>
      </w:r>
      <w:r>
        <w:rPr>
          <w:b/>
        </w:rPr>
        <w:t>standards, skills, effluent/circular-economy infrastructure, blended finance, and guaranteed procurement</w:t>
      </w:r>
      <w:r>
        <w:t>. All figures are indicative and require feasibility confirmation.</w:t>
      </w:r>
    </w:p>
    <w:p>
      <w:pPr>
        <w:pStyle w:val="Heading2"/>
      </w:pPr>
      <w:r>
        <w:t>References</w:t>
      </w:r>
    </w:p>
    <w:p>
      <w:pPr>
        <w:pStyle w:val="ListBullet"/>
      </w:pPr>
      <w:r>
        <w:t>ITC TradeMap, trade statistics (2024). https://www.trademap.org</w:t>
      </w:r>
    </w:p>
    <w:p>
      <w:pPr>
        <w:pStyle w:val="ListBullet"/>
      </w:pPr>
      <w:r>
        <w:t>UNOC; Petroleum Authority of Uganda — refinery project. https://www.unoc.co.ug/midstream/the-uganda-refinery-project/ ; https://www.pau.go.ug/the-uganda-refinery-project/</w:t>
      </w:r>
    </w:p>
    <w:p>
      <w:pPr>
        <w:pStyle w:val="ListBullet"/>
      </w:pPr>
      <w:r>
        <w:t>Ecofin Agency; CemNet — new cement plants (2024–25). https://www.cemnet.com/News/story/181356/uganda-launching-us-300m-cement-plant-to-boost-industry.html</w:t>
      </w:r>
    </w:p>
    <w:p>
      <w:pPr>
        <w:pStyle w:val="ListBullet"/>
      </w:pPr>
      <w:r>
        <w:t>Quality Chemical Industries Limited / Cipla Uganda. https://en.wikipedia.org/wiki/Quality_Chemical_Industries_Limited</w:t>
      </w:r>
    </w:p>
    <w:p>
      <w:pPr>
        <w:pStyle w:val="ListBullet"/>
      </w:pPr>
      <w:r>
        <w:t>Cotton Development Organisation; EPRC cotton value-chain study. https://eprcug.org/</w:t>
      </w:r>
    </w:p>
    <w:p>
      <w:pPr>
        <w:pStyle w:val="ListBullet"/>
      </w:pPr>
      <w:r>
        <w:t xml:space="preserve">NEMA, </w:t>
      </w:r>
      <w:r>
        <w:rPr>
          <w:i/>
        </w:rPr>
        <w:t>Plastics Circularity Strategy 2023–2028</w:t>
      </w:r>
      <w:r>
        <w:t>. https://www.nema.go.ug/</w:t>
      </w:r>
    </w:p>
    <w:p>
      <w:pPr>
        <w:pStyle w:val="ListBullet"/>
      </w:pPr>
      <w:r>
        <w:t>Uganda Investment Authority. https://ugandainvest.go.ug/</w:t>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