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2B5B"/>
          <w:sz w:val="52"/>
        </w:rPr>
        <w:t>Industrial Diagnostic Study — Report 1</w:t>
      </w:r>
    </w:p>
    <w:p>
      <w:pPr>
        <w:jc w:val="center"/>
      </w:pPr>
      <w:r>
        <w:rPr>
          <w:color w:val="005CA8"/>
          <w:sz w:val="26"/>
        </w:rPr>
        <w:t>Iron &amp; Steel · Copper &amp; Allied Metals · Automotive Value Chains</w:t>
      </w:r>
    </w:p>
    <w:p/>
    <w:p>
      <w:pPr>
        <w:jc w:val="center"/>
      </w:pPr>
      <w:r>
        <w:rPr>
          <w:color w:val="555555"/>
          <w:sz w:val="22"/>
        </w:rPr>
        <w:t>Ministry of Trade, Industry and Cooperatives (MTIC), Uganda</w:t>
      </w:r>
    </w:p>
    <w:p>
      <w:pPr>
        <w:jc w:val="center"/>
      </w:pPr>
      <w:r>
        <w:rPr>
          <w:color w:val="555555"/>
          <w:sz w:val="22"/>
        </w:rPr>
        <w:t>Uganda–UNIDO Programme for Country Partnership (PCP) for Inclusive and Sustainable Industrial Development (ISID)</w:t>
      </w:r>
    </w:p>
    <w:p>
      <w:pPr>
        <w:jc w:val="center"/>
      </w:pPr>
      <w:r>
        <w:rPr>
          <w:i/>
          <w:sz w:val="22"/>
        </w:rPr>
        <w:t>Draft for validation</w:t>
      </w:r>
    </w:p>
    <w:p>
      <w:pPr>
        <w:jc w:val="center"/>
      </w:pPr>
      <w:r>
        <w:rPr>
          <w:color w:val="555555"/>
          <w:sz w:val="19"/>
        </w:rPr>
        <w:t>Sources and citations are provided inline and in per-chapter reference lists for verification.</w:t>
      </w:r>
    </w:p>
    <w:p>
      <w:r>
        <w:br w:type="page"/>
      </w:r>
    </w:p>
    <w:p>
      <w:pPr>
        <w:pStyle w:val="Heading1"/>
      </w:pPr>
      <w:r>
        <w:t>Table of Contents</w:t>
      </w:r>
    </w:p>
    <w:p>
      <w:r>
        <w:fldChar w:fldCharType="begin"/>
        <w:instrText xml:space="preserve">TOC \o "1-2" \h \z \u</w:instrText>
        <w:fldChar w:fldCharType="separate"/>
        <w:t>Right-click and choose “Update Field” to build the contents.</w:t>
        <w:fldChar w:fldCharType="end"/>
      </w:r>
    </w:p>
    <w:p>
      <w:r>
        <w:br w:type="page"/>
      </w:r>
    </w:p>
    <w:p>
      <w:pPr>
        <w:pStyle w:val="Heading1"/>
      </w:pPr>
      <w:r>
        <w:t>List of Abbreviations</w:t>
      </w:r>
    </w:p>
    <w:p>
      <w:r>
        <w:t>The following abbreviations are used throughout Report 1. Each is also spelled out in full at its first use in the text.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Abbreviation</w:t>
            </w:r>
          </w:p>
        </w:tc>
        <w:tc>
          <w:tcPr>
            <w:tcW w:type="dxa" w:w="4703"/>
            <w:shd w:val="clear" w:color="auto" w:fill="002B5B"/>
          </w:tcPr>
          <w:p>
            <w:r>
              <w:rPr>
                <w:b/>
                <w:color w:val="FFFFFF"/>
                <w:sz w:val="18"/>
              </w:rPr>
              <w:t>Full form</w:t>
            </w:r>
          </w:p>
        </w:tc>
      </w:tr>
      <w:tr>
        <w:tc>
          <w:tcPr>
            <w:tcW w:type="dxa" w:w="4703"/>
            <w:shd w:val="clear" w:color="auto" w:fill="EEF3F9"/>
          </w:tcPr>
          <w:p>
            <w:r>
              <w:rPr>
                <w:sz w:val="18"/>
              </w:rPr>
              <w:t>ATMs</w:t>
            </w:r>
          </w:p>
        </w:tc>
        <w:tc>
          <w:tcPr>
            <w:tcW w:type="dxa" w:w="4703"/>
            <w:shd w:val="clear" w:color="auto" w:fill="EEF3F9"/>
          </w:tcPr>
          <w:p>
            <w:r>
              <w:rPr>
                <w:sz w:val="18"/>
              </w:rPr>
              <w:t>Agro-industrialization, Tourism, Minerals, and Science, Technology &amp; Innovation (Tenfold Growth Strategy pillars)</w:t>
            </w:r>
          </w:p>
        </w:tc>
      </w:tr>
      <w:tr>
        <w:tc>
          <w:tcPr>
            <w:tcW w:type="dxa" w:w="4703"/>
            <w:shd w:val="clear" w:color="auto" w:fill="FFFFFF"/>
          </w:tcPr>
          <w:p>
            <w:r>
              <w:rPr>
                <w:sz w:val="18"/>
              </w:rPr>
              <w:t>BRT</w:t>
            </w:r>
          </w:p>
        </w:tc>
        <w:tc>
          <w:tcPr>
            <w:tcW w:type="dxa" w:w="4703"/>
            <w:shd w:val="clear" w:color="auto" w:fill="FFFFFF"/>
          </w:tcPr>
          <w:p>
            <w:r>
              <w:rPr>
                <w:sz w:val="18"/>
              </w:rPr>
              <w:t>Bus Rapid Transit</w:t>
            </w:r>
          </w:p>
        </w:tc>
      </w:tr>
      <w:tr>
        <w:tc>
          <w:tcPr>
            <w:tcW w:type="dxa" w:w="4703"/>
            <w:shd w:val="clear" w:color="auto" w:fill="EEF3F9"/>
          </w:tcPr>
          <w:p>
            <w:r>
              <w:rPr>
                <w:sz w:val="18"/>
              </w:rPr>
              <w:t>CAPEX</w:t>
            </w:r>
          </w:p>
        </w:tc>
        <w:tc>
          <w:tcPr>
            <w:tcW w:type="dxa" w:w="4703"/>
            <w:shd w:val="clear" w:color="auto" w:fill="EEF3F9"/>
          </w:tcPr>
          <w:p>
            <w:r>
              <w:rPr>
                <w:sz w:val="18"/>
              </w:rPr>
              <w:t>Capital expenditure</w:t>
            </w:r>
          </w:p>
        </w:tc>
      </w:tr>
      <w:tr>
        <w:tc>
          <w:tcPr>
            <w:tcW w:type="dxa" w:w="4703"/>
            <w:shd w:val="clear" w:color="auto" w:fill="FFFFFF"/>
          </w:tcPr>
          <w:p>
            <w:r>
              <w:rPr>
                <w:sz w:val="18"/>
              </w:rPr>
              <w:t>CET</w:t>
            </w:r>
          </w:p>
        </w:tc>
        <w:tc>
          <w:tcPr>
            <w:tcW w:type="dxa" w:w="4703"/>
            <w:shd w:val="clear" w:color="auto" w:fill="FFFFFF"/>
          </w:tcPr>
          <w:p>
            <w:r>
              <w:rPr>
                <w:sz w:val="18"/>
              </w:rPr>
              <w:t>Common External Tariff</w:t>
            </w:r>
          </w:p>
        </w:tc>
      </w:tr>
      <w:tr>
        <w:tc>
          <w:tcPr>
            <w:tcW w:type="dxa" w:w="4703"/>
            <w:shd w:val="clear" w:color="auto" w:fill="EEF3F9"/>
          </w:tcPr>
          <w:p>
            <w:r>
              <w:rPr>
                <w:sz w:val="18"/>
              </w:rPr>
              <w:t>CKD</w:t>
            </w:r>
          </w:p>
        </w:tc>
        <w:tc>
          <w:tcPr>
            <w:tcW w:type="dxa" w:w="4703"/>
            <w:shd w:val="clear" w:color="auto" w:fill="EEF3F9"/>
          </w:tcPr>
          <w:p>
            <w:r>
              <w:rPr>
                <w:sz w:val="18"/>
              </w:rPr>
              <w:t>Completely Knocked Down (vehicle assembly kits)</w:t>
            </w:r>
          </w:p>
        </w:tc>
      </w:tr>
      <w:tr>
        <w:tc>
          <w:tcPr>
            <w:tcW w:type="dxa" w:w="4703"/>
            <w:shd w:val="clear" w:color="auto" w:fill="FFFFFF"/>
          </w:tcPr>
          <w:p>
            <w:r>
              <w:rPr>
                <w:sz w:val="18"/>
              </w:rPr>
              <w:t>COMESA</w:t>
            </w:r>
          </w:p>
        </w:tc>
        <w:tc>
          <w:tcPr>
            <w:tcW w:type="dxa" w:w="4703"/>
            <w:shd w:val="clear" w:color="auto" w:fill="FFFFFF"/>
          </w:tcPr>
          <w:p>
            <w:r>
              <w:rPr>
                <w:sz w:val="18"/>
              </w:rPr>
              <w:t>Common Market for Eastern and Southern Africa</w:t>
            </w:r>
          </w:p>
        </w:tc>
      </w:tr>
      <w:tr>
        <w:tc>
          <w:tcPr>
            <w:tcW w:type="dxa" w:w="4703"/>
            <w:shd w:val="clear" w:color="auto" w:fill="EEF3F9"/>
          </w:tcPr>
          <w:p>
            <w:r>
              <w:rPr>
                <w:sz w:val="18"/>
              </w:rPr>
              <w:t>DGSM</w:t>
            </w:r>
          </w:p>
        </w:tc>
        <w:tc>
          <w:tcPr>
            <w:tcW w:type="dxa" w:w="4703"/>
            <w:shd w:val="clear" w:color="auto" w:fill="EEF3F9"/>
          </w:tcPr>
          <w:p>
            <w:r>
              <w:rPr>
                <w:sz w:val="18"/>
              </w:rPr>
              <w:t>Directorate of Geological Survey and Mines</w:t>
            </w:r>
          </w:p>
        </w:tc>
      </w:tr>
      <w:tr>
        <w:tc>
          <w:tcPr>
            <w:tcW w:type="dxa" w:w="4703"/>
            <w:shd w:val="clear" w:color="auto" w:fill="FFFFFF"/>
          </w:tcPr>
          <w:p>
            <w:r>
              <w:rPr>
                <w:sz w:val="18"/>
              </w:rPr>
              <w:t>DRC</w:t>
            </w:r>
          </w:p>
        </w:tc>
        <w:tc>
          <w:tcPr>
            <w:tcW w:type="dxa" w:w="4703"/>
            <w:shd w:val="clear" w:color="auto" w:fill="FFFFFF"/>
          </w:tcPr>
          <w:p>
            <w:r>
              <w:rPr>
                <w:sz w:val="18"/>
              </w:rPr>
              <w:t>Democratic Republic of Congo</w:t>
            </w:r>
          </w:p>
        </w:tc>
      </w:tr>
      <w:tr>
        <w:tc>
          <w:tcPr>
            <w:tcW w:type="dxa" w:w="4703"/>
            <w:shd w:val="clear" w:color="auto" w:fill="EEF3F9"/>
          </w:tcPr>
          <w:p>
            <w:r>
              <w:rPr>
                <w:sz w:val="18"/>
              </w:rPr>
              <w:t>DRI</w:t>
            </w:r>
          </w:p>
        </w:tc>
        <w:tc>
          <w:tcPr>
            <w:tcW w:type="dxa" w:w="4703"/>
            <w:shd w:val="clear" w:color="auto" w:fill="EEF3F9"/>
          </w:tcPr>
          <w:p>
            <w:r>
              <w:rPr>
                <w:sz w:val="18"/>
              </w:rPr>
              <w:t>Direct Reduced Iron (sponge iron)</w:t>
            </w:r>
          </w:p>
        </w:tc>
      </w:tr>
      <w:tr>
        <w:tc>
          <w:tcPr>
            <w:tcW w:type="dxa" w:w="4703"/>
            <w:shd w:val="clear" w:color="auto" w:fill="FFFFFF"/>
          </w:tcPr>
          <w:p>
            <w:r>
              <w:rPr>
                <w:sz w:val="18"/>
              </w:rPr>
              <w:t>EAC</w:t>
            </w:r>
          </w:p>
        </w:tc>
        <w:tc>
          <w:tcPr>
            <w:tcW w:type="dxa" w:w="4703"/>
            <w:shd w:val="clear" w:color="auto" w:fill="FFFFFF"/>
          </w:tcPr>
          <w:p>
            <w:r>
              <w:rPr>
                <w:sz w:val="18"/>
              </w:rPr>
              <w:t>East African Community</w:t>
            </w:r>
          </w:p>
        </w:tc>
      </w:tr>
      <w:tr>
        <w:tc>
          <w:tcPr>
            <w:tcW w:type="dxa" w:w="4703"/>
            <w:shd w:val="clear" w:color="auto" w:fill="EEF3F9"/>
          </w:tcPr>
          <w:p>
            <w:r>
              <w:rPr>
                <w:sz w:val="18"/>
              </w:rPr>
              <w:t>EADB</w:t>
            </w:r>
          </w:p>
        </w:tc>
        <w:tc>
          <w:tcPr>
            <w:tcW w:type="dxa" w:w="4703"/>
            <w:shd w:val="clear" w:color="auto" w:fill="EEF3F9"/>
          </w:tcPr>
          <w:p>
            <w:r>
              <w:rPr>
                <w:sz w:val="18"/>
              </w:rPr>
              <w:t>East African Development Bank</w:t>
            </w:r>
          </w:p>
        </w:tc>
      </w:tr>
      <w:tr>
        <w:tc>
          <w:tcPr>
            <w:tcW w:type="dxa" w:w="4703"/>
            <w:shd w:val="clear" w:color="auto" w:fill="FFFFFF"/>
          </w:tcPr>
          <w:p>
            <w:r>
              <w:rPr>
                <w:sz w:val="18"/>
              </w:rPr>
              <w:t>EAF</w:t>
            </w:r>
          </w:p>
        </w:tc>
        <w:tc>
          <w:tcPr>
            <w:tcW w:type="dxa" w:w="4703"/>
            <w:shd w:val="clear" w:color="auto" w:fill="FFFFFF"/>
          </w:tcPr>
          <w:p>
            <w:r>
              <w:rPr>
                <w:sz w:val="18"/>
              </w:rPr>
              <w:t>Electric Arc Furnace</w:t>
            </w:r>
          </w:p>
        </w:tc>
      </w:tr>
      <w:tr>
        <w:tc>
          <w:tcPr>
            <w:tcW w:type="dxa" w:w="4703"/>
            <w:shd w:val="clear" w:color="auto" w:fill="EEF3F9"/>
          </w:tcPr>
          <w:p>
            <w:r>
              <w:rPr>
                <w:sz w:val="18"/>
              </w:rPr>
              <w:t>ERA</w:t>
            </w:r>
          </w:p>
        </w:tc>
        <w:tc>
          <w:tcPr>
            <w:tcW w:type="dxa" w:w="4703"/>
            <w:shd w:val="clear" w:color="auto" w:fill="EEF3F9"/>
          </w:tcPr>
          <w:p>
            <w:r>
              <w:rPr>
                <w:sz w:val="18"/>
              </w:rPr>
              <w:t>Electricity Regulatory Authority</w:t>
            </w:r>
          </w:p>
        </w:tc>
      </w:tr>
      <w:tr>
        <w:tc>
          <w:tcPr>
            <w:tcW w:type="dxa" w:w="4703"/>
            <w:shd w:val="clear" w:color="auto" w:fill="FFFFFF"/>
          </w:tcPr>
          <w:p>
            <w:r>
              <w:rPr>
                <w:sz w:val="18"/>
              </w:rPr>
              <w:t>EV</w:t>
            </w:r>
          </w:p>
        </w:tc>
        <w:tc>
          <w:tcPr>
            <w:tcW w:type="dxa" w:w="4703"/>
            <w:shd w:val="clear" w:color="auto" w:fill="FFFFFF"/>
          </w:tcPr>
          <w:p>
            <w:r>
              <w:rPr>
                <w:sz w:val="18"/>
              </w:rPr>
              <w:t>Electric Vehicle</w:t>
            </w:r>
          </w:p>
        </w:tc>
      </w:tr>
      <w:tr>
        <w:tc>
          <w:tcPr>
            <w:tcW w:type="dxa" w:w="4703"/>
            <w:shd w:val="clear" w:color="auto" w:fill="EEF3F9"/>
          </w:tcPr>
          <w:p>
            <w:r>
              <w:rPr>
                <w:sz w:val="18"/>
              </w:rPr>
              <w:t>FEED</w:t>
            </w:r>
          </w:p>
        </w:tc>
        <w:tc>
          <w:tcPr>
            <w:tcW w:type="dxa" w:w="4703"/>
            <w:shd w:val="clear" w:color="auto" w:fill="EEF3F9"/>
          </w:tcPr>
          <w:p>
            <w:r>
              <w:rPr>
                <w:sz w:val="18"/>
              </w:rPr>
              <w:t>Front-End Engineering Design</w:t>
            </w:r>
          </w:p>
        </w:tc>
      </w:tr>
      <w:tr>
        <w:tc>
          <w:tcPr>
            <w:tcW w:type="dxa" w:w="4703"/>
            <w:shd w:val="clear" w:color="auto" w:fill="FFFFFF"/>
          </w:tcPr>
          <w:p>
            <w:r>
              <w:rPr>
                <w:sz w:val="18"/>
              </w:rPr>
              <w:t>FY</w:t>
            </w:r>
          </w:p>
        </w:tc>
        <w:tc>
          <w:tcPr>
            <w:tcW w:type="dxa" w:w="4703"/>
            <w:shd w:val="clear" w:color="auto" w:fill="FFFFFF"/>
          </w:tcPr>
          <w:p>
            <w:r>
              <w:rPr>
                <w:sz w:val="18"/>
              </w:rPr>
              <w:t>Financial Year</w:t>
            </w:r>
          </w:p>
        </w:tc>
      </w:tr>
      <w:tr>
        <w:tc>
          <w:tcPr>
            <w:tcW w:type="dxa" w:w="4703"/>
            <w:shd w:val="clear" w:color="auto" w:fill="EEF3F9"/>
          </w:tcPr>
          <w:p>
            <w:r>
              <w:rPr>
                <w:sz w:val="18"/>
              </w:rPr>
              <w:t>GDP</w:t>
            </w:r>
          </w:p>
        </w:tc>
        <w:tc>
          <w:tcPr>
            <w:tcW w:type="dxa" w:w="4703"/>
            <w:shd w:val="clear" w:color="auto" w:fill="EEF3F9"/>
          </w:tcPr>
          <w:p>
            <w:r>
              <w:rPr>
                <w:sz w:val="18"/>
              </w:rPr>
              <w:t>Gross Domestic Product</w:t>
            </w:r>
          </w:p>
        </w:tc>
      </w:tr>
      <w:tr>
        <w:tc>
          <w:tcPr>
            <w:tcW w:type="dxa" w:w="4703"/>
            <w:shd w:val="clear" w:color="auto" w:fill="FFFFFF"/>
          </w:tcPr>
          <w:p>
            <w:r>
              <w:rPr>
                <w:sz w:val="18"/>
              </w:rPr>
              <w:t>HS</w:t>
            </w:r>
          </w:p>
        </w:tc>
        <w:tc>
          <w:tcPr>
            <w:tcW w:type="dxa" w:w="4703"/>
            <w:shd w:val="clear" w:color="auto" w:fill="FFFFFF"/>
          </w:tcPr>
          <w:p>
            <w:r>
              <w:rPr>
                <w:sz w:val="18"/>
              </w:rPr>
              <w:t>Harmonized System (trade classification code)</w:t>
            </w:r>
          </w:p>
        </w:tc>
      </w:tr>
      <w:tr>
        <w:tc>
          <w:tcPr>
            <w:tcW w:type="dxa" w:w="4703"/>
            <w:shd w:val="clear" w:color="auto" w:fill="EEF3F9"/>
          </w:tcPr>
          <w:p>
            <w:r>
              <w:rPr>
                <w:sz w:val="18"/>
              </w:rPr>
              <w:t>ICSG</w:t>
            </w:r>
          </w:p>
        </w:tc>
        <w:tc>
          <w:tcPr>
            <w:tcW w:type="dxa" w:w="4703"/>
            <w:shd w:val="clear" w:color="auto" w:fill="EEF3F9"/>
          </w:tcPr>
          <w:p>
            <w:r>
              <w:rPr>
                <w:sz w:val="18"/>
              </w:rPr>
              <w:t>International Copper Study Group</w:t>
            </w:r>
          </w:p>
        </w:tc>
      </w:tr>
      <w:tr>
        <w:tc>
          <w:tcPr>
            <w:tcW w:type="dxa" w:w="4703"/>
            <w:shd w:val="clear" w:color="auto" w:fill="FFFFFF"/>
          </w:tcPr>
          <w:p>
            <w:r>
              <w:rPr>
                <w:sz w:val="18"/>
              </w:rPr>
              <w:t>ISID</w:t>
            </w:r>
          </w:p>
        </w:tc>
        <w:tc>
          <w:tcPr>
            <w:tcW w:type="dxa" w:w="4703"/>
            <w:shd w:val="clear" w:color="auto" w:fill="FFFFFF"/>
          </w:tcPr>
          <w:p>
            <w:r>
              <w:rPr>
                <w:sz w:val="18"/>
              </w:rPr>
              <w:t>Inclusive and Sustainable Industrial Development</w:t>
            </w:r>
          </w:p>
        </w:tc>
      </w:tr>
      <w:tr>
        <w:tc>
          <w:tcPr>
            <w:tcW w:type="dxa" w:w="4703"/>
            <w:shd w:val="clear" w:color="auto" w:fill="EEF3F9"/>
          </w:tcPr>
          <w:p>
            <w:r>
              <w:rPr>
                <w:sz w:val="18"/>
              </w:rPr>
              <w:t>ITC</w:t>
            </w:r>
          </w:p>
        </w:tc>
        <w:tc>
          <w:tcPr>
            <w:tcW w:type="dxa" w:w="4703"/>
            <w:shd w:val="clear" w:color="auto" w:fill="EEF3F9"/>
          </w:tcPr>
          <w:p>
            <w:r>
              <w:rPr>
                <w:sz w:val="18"/>
              </w:rPr>
              <w:t>International Trade Centre</w:t>
            </w:r>
          </w:p>
        </w:tc>
      </w:tr>
      <w:tr>
        <w:tc>
          <w:tcPr>
            <w:tcW w:type="dxa" w:w="4703"/>
            <w:shd w:val="clear" w:color="auto" w:fill="FFFFFF"/>
          </w:tcPr>
          <w:p>
            <w:r>
              <w:rPr>
                <w:sz w:val="18"/>
              </w:rPr>
              <w:t>KII</w:t>
            </w:r>
          </w:p>
        </w:tc>
        <w:tc>
          <w:tcPr>
            <w:tcW w:type="dxa" w:w="4703"/>
            <w:shd w:val="clear" w:color="auto" w:fill="FFFFFF"/>
          </w:tcPr>
          <w:p>
            <w:r>
              <w:rPr>
                <w:sz w:val="18"/>
              </w:rPr>
              <w:t>Key Informant Interview</w:t>
            </w:r>
          </w:p>
        </w:tc>
      </w:tr>
      <w:tr>
        <w:tc>
          <w:tcPr>
            <w:tcW w:type="dxa" w:w="4703"/>
            <w:shd w:val="clear" w:color="auto" w:fill="EEF3F9"/>
          </w:tcPr>
          <w:p>
            <w:r>
              <w:rPr>
                <w:sz w:val="18"/>
              </w:rPr>
              <w:t>KMC</w:t>
            </w:r>
          </w:p>
        </w:tc>
        <w:tc>
          <w:tcPr>
            <w:tcW w:type="dxa" w:w="4703"/>
            <w:shd w:val="clear" w:color="auto" w:fill="EEF3F9"/>
          </w:tcPr>
          <w:p>
            <w:r>
              <w:rPr>
                <w:sz w:val="18"/>
              </w:rPr>
              <w:t>Kiira Motors Corporation</w:t>
            </w:r>
          </w:p>
        </w:tc>
      </w:tr>
      <w:tr>
        <w:tc>
          <w:tcPr>
            <w:tcW w:type="dxa" w:w="4703"/>
            <w:shd w:val="clear" w:color="auto" w:fill="FFFFFF"/>
          </w:tcPr>
          <w:p>
            <w:r>
              <w:rPr>
                <w:sz w:val="18"/>
              </w:rPr>
              <w:t>MDAs</w:t>
            </w:r>
          </w:p>
        </w:tc>
        <w:tc>
          <w:tcPr>
            <w:tcW w:type="dxa" w:w="4703"/>
            <w:shd w:val="clear" w:color="auto" w:fill="FFFFFF"/>
          </w:tcPr>
          <w:p>
            <w:r>
              <w:rPr>
                <w:sz w:val="18"/>
              </w:rPr>
              <w:t>Ministries, Departments and Agencies</w:t>
            </w:r>
          </w:p>
        </w:tc>
      </w:tr>
      <w:tr>
        <w:tc>
          <w:tcPr>
            <w:tcW w:type="dxa" w:w="4703"/>
            <w:shd w:val="clear" w:color="auto" w:fill="EEF3F9"/>
          </w:tcPr>
          <w:p>
            <w:r>
              <w:rPr>
                <w:sz w:val="18"/>
              </w:rPr>
              <w:t>MEMD</w:t>
            </w:r>
          </w:p>
        </w:tc>
        <w:tc>
          <w:tcPr>
            <w:tcW w:type="dxa" w:w="4703"/>
            <w:shd w:val="clear" w:color="auto" w:fill="EEF3F9"/>
          </w:tcPr>
          <w:p>
            <w:r>
              <w:rPr>
                <w:sz w:val="18"/>
              </w:rPr>
              <w:t>Ministry of Energy and Mineral Development</w:t>
            </w:r>
          </w:p>
        </w:tc>
      </w:tr>
      <w:tr>
        <w:tc>
          <w:tcPr>
            <w:tcW w:type="dxa" w:w="4703"/>
            <w:shd w:val="clear" w:color="auto" w:fill="FFFFFF"/>
          </w:tcPr>
          <w:p>
            <w:r>
              <w:rPr>
                <w:sz w:val="18"/>
              </w:rPr>
              <w:t>MoES</w:t>
            </w:r>
          </w:p>
        </w:tc>
        <w:tc>
          <w:tcPr>
            <w:tcW w:type="dxa" w:w="4703"/>
            <w:shd w:val="clear" w:color="auto" w:fill="FFFFFF"/>
          </w:tcPr>
          <w:p>
            <w:r>
              <w:rPr>
                <w:sz w:val="18"/>
              </w:rPr>
              <w:t>Ministry of Education and Sports</w:t>
            </w:r>
          </w:p>
        </w:tc>
      </w:tr>
      <w:tr>
        <w:tc>
          <w:tcPr>
            <w:tcW w:type="dxa" w:w="4703"/>
            <w:shd w:val="clear" w:color="auto" w:fill="EEF3F9"/>
          </w:tcPr>
          <w:p>
            <w:r>
              <w:rPr>
                <w:sz w:val="18"/>
              </w:rPr>
              <w:t>MoFPED</w:t>
            </w:r>
          </w:p>
        </w:tc>
        <w:tc>
          <w:tcPr>
            <w:tcW w:type="dxa" w:w="4703"/>
            <w:shd w:val="clear" w:color="auto" w:fill="EEF3F9"/>
          </w:tcPr>
          <w:p>
            <w:r>
              <w:rPr>
                <w:sz w:val="18"/>
              </w:rPr>
              <w:t>Ministry of Finance, Planning and Economic Development</w:t>
            </w:r>
          </w:p>
        </w:tc>
      </w:tr>
      <w:tr>
        <w:tc>
          <w:tcPr>
            <w:tcW w:type="dxa" w:w="4703"/>
            <w:shd w:val="clear" w:color="auto" w:fill="FFFFFF"/>
          </w:tcPr>
          <w:p>
            <w:r>
              <w:rPr>
                <w:sz w:val="18"/>
              </w:rPr>
              <w:t>MoWT</w:t>
            </w:r>
          </w:p>
        </w:tc>
        <w:tc>
          <w:tcPr>
            <w:tcW w:type="dxa" w:w="4703"/>
            <w:shd w:val="clear" w:color="auto" w:fill="FFFFFF"/>
          </w:tcPr>
          <w:p>
            <w:r>
              <w:rPr>
                <w:sz w:val="18"/>
              </w:rPr>
              <w:t>Ministry of Works and Transport</w:t>
            </w:r>
          </w:p>
        </w:tc>
      </w:tr>
      <w:tr>
        <w:tc>
          <w:tcPr>
            <w:tcW w:type="dxa" w:w="4703"/>
            <w:shd w:val="clear" w:color="auto" w:fill="EEF3F9"/>
          </w:tcPr>
          <w:p>
            <w:r>
              <w:rPr>
                <w:sz w:val="18"/>
              </w:rPr>
              <w:t>MTIC</w:t>
            </w:r>
          </w:p>
        </w:tc>
        <w:tc>
          <w:tcPr>
            <w:tcW w:type="dxa" w:w="4703"/>
            <w:shd w:val="clear" w:color="auto" w:fill="EEF3F9"/>
          </w:tcPr>
          <w:p>
            <w:r>
              <w:rPr>
                <w:sz w:val="18"/>
              </w:rPr>
              <w:t>Ministry of Trade, Industry and Cooperatives</w:t>
            </w:r>
          </w:p>
        </w:tc>
      </w:tr>
      <w:tr>
        <w:tc>
          <w:tcPr>
            <w:tcW w:type="dxa" w:w="4703"/>
            <w:shd w:val="clear" w:color="auto" w:fill="FFFFFF"/>
          </w:tcPr>
          <w:p>
            <w:r>
              <w:rPr>
                <w:sz w:val="18"/>
              </w:rPr>
              <w:t>NDP IV</w:t>
            </w:r>
          </w:p>
        </w:tc>
        <w:tc>
          <w:tcPr>
            <w:tcW w:type="dxa" w:w="4703"/>
            <w:shd w:val="clear" w:color="auto" w:fill="FFFFFF"/>
          </w:tcPr>
          <w:p>
            <w:r>
              <w:rPr>
                <w:sz w:val="18"/>
              </w:rPr>
              <w:t>Fourth National Development Plan</w:t>
            </w:r>
          </w:p>
        </w:tc>
      </w:tr>
      <w:tr>
        <w:tc>
          <w:tcPr>
            <w:tcW w:type="dxa" w:w="4703"/>
            <w:shd w:val="clear" w:color="auto" w:fill="EEF3F9"/>
          </w:tcPr>
          <w:p>
            <w:r>
              <w:rPr>
                <w:sz w:val="18"/>
              </w:rPr>
              <w:t>NEMA</w:t>
            </w:r>
          </w:p>
        </w:tc>
        <w:tc>
          <w:tcPr>
            <w:tcW w:type="dxa" w:w="4703"/>
            <w:shd w:val="clear" w:color="auto" w:fill="EEF3F9"/>
          </w:tcPr>
          <w:p>
            <w:r>
              <w:rPr>
                <w:sz w:val="18"/>
              </w:rPr>
              <w:t>National Environment Management Authority</w:t>
            </w:r>
          </w:p>
        </w:tc>
      </w:tr>
      <w:tr>
        <w:tc>
          <w:tcPr>
            <w:tcW w:type="dxa" w:w="4703"/>
            <w:shd w:val="clear" w:color="auto" w:fill="FFFFFF"/>
          </w:tcPr>
          <w:p>
            <w:r>
              <w:rPr>
                <w:sz w:val="18"/>
              </w:rPr>
              <w:t>NIP</w:t>
            </w:r>
          </w:p>
        </w:tc>
        <w:tc>
          <w:tcPr>
            <w:tcW w:type="dxa" w:w="4703"/>
            <w:shd w:val="clear" w:color="auto" w:fill="FFFFFF"/>
          </w:tcPr>
          <w:p>
            <w:r>
              <w:rPr>
                <w:sz w:val="18"/>
              </w:rPr>
              <w:t>National Industrial Policy (2020)</w:t>
            </w:r>
          </w:p>
        </w:tc>
      </w:tr>
      <w:tr>
        <w:tc>
          <w:tcPr>
            <w:tcW w:type="dxa" w:w="4703"/>
            <w:shd w:val="clear" w:color="auto" w:fill="EEF3F9"/>
          </w:tcPr>
          <w:p>
            <w:r>
              <w:rPr>
                <w:sz w:val="18"/>
              </w:rPr>
              <w:t>NPA</w:t>
            </w:r>
          </w:p>
        </w:tc>
        <w:tc>
          <w:tcPr>
            <w:tcW w:type="dxa" w:w="4703"/>
            <w:shd w:val="clear" w:color="auto" w:fill="EEF3F9"/>
          </w:tcPr>
          <w:p>
            <w:r>
              <w:rPr>
                <w:sz w:val="18"/>
              </w:rPr>
              <w:t>National Planning Authority</w:t>
            </w:r>
          </w:p>
        </w:tc>
      </w:tr>
      <w:tr>
        <w:tc>
          <w:tcPr>
            <w:tcW w:type="dxa" w:w="4703"/>
            <w:shd w:val="clear" w:color="auto" w:fill="FFFFFF"/>
          </w:tcPr>
          <w:p>
            <w:r>
              <w:rPr>
                <w:sz w:val="18"/>
              </w:rPr>
              <w:t>NTBs</w:t>
            </w:r>
          </w:p>
        </w:tc>
        <w:tc>
          <w:tcPr>
            <w:tcW w:type="dxa" w:w="4703"/>
            <w:shd w:val="clear" w:color="auto" w:fill="FFFFFF"/>
          </w:tcPr>
          <w:p>
            <w:r>
              <w:rPr>
                <w:sz w:val="18"/>
              </w:rPr>
              <w:t>Non-Tariff Barriers</w:t>
            </w:r>
          </w:p>
        </w:tc>
      </w:tr>
      <w:tr>
        <w:tc>
          <w:tcPr>
            <w:tcW w:type="dxa" w:w="4703"/>
            <w:shd w:val="clear" w:color="auto" w:fill="EEF3F9"/>
          </w:tcPr>
          <w:p>
            <w:r>
              <w:rPr>
                <w:sz w:val="18"/>
              </w:rPr>
              <w:t>NWSC</w:t>
            </w:r>
          </w:p>
        </w:tc>
        <w:tc>
          <w:tcPr>
            <w:tcW w:type="dxa" w:w="4703"/>
            <w:shd w:val="clear" w:color="auto" w:fill="EEF3F9"/>
          </w:tcPr>
          <w:p>
            <w:r>
              <w:rPr>
                <w:sz w:val="18"/>
              </w:rPr>
              <w:t>National Water and Sewerage Corporation</w:t>
            </w:r>
          </w:p>
        </w:tc>
      </w:tr>
      <w:tr>
        <w:tc>
          <w:tcPr>
            <w:tcW w:type="dxa" w:w="4703"/>
            <w:shd w:val="clear" w:color="auto" w:fill="FFFFFF"/>
          </w:tcPr>
          <w:p>
            <w:r>
              <w:rPr>
                <w:sz w:val="18"/>
              </w:rPr>
              <w:t>OPEX</w:t>
            </w:r>
          </w:p>
        </w:tc>
        <w:tc>
          <w:tcPr>
            <w:tcW w:type="dxa" w:w="4703"/>
            <w:shd w:val="clear" w:color="auto" w:fill="FFFFFF"/>
          </w:tcPr>
          <w:p>
            <w:r>
              <w:rPr>
                <w:sz w:val="18"/>
              </w:rPr>
              <w:t>Operating expenditure</w:t>
            </w:r>
          </w:p>
        </w:tc>
      </w:tr>
      <w:tr>
        <w:tc>
          <w:tcPr>
            <w:tcW w:type="dxa" w:w="4703"/>
            <w:shd w:val="clear" w:color="auto" w:fill="EEF3F9"/>
          </w:tcPr>
          <w:p>
            <w:r>
              <w:rPr>
                <w:sz w:val="18"/>
              </w:rPr>
              <w:t>PCP</w:t>
            </w:r>
          </w:p>
        </w:tc>
        <w:tc>
          <w:tcPr>
            <w:tcW w:type="dxa" w:w="4703"/>
            <w:shd w:val="clear" w:color="auto" w:fill="EEF3F9"/>
          </w:tcPr>
          <w:p>
            <w:r>
              <w:rPr>
                <w:sz w:val="18"/>
              </w:rPr>
              <w:t>Programme for Country Partnership</w:t>
            </w:r>
          </w:p>
        </w:tc>
      </w:tr>
      <w:tr>
        <w:tc>
          <w:tcPr>
            <w:tcW w:type="dxa" w:w="4703"/>
            <w:shd w:val="clear" w:color="auto" w:fill="FFFFFF"/>
          </w:tcPr>
          <w:p>
            <w:r>
              <w:rPr>
                <w:sz w:val="18"/>
              </w:rPr>
              <w:t>PPP</w:t>
            </w:r>
          </w:p>
        </w:tc>
        <w:tc>
          <w:tcPr>
            <w:tcW w:type="dxa" w:w="4703"/>
            <w:shd w:val="clear" w:color="auto" w:fill="FFFFFF"/>
          </w:tcPr>
          <w:p>
            <w:r>
              <w:rPr>
                <w:sz w:val="18"/>
              </w:rPr>
              <w:t>Public-Private Partnership</w:t>
            </w:r>
          </w:p>
        </w:tc>
      </w:tr>
      <w:tr>
        <w:tc>
          <w:tcPr>
            <w:tcW w:type="dxa" w:w="4703"/>
            <w:shd w:val="clear" w:color="auto" w:fill="EEF3F9"/>
          </w:tcPr>
          <w:p>
            <w:r>
              <w:rPr>
                <w:sz w:val="18"/>
              </w:rPr>
              <w:t>SKD</w:t>
            </w:r>
          </w:p>
        </w:tc>
        <w:tc>
          <w:tcPr>
            <w:tcW w:type="dxa" w:w="4703"/>
            <w:shd w:val="clear" w:color="auto" w:fill="EEF3F9"/>
          </w:tcPr>
          <w:p>
            <w:r>
              <w:rPr>
                <w:sz w:val="18"/>
              </w:rPr>
              <w:t>Semi Knocked Down (vehicle assembly kits)</w:t>
            </w:r>
          </w:p>
        </w:tc>
      </w:tr>
      <w:tr>
        <w:tc>
          <w:tcPr>
            <w:tcW w:type="dxa" w:w="4703"/>
            <w:shd w:val="clear" w:color="auto" w:fill="FFFFFF"/>
          </w:tcPr>
          <w:p>
            <w:r>
              <w:rPr>
                <w:sz w:val="18"/>
              </w:rPr>
              <w:t>STI</w:t>
            </w:r>
          </w:p>
        </w:tc>
        <w:tc>
          <w:tcPr>
            <w:tcW w:type="dxa" w:w="4703"/>
            <w:shd w:val="clear" w:color="auto" w:fill="FFFFFF"/>
          </w:tcPr>
          <w:p>
            <w:r>
              <w:rPr>
                <w:sz w:val="18"/>
              </w:rPr>
              <w:t>Science, Technology and Innovation</w:t>
            </w:r>
          </w:p>
        </w:tc>
      </w:tr>
      <w:tr>
        <w:tc>
          <w:tcPr>
            <w:tcW w:type="dxa" w:w="4703"/>
            <w:shd w:val="clear" w:color="auto" w:fill="EEF3F9"/>
          </w:tcPr>
          <w:p>
            <w:r>
              <w:rPr>
                <w:sz w:val="18"/>
              </w:rPr>
              <w:t>STIL</w:t>
            </w:r>
          </w:p>
        </w:tc>
        <w:tc>
          <w:tcPr>
            <w:tcW w:type="dxa" w:w="4703"/>
            <w:shd w:val="clear" w:color="auto" w:fill="EEF3F9"/>
          </w:tcPr>
          <w:p>
            <w:r>
              <w:rPr>
                <w:sz w:val="18"/>
              </w:rPr>
              <w:t>Steel &amp; Tube Industries Limited</w:t>
            </w:r>
          </w:p>
        </w:tc>
      </w:tr>
      <w:tr>
        <w:tc>
          <w:tcPr>
            <w:tcW w:type="dxa" w:w="4703"/>
            <w:shd w:val="clear" w:color="auto" w:fill="FFFFFF"/>
          </w:tcPr>
          <w:p>
            <w:r>
              <w:rPr>
                <w:sz w:val="18"/>
              </w:rPr>
              <w:t>ToR</w:t>
            </w:r>
          </w:p>
        </w:tc>
        <w:tc>
          <w:tcPr>
            <w:tcW w:type="dxa" w:w="4703"/>
            <w:shd w:val="clear" w:color="auto" w:fill="FFFFFF"/>
          </w:tcPr>
          <w:p>
            <w:r>
              <w:rPr>
                <w:sz w:val="18"/>
              </w:rPr>
              <w:t>Terms of Reference</w:t>
            </w:r>
          </w:p>
        </w:tc>
      </w:tr>
      <w:tr>
        <w:tc>
          <w:tcPr>
            <w:tcW w:type="dxa" w:w="4703"/>
            <w:shd w:val="clear" w:color="auto" w:fill="EEF3F9"/>
          </w:tcPr>
          <w:p>
            <w:r>
              <w:rPr>
                <w:sz w:val="18"/>
              </w:rPr>
              <w:t>tpa</w:t>
            </w:r>
          </w:p>
        </w:tc>
        <w:tc>
          <w:tcPr>
            <w:tcW w:type="dxa" w:w="4703"/>
            <w:shd w:val="clear" w:color="auto" w:fill="EEF3F9"/>
          </w:tcPr>
          <w:p>
            <w:r>
              <w:rPr>
                <w:sz w:val="18"/>
              </w:rPr>
              <w:t>Tonnes per annum</w:t>
            </w:r>
          </w:p>
        </w:tc>
      </w:tr>
      <w:tr>
        <w:tc>
          <w:tcPr>
            <w:tcW w:type="dxa" w:w="4703"/>
            <w:shd w:val="clear" w:color="auto" w:fill="FFFFFF"/>
          </w:tcPr>
          <w:p>
            <w:r>
              <w:rPr>
                <w:sz w:val="18"/>
              </w:rPr>
              <w:t>TVET</w:t>
            </w:r>
          </w:p>
        </w:tc>
        <w:tc>
          <w:tcPr>
            <w:tcW w:type="dxa" w:w="4703"/>
            <w:shd w:val="clear" w:color="auto" w:fill="FFFFFF"/>
          </w:tcPr>
          <w:p>
            <w:r>
              <w:rPr>
                <w:sz w:val="18"/>
              </w:rPr>
              <w:t>Technical and Vocational Education and Training</w:t>
            </w:r>
          </w:p>
        </w:tc>
      </w:tr>
      <w:tr>
        <w:tc>
          <w:tcPr>
            <w:tcW w:type="dxa" w:w="4703"/>
            <w:shd w:val="clear" w:color="auto" w:fill="EEF3F9"/>
          </w:tcPr>
          <w:p>
            <w:r>
              <w:rPr>
                <w:sz w:val="18"/>
              </w:rPr>
              <w:t>TWG</w:t>
            </w:r>
          </w:p>
        </w:tc>
        <w:tc>
          <w:tcPr>
            <w:tcW w:type="dxa" w:w="4703"/>
            <w:shd w:val="clear" w:color="auto" w:fill="EEF3F9"/>
          </w:tcPr>
          <w:p>
            <w:r>
              <w:rPr>
                <w:sz w:val="18"/>
              </w:rPr>
              <w:t>Technical Working Group</w:t>
            </w:r>
          </w:p>
        </w:tc>
      </w:tr>
      <w:tr>
        <w:tc>
          <w:tcPr>
            <w:tcW w:type="dxa" w:w="4703"/>
            <w:shd w:val="clear" w:color="auto" w:fill="FFFFFF"/>
          </w:tcPr>
          <w:p>
            <w:r>
              <w:rPr>
                <w:sz w:val="18"/>
              </w:rPr>
              <w:t>UAE</w:t>
            </w:r>
          </w:p>
        </w:tc>
        <w:tc>
          <w:tcPr>
            <w:tcW w:type="dxa" w:w="4703"/>
            <w:shd w:val="clear" w:color="auto" w:fill="FFFFFF"/>
          </w:tcPr>
          <w:p>
            <w:r>
              <w:rPr>
                <w:sz w:val="18"/>
              </w:rPr>
              <w:t>United Arab Emirates</w:t>
            </w:r>
          </w:p>
        </w:tc>
      </w:tr>
      <w:tr>
        <w:tc>
          <w:tcPr>
            <w:tcW w:type="dxa" w:w="4703"/>
            <w:shd w:val="clear" w:color="auto" w:fill="EEF3F9"/>
          </w:tcPr>
          <w:p>
            <w:r>
              <w:rPr>
                <w:sz w:val="18"/>
              </w:rPr>
              <w:t>UBOS</w:t>
            </w:r>
          </w:p>
        </w:tc>
        <w:tc>
          <w:tcPr>
            <w:tcW w:type="dxa" w:w="4703"/>
            <w:shd w:val="clear" w:color="auto" w:fill="EEF3F9"/>
          </w:tcPr>
          <w:p>
            <w:r>
              <w:rPr>
                <w:sz w:val="18"/>
              </w:rPr>
              <w:t>Uganda Bureau of Statistics</w:t>
            </w:r>
          </w:p>
        </w:tc>
      </w:tr>
      <w:tr>
        <w:tc>
          <w:tcPr>
            <w:tcW w:type="dxa" w:w="4703"/>
            <w:shd w:val="clear" w:color="auto" w:fill="FFFFFF"/>
          </w:tcPr>
          <w:p>
            <w:r>
              <w:rPr>
                <w:sz w:val="18"/>
              </w:rPr>
              <w:t>UDB</w:t>
            </w:r>
          </w:p>
        </w:tc>
        <w:tc>
          <w:tcPr>
            <w:tcW w:type="dxa" w:w="4703"/>
            <w:shd w:val="clear" w:color="auto" w:fill="FFFFFF"/>
          </w:tcPr>
          <w:p>
            <w:r>
              <w:rPr>
                <w:sz w:val="18"/>
              </w:rPr>
              <w:t>Uganda Development Bank</w:t>
            </w:r>
          </w:p>
        </w:tc>
      </w:tr>
      <w:tr>
        <w:tc>
          <w:tcPr>
            <w:tcW w:type="dxa" w:w="4703"/>
            <w:shd w:val="clear" w:color="auto" w:fill="EEF3F9"/>
          </w:tcPr>
          <w:p>
            <w:r>
              <w:rPr>
                <w:sz w:val="18"/>
              </w:rPr>
              <w:t>UDC</w:t>
            </w:r>
          </w:p>
        </w:tc>
        <w:tc>
          <w:tcPr>
            <w:tcW w:type="dxa" w:w="4703"/>
            <w:shd w:val="clear" w:color="auto" w:fill="EEF3F9"/>
          </w:tcPr>
          <w:p>
            <w:r>
              <w:rPr>
                <w:sz w:val="18"/>
              </w:rPr>
              <w:t>Uganda Development Corporation</w:t>
            </w:r>
          </w:p>
        </w:tc>
      </w:tr>
      <w:tr>
        <w:tc>
          <w:tcPr>
            <w:tcW w:type="dxa" w:w="4703"/>
            <w:shd w:val="clear" w:color="auto" w:fill="FFFFFF"/>
          </w:tcPr>
          <w:p>
            <w:r>
              <w:rPr>
                <w:sz w:val="18"/>
              </w:rPr>
              <w:t>UEDCL</w:t>
            </w:r>
          </w:p>
        </w:tc>
        <w:tc>
          <w:tcPr>
            <w:tcW w:type="dxa" w:w="4703"/>
            <w:shd w:val="clear" w:color="auto" w:fill="FFFFFF"/>
          </w:tcPr>
          <w:p>
            <w:r>
              <w:rPr>
                <w:sz w:val="18"/>
              </w:rPr>
              <w:t>Uganda Electricity Distribution Company Limited</w:t>
            </w:r>
          </w:p>
        </w:tc>
      </w:tr>
      <w:tr>
        <w:tc>
          <w:tcPr>
            <w:tcW w:type="dxa" w:w="4703"/>
            <w:shd w:val="clear" w:color="auto" w:fill="EEF3F9"/>
          </w:tcPr>
          <w:p>
            <w:r>
              <w:rPr>
                <w:sz w:val="18"/>
              </w:rPr>
              <w:t>UEPB</w:t>
            </w:r>
          </w:p>
        </w:tc>
        <w:tc>
          <w:tcPr>
            <w:tcW w:type="dxa" w:w="4703"/>
            <w:shd w:val="clear" w:color="auto" w:fill="EEF3F9"/>
          </w:tcPr>
          <w:p>
            <w:r>
              <w:rPr>
                <w:sz w:val="18"/>
              </w:rPr>
              <w:t>Uganda Export Promotion Board</w:t>
            </w:r>
          </w:p>
        </w:tc>
      </w:tr>
      <w:tr>
        <w:tc>
          <w:tcPr>
            <w:tcW w:type="dxa" w:w="4703"/>
            <w:shd w:val="clear" w:color="auto" w:fill="FFFFFF"/>
          </w:tcPr>
          <w:p>
            <w:r>
              <w:rPr>
                <w:sz w:val="18"/>
              </w:rPr>
              <w:t>UETCL</w:t>
            </w:r>
          </w:p>
        </w:tc>
        <w:tc>
          <w:tcPr>
            <w:tcW w:type="dxa" w:w="4703"/>
            <w:shd w:val="clear" w:color="auto" w:fill="FFFFFF"/>
          </w:tcPr>
          <w:p>
            <w:r>
              <w:rPr>
                <w:sz w:val="18"/>
              </w:rPr>
              <w:t>Uganda Electricity Transmission Company Limited</w:t>
            </w:r>
          </w:p>
        </w:tc>
      </w:tr>
      <w:tr>
        <w:tc>
          <w:tcPr>
            <w:tcW w:type="dxa" w:w="4703"/>
            <w:shd w:val="clear" w:color="auto" w:fill="EEF3F9"/>
          </w:tcPr>
          <w:p>
            <w:r>
              <w:rPr>
                <w:sz w:val="18"/>
              </w:rPr>
              <w:t>UIA</w:t>
            </w:r>
          </w:p>
        </w:tc>
        <w:tc>
          <w:tcPr>
            <w:tcW w:type="dxa" w:w="4703"/>
            <w:shd w:val="clear" w:color="auto" w:fill="EEF3F9"/>
          </w:tcPr>
          <w:p>
            <w:r>
              <w:rPr>
                <w:sz w:val="18"/>
              </w:rPr>
              <w:t>Uganda Investment Authority</w:t>
            </w:r>
          </w:p>
        </w:tc>
      </w:tr>
      <w:tr>
        <w:tc>
          <w:tcPr>
            <w:tcW w:type="dxa" w:w="4703"/>
            <w:shd w:val="clear" w:color="auto" w:fill="FFFFFF"/>
          </w:tcPr>
          <w:p>
            <w:r>
              <w:rPr>
                <w:sz w:val="18"/>
              </w:rPr>
              <w:t>UIRI</w:t>
            </w:r>
          </w:p>
        </w:tc>
        <w:tc>
          <w:tcPr>
            <w:tcW w:type="dxa" w:w="4703"/>
            <w:shd w:val="clear" w:color="auto" w:fill="FFFFFF"/>
          </w:tcPr>
          <w:p>
            <w:r>
              <w:rPr>
                <w:sz w:val="18"/>
              </w:rPr>
              <w:t>Uganda Industrial Research Institute</w:t>
            </w:r>
          </w:p>
        </w:tc>
      </w:tr>
      <w:tr>
        <w:tc>
          <w:tcPr>
            <w:tcW w:type="dxa" w:w="4703"/>
            <w:shd w:val="clear" w:color="auto" w:fill="EEF3F9"/>
          </w:tcPr>
          <w:p>
            <w:r>
              <w:rPr>
                <w:sz w:val="18"/>
              </w:rPr>
              <w:t>UMA</w:t>
            </w:r>
          </w:p>
        </w:tc>
        <w:tc>
          <w:tcPr>
            <w:tcW w:type="dxa" w:w="4703"/>
            <w:shd w:val="clear" w:color="auto" w:fill="EEF3F9"/>
          </w:tcPr>
          <w:p>
            <w:r>
              <w:rPr>
                <w:sz w:val="18"/>
              </w:rPr>
              <w:t>Uganda Manufacturers Association</w:t>
            </w:r>
          </w:p>
        </w:tc>
      </w:tr>
      <w:tr>
        <w:tc>
          <w:tcPr>
            <w:tcW w:type="dxa" w:w="4703"/>
            <w:shd w:val="clear" w:color="auto" w:fill="FFFFFF"/>
          </w:tcPr>
          <w:p>
            <w:r>
              <w:rPr>
                <w:sz w:val="18"/>
              </w:rPr>
              <w:t>Umeme</w:t>
            </w:r>
          </w:p>
        </w:tc>
        <w:tc>
          <w:tcPr>
            <w:tcW w:type="dxa" w:w="4703"/>
            <w:shd w:val="clear" w:color="auto" w:fill="FFFFFF"/>
          </w:tcPr>
          <w:p>
            <w:r>
              <w:rPr>
                <w:sz w:val="18"/>
              </w:rPr>
              <w:t>Umeme Limited (national electricity distributor)</w:t>
            </w:r>
          </w:p>
        </w:tc>
      </w:tr>
      <w:tr>
        <w:tc>
          <w:tcPr>
            <w:tcW w:type="dxa" w:w="4703"/>
            <w:shd w:val="clear" w:color="auto" w:fill="EEF3F9"/>
          </w:tcPr>
          <w:p>
            <w:r>
              <w:rPr>
                <w:sz w:val="18"/>
              </w:rPr>
              <w:t>UNBS</w:t>
            </w:r>
          </w:p>
        </w:tc>
        <w:tc>
          <w:tcPr>
            <w:tcW w:type="dxa" w:w="4703"/>
            <w:shd w:val="clear" w:color="auto" w:fill="EEF3F9"/>
          </w:tcPr>
          <w:p>
            <w:r>
              <w:rPr>
                <w:sz w:val="18"/>
              </w:rPr>
              <w:t>Uganda National Bureau of Standards</w:t>
            </w:r>
          </w:p>
        </w:tc>
      </w:tr>
      <w:tr>
        <w:tc>
          <w:tcPr>
            <w:tcW w:type="dxa" w:w="4703"/>
            <w:shd w:val="clear" w:color="auto" w:fill="FFFFFF"/>
          </w:tcPr>
          <w:p>
            <w:r>
              <w:rPr>
                <w:sz w:val="18"/>
              </w:rPr>
              <w:t>UNIDO</w:t>
            </w:r>
          </w:p>
        </w:tc>
        <w:tc>
          <w:tcPr>
            <w:tcW w:type="dxa" w:w="4703"/>
            <w:shd w:val="clear" w:color="auto" w:fill="FFFFFF"/>
          </w:tcPr>
          <w:p>
            <w:r>
              <w:rPr>
                <w:sz w:val="18"/>
              </w:rPr>
              <w:t>United Nations Industrial Development Organization</w:t>
            </w:r>
          </w:p>
        </w:tc>
      </w:tr>
      <w:tr>
        <w:tc>
          <w:tcPr>
            <w:tcW w:type="dxa" w:w="4703"/>
            <w:shd w:val="clear" w:color="auto" w:fill="EEF3F9"/>
          </w:tcPr>
          <w:p>
            <w:r>
              <w:rPr>
                <w:sz w:val="18"/>
              </w:rPr>
              <w:t>UNMC</w:t>
            </w:r>
          </w:p>
        </w:tc>
        <w:tc>
          <w:tcPr>
            <w:tcW w:type="dxa" w:w="4703"/>
            <w:shd w:val="clear" w:color="auto" w:fill="EEF3F9"/>
          </w:tcPr>
          <w:p>
            <w:r>
              <w:rPr>
                <w:sz w:val="18"/>
              </w:rPr>
              <w:t>Uganda National Mining Company</w:t>
            </w:r>
          </w:p>
        </w:tc>
      </w:tr>
      <w:tr>
        <w:tc>
          <w:tcPr>
            <w:tcW w:type="dxa" w:w="4703"/>
            <w:shd w:val="clear" w:color="auto" w:fill="FFFFFF"/>
          </w:tcPr>
          <w:p>
            <w:r>
              <w:rPr>
                <w:sz w:val="18"/>
              </w:rPr>
              <w:t>UNRA</w:t>
            </w:r>
          </w:p>
        </w:tc>
        <w:tc>
          <w:tcPr>
            <w:tcW w:type="dxa" w:w="4703"/>
            <w:shd w:val="clear" w:color="auto" w:fill="FFFFFF"/>
          </w:tcPr>
          <w:p>
            <w:r>
              <w:rPr>
                <w:sz w:val="18"/>
              </w:rPr>
              <w:t>Uganda National Roads Authority</w:t>
            </w:r>
          </w:p>
        </w:tc>
      </w:tr>
      <w:tr>
        <w:tc>
          <w:tcPr>
            <w:tcW w:type="dxa" w:w="4703"/>
            <w:shd w:val="clear" w:color="auto" w:fill="EEF3F9"/>
          </w:tcPr>
          <w:p>
            <w:r>
              <w:rPr>
                <w:sz w:val="18"/>
              </w:rPr>
              <w:t>URA</w:t>
            </w:r>
          </w:p>
        </w:tc>
        <w:tc>
          <w:tcPr>
            <w:tcW w:type="dxa" w:w="4703"/>
            <w:shd w:val="clear" w:color="auto" w:fill="EEF3F9"/>
          </w:tcPr>
          <w:p>
            <w:r>
              <w:rPr>
                <w:sz w:val="18"/>
              </w:rPr>
              <w:t>Uganda Revenue Authority</w:t>
            </w:r>
          </w:p>
        </w:tc>
      </w:tr>
      <w:tr>
        <w:tc>
          <w:tcPr>
            <w:tcW w:type="dxa" w:w="4703"/>
            <w:shd w:val="clear" w:color="auto" w:fill="FFFFFF"/>
          </w:tcPr>
          <w:p>
            <w:r>
              <w:rPr>
                <w:sz w:val="18"/>
              </w:rPr>
              <w:t>UGX</w:t>
            </w:r>
          </w:p>
        </w:tc>
        <w:tc>
          <w:tcPr>
            <w:tcW w:type="dxa" w:w="4703"/>
            <w:shd w:val="clear" w:color="auto" w:fill="FFFFFF"/>
          </w:tcPr>
          <w:p>
            <w:r>
              <w:rPr>
                <w:sz w:val="18"/>
              </w:rPr>
              <w:t>Uganda Shilling</w:t>
            </w:r>
          </w:p>
        </w:tc>
      </w:tr>
      <w:tr>
        <w:tc>
          <w:tcPr>
            <w:tcW w:type="dxa" w:w="4703"/>
            <w:shd w:val="clear" w:color="auto" w:fill="EEF3F9"/>
          </w:tcPr>
          <w:p>
            <w:r>
              <w:rPr>
                <w:sz w:val="18"/>
              </w:rPr>
              <w:t>USD</w:t>
            </w:r>
          </w:p>
        </w:tc>
        <w:tc>
          <w:tcPr>
            <w:tcW w:type="dxa" w:w="4703"/>
            <w:shd w:val="clear" w:color="auto" w:fill="EEF3F9"/>
          </w:tcPr>
          <w:p>
            <w:r>
              <w:rPr>
                <w:sz w:val="18"/>
              </w:rPr>
              <w:t>United States Dollar</w:t>
            </w:r>
          </w:p>
        </w:tc>
      </w:tr>
      <w:tr>
        <w:tc>
          <w:tcPr>
            <w:tcW w:type="dxa" w:w="4703"/>
            <w:shd w:val="clear" w:color="auto" w:fill="FFFFFF"/>
          </w:tcPr>
          <w:p>
            <w:r>
              <w:rPr>
                <w:sz w:val="18"/>
              </w:rPr>
              <w:t>VTI</w:t>
            </w:r>
          </w:p>
        </w:tc>
        <w:tc>
          <w:tcPr>
            <w:tcW w:type="dxa" w:w="4703"/>
            <w:shd w:val="clear" w:color="auto" w:fill="FFFFFF"/>
          </w:tcPr>
          <w:p>
            <w:r>
              <w:rPr>
                <w:sz w:val="18"/>
              </w:rPr>
              <w:t>Vocational Training Institute</w:t>
            </w:r>
          </w:p>
        </w:tc>
      </w:tr>
      <w:tr>
        <w:tc>
          <w:tcPr>
            <w:tcW w:type="dxa" w:w="4703"/>
            <w:shd w:val="clear" w:color="auto" w:fill="EEF3F9"/>
          </w:tcPr>
          <w:p>
            <w:r>
              <w:rPr>
                <w:sz w:val="18"/>
              </w:rPr>
              <w:t>WDI</w:t>
            </w:r>
          </w:p>
        </w:tc>
        <w:tc>
          <w:tcPr>
            <w:tcW w:type="dxa" w:w="4703"/>
            <w:shd w:val="clear" w:color="auto" w:fill="EEF3F9"/>
          </w:tcPr>
          <w:p>
            <w:r>
              <w:rPr>
                <w:sz w:val="18"/>
              </w:rPr>
              <w:t>World Development Indicators (World Bank)</w:t>
            </w:r>
          </w:p>
        </w:tc>
      </w:tr>
      <w:tr>
        <w:tc>
          <w:tcPr>
            <w:tcW w:type="dxa" w:w="4703"/>
            <w:shd w:val="clear" w:color="auto" w:fill="FFFFFF"/>
          </w:tcPr>
          <w:p>
            <w:r>
              <w:rPr>
                <w:sz w:val="18"/>
              </w:rPr>
              <w:t>WTO</w:t>
            </w:r>
          </w:p>
        </w:tc>
        <w:tc>
          <w:tcPr>
            <w:tcW w:type="dxa" w:w="4703"/>
            <w:shd w:val="clear" w:color="auto" w:fill="FFFFFF"/>
          </w:tcPr>
          <w:p>
            <w:r>
              <w:rPr>
                <w:sz w:val="18"/>
              </w:rPr>
              <w:t>World Trade Organization</w:t>
            </w:r>
          </w:p>
        </w:tc>
      </w:tr>
    </w:tbl>
    <w:p/>
    <w:p>
      <w:r>
        <w:br w:type="page"/>
      </w:r>
    </w:p>
    <w:p>
      <w:pPr>
        <w:pStyle w:val="Heading1"/>
      </w:pPr>
      <w:r>
        <w:t>Chapter 1: Executive Summary</w:t>
      </w:r>
    </w:p>
    <w:p>
      <w:r>
        <w:rPr>
          <w:b/>
        </w:rPr>
        <w:t>Report:</w:t>
      </w:r>
      <w:r>
        <w:t xml:space="preserve"> Report 1 — Iron &amp; Steel, Copper &amp; Allied Metals, and Automotive Value Chains</w:t>
      </w:r>
    </w:p>
    <w:p>
      <w:r>
        <w:rPr>
          <w:b/>
        </w:rPr>
        <w:t>Client:</w:t>
      </w:r>
      <w:r>
        <w:t xml:space="preserve"> Ministry of Trade, Industry and Cooperatives (MTIC), Uganda</w:t>
      </w:r>
    </w:p>
    <w:p>
      <w:r>
        <w:rPr>
          <w:b/>
        </w:rPr>
        <w:t>Programme:</w:t>
      </w:r>
      <w:r>
        <w:t xml:space="preserve"> Uganda–UNIDO Programme for Country Partnership (PCP) for ISID</w:t>
      </w:r>
    </w:p>
    <w:p>
      <w:r>
        <w:rPr>
          <w:b/>
        </w:rPr>
        <w:t>Status:</w:t>
      </w:r>
      <w:r>
        <w:t xml:space="preserve"> Draft for validation</w:t>
      </w:r>
    </w:p>
    <w:p>
      <w:pPr>
        <w:pStyle w:val="Heading2"/>
      </w:pPr>
      <w:r>
        <w:t>The purpose of this report</w:t>
      </w:r>
    </w:p>
    <w:p>
      <w:r>
        <w:t xml:space="preserve">This diagnostic examines three of Uganda's NDP IV priority manufacturing value chains — </w:t>
      </w:r>
      <w:r>
        <w:rPr>
          <w:b/>
        </w:rPr>
        <w:t>Iron &amp; Steel, Copper &amp; Allied Metals, and Automotives</w:t>
      </w:r>
      <w:r>
        <w:t xml:space="preserve"> — and identifies, for each, the three to four products or sub-sectors Uganda should prioritize to build competitive manufacturing at scale. It is a </w:t>
      </w:r>
      <w:r>
        <w:rPr>
          <w:b/>
        </w:rPr>
        <w:t>desk-based diagnostic, offered for validation</w:t>
      </w:r>
      <w:r>
        <w:t xml:space="preserve"> through key informant interviews and a stakeholder workshop (see Chapter 3). All trade figures are drawn from International Trade Centre (ITC) TradeMap (2024) and cited at the point of use.</w:t>
      </w:r>
    </w:p>
    <w:p>
      <w:r>
        <w:t xml:space="preserve">The guiding principle, set by MTIC, is discipline: </w:t>
      </w:r>
      <w:r>
        <w:rPr>
          <w:i/>
        </w:rPr>
        <w:t>successful economies are built around a few products done exceptionally well, not a broad catalogue.</w:t>
      </w:r>
      <w:r>
        <w:t xml:space="preserve"> This report therefore states not only what Uganda should pursue, but what it should not.</w:t>
      </w:r>
    </w:p>
    <w:p>
      <w:pPr>
        <w:pStyle w:val="Heading2"/>
      </w:pPr>
      <w:r>
        <w:t>The integrating insight</w:t>
      </w:r>
    </w:p>
    <w:p>
      <w:r>
        <w:t xml:space="preserve">The three chains are not separate. They form </w:t>
      </w:r>
      <w:r>
        <w:rPr>
          <w:b/>
        </w:rPr>
        <w:t>one industrial system: mined metal → processed metal → fabricated product → vehicle.</w:t>
      </w:r>
      <w:r>
        <w:t xml:space="preserve"> Iron and copper feed steel and cable; steel and cable feed vehicles built by Kiira Motors. The same constraints — energy, logistics, finance, feedstock policy — run through all three. Fixing them once lifts the whole system. This integrated framing is the strategic core of Report 1.</w:t>
      </w:r>
    </w:p>
    <w:p>
      <w:pPr>
        <w:pStyle w:val="Heading2"/>
      </w:pPr>
      <w:r>
        <w:t>What the evidence shows</w:t>
      </w:r>
    </w:p>
    <w:p>
      <w:r>
        <w:t xml:space="preserve">Uganda's manufacturing sector contributes about </w:t>
      </w:r>
      <w:r>
        <w:rPr>
          <w:b/>
        </w:rPr>
        <w:t>15.2% of Gross Domestic Product (GDP) (2024)</w:t>
      </w:r>
      <w:r>
        <w:t xml:space="preserve"> — below even the National Industrial Policy's own 2029/30 target of ~16% — at roughly 30% capacity utilization (World Bank; NIP 2020). Across all three Report 1 chains, the same pattern recurs: </w:t>
      </w:r>
      <w:r>
        <w:rPr>
          <w:b/>
        </w:rPr>
        <w:t>Uganda exports raw materials and imports the processed product</w:t>
      </w:r>
      <w:r>
        <w:t>, forgoing the value, jobs, and foreign exchange in between.</w:t>
      </w:r>
    </w:p>
    <w:p>
      <w:pPr>
        <w:pStyle w:val="ListBullet"/>
      </w:pPr>
      <w:r>
        <w:rPr>
          <w:b/>
        </w:rPr>
        <w:t>Iron &amp; Steel:</w:t>
      </w:r>
      <w:r>
        <w:t xml:space="preserve"> Uganda is competitive in finished long products — exporting </w:t>
      </w:r>
      <w:r>
        <w:rPr>
          <w:b/>
        </w:rPr>
        <w:t>United States Dollar (USD) 55.8m of rebar</w:t>
      </w:r>
      <w:r>
        <w:t xml:space="preserve"> in 2024, mostly to South Sudan and the Democratic Republic of Congo (DRC) — but imports </w:t>
      </w:r>
      <w:r>
        <w:rPr>
          <w:b/>
        </w:rPr>
        <w:t>USD 219.5m of flat steel</w:t>
      </w:r>
      <w:r>
        <w:t xml:space="preserve"> and </w:t>
      </w:r>
      <w:r>
        <w:rPr>
          <w:b/>
        </w:rPr>
        <w:t>USD 78.5m of semi-finished steel</w:t>
      </w:r>
      <w:r>
        <w:t xml:space="preserve">, and </w:t>
      </w:r>
      <w:r>
        <w:rPr>
          <w:b/>
        </w:rPr>
        <w:t>exports USD 35.8m of iron ore raw</w:t>
      </w:r>
      <w:r>
        <w:t xml:space="preserve"> (ITC TradeMap, 2024). The missing middle is ironmaking and flat-rolling. Momentum is real: Tembo Steel's new DRI plant (Jan 2025) and Devki's USD 500m integrated complex (ground broken Nov 2025).</w:t>
      </w:r>
    </w:p>
    <w:p>
      <w:pPr>
        <w:pStyle w:val="ListBullet"/>
      </w:pPr>
      <w:r>
        <w:rPr>
          <w:b/>
        </w:rPr>
        <w:t>Copper &amp; Allied Metals:</w:t>
      </w:r>
      <w:r>
        <w:t xml:space="preserve"> Uganda has a dormant world-class resource (Kilembe: 6.5m t ore at 1.77% Cu, plus cobalt) and an established cable industry (Cable Corporation, ~65% market share) that runs on imported metal. It imports </w:t>
      </w:r>
      <w:r>
        <w:rPr>
          <w:b/>
        </w:rPr>
        <w:t>USD 57.7m of insulated cable</w:t>
      </w:r>
      <w:r>
        <w:t xml:space="preserve"> a year. The </w:t>
      </w:r>
      <w:r>
        <w:rPr>
          <w:b/>
        </w:rPr>
        <w:t>March 2025 production-sharing agreement</w:t>
      </w:r>
      <w:r>
        <w:t xml:space="preserve"> to revive Kilembe could reopen the midstream for the first time in a generation.</w:t>
      </w:r>
    </w:p>
    <w:p>
      <w:pPr>
        <w:pStyle w:val="ListBullet"/>
      </w:pPr>
      <w:r>
        <w:rPr>
          <w:b/>
        </w:rPr>
        <w:t>Automotives:</w:t>
      </w:r>
      <w:r>
        <w:t xml:space="preserve"> Uganda imports over </w:t>
      </w:r>
      <w:r>
        <w:rPr>
          <w:b/>
        </w:rPr>
        <w:t>USD 650m of vehicles and parts annually</w:t>
      </w:r>
      <w:r>
        <w:t xml:space="preserve"> (~48,700 used vehicles) while having just commissioned, in September 2025, the </w:t>
      </w:r>
      <w:r>
        <w:rPr>
          <w:b/>
        </w:rPr>
        <w:t>Kiira Motors vehicle plant</w:t>
      </w:r>
      <w:r>
        <w:t xml:space="preserve"> (2,500→10,000 vehicles/year; electric buses). The opportunity is buses/EVs, motorcycle assembly, and parts — not full car manufacture.</w:t>
      </w:r>
    </w:p>
    <w:p>
      <w:pPr>
        <w:pStyle w:val="Heading2"/>
      </w:pPr>
      <w:r>
        <w:t>Prioritized products (the core recommendation)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Chain</w:t>
            </w:r>
          </w:p>
        </w:tc>
        <w:tc>
          <w:tcPr>
            <w:tcW w:type="dxa" w:w="3135"/>
            <w:shd w:val="clear" w:color="auto" w:fill="002B5B"/>
          </w:tcPr>
          <w:p>
            <w:r>
              <w:rPr>
                <w:b/>
                <w:color w:val="FFFFFF"/>
                <w:sz w:val="18"/>
              </w:rPr>
              <w:t>Priorities</w:t>
            </w:r>
          </w:p>
        </w:tc>
        <w:tc>
          <w:tcPr>
            <w:tcW w:type="dxa" w:w="3135"/>
            <w:shd w:val="clear" w:color="auto" w:fill="002B5B"/>
          </w:tcPr>
          <w:p>
            <w:r>
              <w:rPr>
                <w:b/>
                <w:color w:val="FFFFFF"/>
                <w:sz w:val="18"/>
              </w:rPr>
              <w:t>Deprioritize (for now)</w:t>
            </w:r>
          </w:p>
        </w:tc>
      </w:tr>
      <w:tr>
        <w:tc>
          <w:tcPr>
            <w:tcW w:type="dxa" w:w="3135"/>
            <w:shd w:val="clear" w:color="auto" w:fill="EEF3F9"/>
          </w:tcPr>
          <w:p>
            <w:r>
              <w:rPr>
                <w:b/>
                <w:sz w:val="18"/>
              </w:rPr>
              <w:t>Iron &amp; Steel</w:t>
            </w:r>
          </w:p>
        </w:tc>
        <w:tc>
          <w:tcPr>
            <w:tcW w:type="dxa" w:w="3135"/>
            <w:shd w:val="clear" w:color="auto" w:fill="EEF3F9"/>
          </w:tcPr>
          <w:p>
            <w:r>
              <w:rPr>
                <w:sz w:val="18"/>
              </w:rPr>
              <w:t>(1) Ironmaking/DRI on domestic ore; (2) Flat-steel production; (3) Long products (defend &amp; expand); (4) Iron-ore mining &amp; beneficiation</w:t>
            </w:r>
          </w:p>
        </w:tc>
        <w:tc>
          <w:tcPr>
            <w:tcW w:type="dxa" w:w="3135"/>
            <w:shd w:val="clear" w:color="auto" w:fill="EEF3F9"/>
          </w:tcPr>
          <w:p>
            <w:r>
              <w:rPr>
                <w:sz w:val="18"/>
              </w:rPr>
              <w:t>Specialty/alloy steels; commodity flat-steel for global export</w:t>
            </w:r>
          </w:p>
        </w:tc>
      </w:tr>
      <w:tr>
        <w:tc>
          <w:tcPr>
            <w:tcW w:type="dxa" w:w="3135"/>
            <w:shd w:val="clear" w:color="auto" w:fill="FFFFFF"/>
          </w:tcPr>
          <w:p>
            <w:r>
              <w:rPr>
                <w:b/>
                <w:sz w:val="18"/>
              </w:rPr>
              <w:t>Copper</w:t>
            </w:r>
          </w:p>
        </w:tc>
        <w:tc>
          <w:tcPr>
            <w:tcW w:type="dxa" w:w="3135"/>
            <w:shd w:val="clear" w:color="auto" w:fill="FFFFFF"/>
          </w:tcPr>
          <w:p>
            <w:r>
              <w:rPr>
                <w:sz w:val="18"/>
              </w:rPr>
              <w:t>(1) Insulated wire &amp; cable; (2) Kilembe cathode &amp; cobalt; (3) Copper wire-rod/semi-fabrication</w:t>
            </w:r>
          </w:p>
        </w:tc>
        <w:tc>
          <w:tcPr>
            <w:tcW w:type="dxa" w:w="3135"/>
            <w:shd w:val="clear" w:color="auto" w:fill="FFFFFF"/>
          </w:tcPr>
          <w:p>
            <w:r>
              <w:rPr>
                <w:sz w:val="18"/>
              </w:rPr>
              <w:t>Greenfield primary smelting for global cathode export</w:t>
            </w:r>
          </w:p>
        </w:tc>
      </w:tr>
      <w:tr>
        <w:tc>
          <w:tcPr>
            <w:tcW w:type="dxa" w:w="3135"/>
            <w:shd w:val="clear" w:color="auto" w:fill="EEF3F9"/>
          </w:tcPr>
          <w:p>
            <w:r>
              <w:rPr>
                <w:b/>
                <w:sz w:val="18"/>
              </w:rPr>
              <w:t>Automotive</w:t>
            </w:r>
          </w:p>
        </w:tc>
        <w:tc>
          <w:tcPr>
            <w:tcW w:type="dxa" w:w="3135"/>
            <w:shd w:val="clear" w:color="auto" w:fill="EEF3F9"/>
          </w:tcPr>
          <w:p>
            <w:r>
              <w:rPr>
                <w:sz w:val="18"/>
              </w:rPr>
              <w:t>(1) Buses/EV buses (KMC anchor); (2) Motorcycle CKD assembly; (3) Spare-parts localisation</w:t>
            </w:r>
          </w:p>
        </w:tc>
        <w:tc>
          <w:tcPr>
            <w:tcW w:type="dxa" w:w="3135"/>
            <w:shd w:val="clear" w:color="auto" w:fill="EEF3F9"/>
          </w:tcPr>
          <w:p>
            <w:r>
              <w:rPr>
                <w:sz w:val="18"/>
              </w:rPr>
              <w:t>Full ground-up passenger-car manufacture (CKD assembly conditional)</w:t>
            </w:r>
          </w:p>
        </w:tc>
      </w:tr>
    </w:tbl>
    <w:p/>
    <w:p>
      <w:pPr>
        <w:pStyle w:val="Heading2"/>
      </w:pPr>
      <w:r>
        <w:t>The six cross-cutting actions</w:t>
      </w:r>
    </w:p>
    <w:p>
      <w:pPr>
        <w:pStyle w:val="ListNumber"/>
      </w:pPr>
      <w:r>
        <w:rPr>
          <w:b/>
        </w:rPr>
        <w:t>Retain and process minerals domestically</w:t>
      </w:r>
      <w:r>
        <w:t xml:space="preserve"> — tax/restrict raw-ore exports; prioritise beneficiation. </w:t>
      </w:r>
      <w:r>
        <w:rPr>
          <w:i/>
        </w:rPr>
        <w:t>(Highest-leverage single action.)</w:t>
      </w:r>
    </w:p>
    <w:p>
      <w:pPr>
        <w:pStyle w:val="ListNumber"/>
      </w:pPr>
      <w:r>
        <w:rPr>
          <w:b/>
        </w:rPr>
        <w:t>Build serviced industrial parks with reliable power</w:t>
      </w:r>
      <w:r>
        <w:t xml:space="preserve"> for metals and automotive clusters.</w:t>
      </w:r>
    </w:p>
    <w:p>
      <w:pPr>
        <w:pStyle w:val="ListNumber"/>
      </w:pPr>
      <w:r>
        <w:rPr>
          <w:b/>
        </w:rPr>
        <w:t>Create a long-term industrial-finance facility</w:t>
      </w:r>
      <w:r>
        <w:t xml:space="preserve"> to overcome the capital constraint (2025 liquidity tightening has crowded out private credit).</w:t>
      </w:r>
    </w:p>
    <w:p>
      <w:pPr>
        <w:pStyle w:val="ListNumber"/>
      </w:pPr>
      <w:r>
        <w:rPr>
          <w:b/>
        </w:rPr>
        <w:t>Enforce UNBS standards</w:t>
      </w:r>
      <w:r>
        <w:t xml:space="preserve"> on steel and cable imports. </w:t>
      </w:r>
      <w:r>
        <w:rPr>
          <w:i/>
        </w:rPr>
        <w:t>(Quick win.)</w:t>
      </w:r>
    </w:p>
    <w:p>
      <w:pPr>
        <w:pStyle w:val="ListNumber"/>
      </w:pPr>
      <w:r>
        <w:rPr>
          <w:b/>
        </w:rPr>
        <w:t>Launch a metals/automotive/EV skills compact</w:t>
      </w:r>
      <w:r>
        <w:t xml:space="preserve"> (68% of manufacturers cannot find needed technical skills).</w:t>
      </w:r>
    </w:p>
    <w:p>
      <w:pPr>
        <w:pStyle w:val="ListNumber"/>
      </w:pPr>
      <w:r>
        <w:rPr>
          <w:b/>
        </w:rPr>
        <w:t>Anchor demand through public procurement</w:t>
      </w:r>
      <w:r>
        <w:t xml:space="preserve"> — infrastructure steel, grid cable, KMC buses.</w:t>
      </w:r>
    </w:p>
    <w:p>
      <w:pPr>
        <w:pStyle w:val="Heading2"/>
      </w:pPr>
      <w:r>
        <w:t>Investment portfolio</w:t>
      </w:r>
    </w:p>
    <w:p>
      <w:r>
        <w:t xml:space="preserve">Seven priority investments total an </w:t>
      </w:r>
      <w:r>
        <w:rPr>
          <w:b/>
        </w:rPr>
        <w:t>indicative USD 1.0–2.0 billion over five years</w:t>
      </w:r>
      <w:r>
        <w:t xml:space="preserve"> (figures indicative, pending feasibility), dominated by the integrated steel complex and Kilembe redevelopment, and mostly private- or investor-financed. The roadmap sequences </w:t>
      </w:r>
      <w:r>
        <w:rPr>
          <w:b/>
        </w:rPr>
        <w:t>policy and demand anchors in Year 1, feedstock/power/finance in Years 2–3, and major capital builds in Years 4–5</w:t>
      </w:r>
      <w:r>
        <w:t xml:space="preserve"> — so that large plants are not built without ore, power, or demand. Full profiles are in Chapter 8.</w:t>
      </w:r>
    </w:p>
    <w:p>
      <w:pPr>
        <w:pStyle w:val="Heading2"/>
      </w:pPr>
      <w:r>
        <w:t>Bottom line for decision-makers</w:t>
      </w:r>
    </w:p>
    <w:p>
      <w:r>
        <w:t xml:space="preserve">Uganda already has the anchors — Tembo and Devki in steel, the Kilembe revival and Cable Corporation in copper, Kiira Motors in automotive. What is missing is the </w:t>
      </w:r>
      <w:r>
        <w:rPr>
          <w:b/>
        </w:rPr>
        <w:t>connective tissue</w:t>
      </w:r>
      <w:r>
        <w:t xml:space="preserve">: domestic feedstock, reliable industrial power, long-term finance, enforced standards, and skills. The decision this report supports is to </w:t>
      </w:r>
      <w:r>
        <w:rPr>
          <w:b/>
        </w:rPr>
        <w:t>concentrate scarce resources on the prioritized products above and the six cross-cutting actions</w:t>
      </w:r>
      <w:r>
        <w:t>, turning Uganda's resource endowment and its new industrial anchors into a competitive metals-to-mobility system — rather than spreading effort thinly across everything.</w:t>
      </w:r>
    </w:p>
    <w:p>
      <w:r>
        <w:rPr>
          <w:i/>
        </w:rPr>
        <w:t>This summary reflects desk-based findings to be confirmed through the validation step in Chapter 3.</w:t>
      </w:r>
    </w:p>
    <w:p>
      <w:r>
        <w:br w:type="page"/>
      </w:r>
    </w:p>
    <w:p>
      <w:pPr>
        <w:pStyle w:val="Heading1"/>
      </w:pPr>
      <w:r>
        <w:t>Chapter 2: Background and Policy Context</w:t>
      </w:r>
    </w:p>
    <w:p>
      <w:r>
        <w:rPr>
          <w:b/>
        </w:rPr>
        <w:t>Report:</w:t>
      </w:r>
      <w:r>
        <w:t xml:space="preserve"> Report 1 — Iron &amp; Steel, Copper &amp; Allied Metals, and Automotive Value Chains</w:t>
      </w:r>
    </w:p>
    <w:p>
      <w:r>
        <w:rPr>
          <w:b/>
        </w:rPr>
        <w:t>Status:</w:t>
      </w:r>
      <w:r>
        <w:t xml:space="preserve"> Draft for validation</w:t>
      </w:r>
    </w:p>
    <w:p>
      <w:r>
        <w:rPr>
          <w:b/>
        </w:rPr>
        <w:t>Terms of Reference (ToR) Reference:</w:t>
      </w:r>
      <w:r>
        <w:t xml:space="preserve"> MTIC-Diagnostic Study on Iron &amp; Steel, Copper.docx</w:t>
      </w:r>
    </w:p>
    <w:p>
      <w:pPr>
        <w:pStyle w:val="Heading2"/>
      </w:pPr>
      <w:r>
        <w:t>2.1 Uganda's Industrialization Ambition</w:t>
      </w:r>
    </w:p>
    <w:p>
      <w:r>
        <w:t>Uganda has set out an ambitious long-term industrialization trajectory anchored in a hierarchy of national planning instruments. These instruments collectively define the targets, sectoral priorities, and institutional responsibilities that frame this diagnostic study.</w:t>
      </w:r>
    </w:p>
    <w:p>
      <w:r>
        <w:rPr>
          <w:b/>
        </w:rPr>
        <w:t>Uganda Vision 2040</w:t>
      </w:r>
      <w:r>
        <w:t xml:space="preserve"> sets the overarching national direction: transformation from a predominantly peasant and low-income economy to a competitive upper-middle-income country. The Vision targets a GDP of approximately USD 581 billion and a per capita income of USD 9,500 by 2040, with industrialization — particularly mineral-based and agro-processing manufacturing — as a central engine of this transformation (National Planning Authority, </w:t>
      </w:r>
      <w:r>
        <w:rPr>
          <w:i/>
        </w:rPr>
        <w:t>Uganda Vision 2040</w:t>
      </w:r>
      <w:r>
        <w:t>).</w:t>
      </w:r>
    </w:p>
    <w:p>
      <w:r>
        <w:rPr>
          <w:b/>
        </w:rPr>
        <w:t>The Fourth National Development Plan (NDP IV), FY2025/26–2029/30</w:t>
      </w:r>
      <w:r>
        <w:t xml:space="preserve"> is the current medium-term plan, approved by Parliament in January 2026 under the theme </w:t>
      </w:r>
      <w:r>
        <w:rPr>
          <w:i/>
        </w:rPr>
        <w:t>"Sustainable Industrialization for inclusive growth, employment, and wealth creation"</w:t>
      </w:r>
      <w:r>
        <w:t xml:space="preserve"> (Parliament of Uganda, NDP IV approval, Jan 2026). NDP IV targets growing GDP to USD 158 billion by FY2029/30 (from USD 53.2 billion in FY2023/24), raising per capita income to USD 2,008 (from USD 1,146), and lifting the annual GDP growth rate to 10.1% by FY2029/30 (Ministry of Finance, Planning and Economic Development, NDP IV presentation to Parliament). Manufacturing and value addition are placed at the centre of this strategy, and Iron &amp; Steel, Copper &amp; Allied Metals, and Automotives are among the priority manufacturing value chains identified for industrial-policy intervention, anchored in Uganda's mineral resource endowment.</w:t>
      </w:r>
    </w:p>
    <w:p>
      <w:r>
        <w:rPr>
          <w:b/>
        </w:rPr>
        <w:t>The National Industrial Policy (NIP) 2020</w:t>
      </w:r>
      <w:r>
        <w:t xml:space="preserve"> provides the sector-specific framework within which the NDP industrial targets are pursued. The NIP sets the goal of increasing the manufacturing sector's contribution to GDP and deepening domestic value addition, reducing dependence on imported intermediate and capital goods, and linking industrial development to Uganda's natural-resource base (MTIC, </w:t>
      </w:r>
      <w:r>
        <w:rPr>
          <w:i/>
        </w:rPr>
        <w:t>National Industrial Policy 2020</w:t>
      </w:r>
      <w:r>
        <w:t>). It designates MTIC as the lead coordinating ministry for industrial-policy implementation and calls for targeted diagnostics of priority value chains as the analytical foundation for investment and reform — the mandate under which this study is produced.</w:t>
      </w:r>
    </w:p>
    <w:p>
      <w:r>
        <w:rPr>
          <w:b/>
        </w:rPr>
        <w:t>The MTIC Strategic Plan</w:t>
      </w:r>
      <w:r>
        <w:t xml:space="preserve"> translates NIP objectives into ministerial priorities: facilitating private-sector investment in priority industries, leading technical working groups for value-chain development, coordinating with Uganda Investment Authority (UIA), Uganda Export Promotion Board (UEPB), Uganda National Bureau of Standards (UNBS), and other agencies, and mobilizing development-partner support.</w:t>
      </w:r>
    </w:p>
    <w:p>
      <w:r>
        <w:rPr>
          <w:b/>
        </w:rPr>
        <w:t>The Tenfold Growth Strategy</w:t>
      </w:r>
      <w:r>
        <w:t xml:space="preserve"> sets Uganda's most ambitious long-horizon target: growing the economy roughly tenfold, from around USD 50 billion to USD 500 billion, organized around four drivers summarized as </w:t>
      </w:r>
      <w:r>
        <w:rPr>
          <w:b/>
        </w:rPr>
        <w:t>ATMs — Agro-industrialization, Tourism, Minerals (and mineral-based industrialization), and Science, Technology and Innovation (STI)</w:t>
      </w:r>
      <w:r>
        <w:t xml:space="preserve"> (Ministry of Finance / NDP IV launch materials, 2025). Mineral-based industrialization — including steel, copper, and automotive manufacturing — is a primary pillar, requiring a structural shift from low-value raw-material exports to processed and manufactured goods.</w:t>
      </w:r>
    </w:p>
    <w:p>
      <w:pPr>
        <w:pStyle w:val="Heading2"/>
      </w:pPr>
      <w:r>
        <w:t>2.2 The Uganda–UNIDO Programme for Country Partnership</w:t>
      </w:r>
    </w:p>
    <w:p>
      <w:r>
        <w:t xml:space="preserve">The Uganda–UNIDO Programme for Country Partnership (PCP) for Inclusive and Sustainable Industrial Development (ISID) is the multilateral cooperation framework within which this diagnostic study is produced. The PCP is a government-led partnership model developed by UNIDO to mobilize coordinated technical assistance and investment around a country's industrial-development priorities (UNIDO, </w:t>
      </w:r>
      <w:r>
        <w:rPr>
          <w:i/>
        </w:rPr>
        <w:t>Programme for Country Partnership</w:t>
      </w:r>
      <w:r>
        <w:t>).</w:t>
      </w:r>
    </w:p>
    <w:p>
      <w:r>
        <w:t>The Uganda PCP operates across six priority areas:</w:t>
      </w:r>
    </w:p>
    <w:p>
      <w:pPr>
        <w:pStyle w:val="ListNumber"/>
      </w:pPr>
      <w:r>
        <w:rPr>
          <w:b/>
        </w:rPr>
        <w:t>Strengthening industrial policy implementation and institutional coordination</w:t>
      </w:r>
      <w:r>
        <w:t xml:space="preserve"> — supporting MTIC and line agencies to design, implement, and monitor industrial policy effectively.</w:t>
      </w:r>
    </w:p>
    <w:p>
      <w:pPr>
        <w:pStyle w:val="ListNumber"/>
      </w:pPr>
      <w:r>
        <w:rPr>
          <w:b/>
        </w:rPr>
        <w:t>Mobilizing large-scale public and private investment for agro- and mineral-based industrialization</w:t>
      </w:r>
      <w:r>
        <w:t xml:space="preserve"> — developing the investment pipeline in priority value chains and creating conditions for private capital mobilization.</w:t>
      </w:r>
    </w:p>
    <w:p>
      <w:pPr>
        <w:pStyle w:val="ListNumber"/>
      </w:pPr>
      <w:r>
        <w:rPr>
          <w:b/>
        </w:rPr>
        <w:t>Supporting sustainable industrial parks and free zones</w:t>
      </w:r>
      <w:r>
        <w:t xml:space="preserve"> — developing infrastructure that clusters manufacturing activity, reduces per-firm costs, and attracts foreign direct investment.</w:t>
      </w:r>
    </w:p>
    <w:p>
      <w:pPr>
        <w:pStyle w:val="ListNumber"/>
      </w:pPr>
      <w:r>
        <w:rPr>
          <w:b/>
        </w:rPr>
        <w:t>Strengthening national standards, quality infrastructure, and accreditation systems</w:t>
      </w:r>
      <w:r>
        <w:t xml:space="preserve"> — building Uganda's capacity to meet international standards requirements, a binding constraint to export competitiveness.</w:t>
      </w:r>
    </w:p>
    <w:p>
      <w:pPr>
        <w:pStyle w:val="ListNumber"/>
      </w:pPr>
      <w:r>
        <w:rPr>
          <w:b/>
        </w:rPr>
        <w:t>Advancing green industry, circular economy, and Industry 4.0 solutions</w:t>
      </w:r>
      <w:r>
        <w:t xml:space="preserve"> — embedding environmental sustainability and technology upgrading into Uganda's industrial-development model.</w:t>
      </w:r>
    </w:p>
    <w:p>
      <w:pPr>
        <w:pStyle w:val="ListNumber"/>
      </w:pPr>
      <w:r>
        <w:rPr>
          <w:b/>
        </w:rPr>
        <w:t>Supporting productive use of renewable energy and energy efficiency</w:t>
      </w:r>
      <w:r>
        <w:t xml:space="preserve"> — reducing energy costs for manufacturers, which remain a significant competitiveness constraint.</w:t>
      </w:r>
    </w:p>
    <w:p>
      <w:r>
        <w:t>This diagnostic study directly supports PCP Priority Areas 1 and 2. Its findings are intended as technical inputs into PCP formulation, partner coordination, and investment mobilization specifically for the Iron &amp; Steel, Copper &amp; Allied Metals, and Automotive value chains.</w:t>
      </w:r>
    </w:p>
    <w:p>
      <w:pPr>
        <w:pStyle w:val="Heading2"/>
      </w:pPr>
      <w:r>
        <w:t>2.3 Current State of Uganda's Manufacturing Sector</w:t>
      </w:r>
    </w:p>
    <w:p>
      <w:r>
        <w:t xml:space="preserve">Uganda's manufacturing sector operates below its potential. Manufacturing value added was approximately </w:t>
      </w:r>
      <w:r>
        <w:rPr>
          <w:b/>
        </w:rPr>
        <w:t>15.2% of GDP in 2024</w:t>
      </w:r>
      <w:r>
        <w:t xml:space="preserve"> (World Bank, World Development Indicators), having eased from about 16.4% in 2022. The NIP 2020 sets a target of raising manufacturing's share toward </w:t>
      </w:r>
      <w:r>
        <w:rPr>
          <w:b/>
        </w:rPr>
        <w:t>16% by 2029/30</w:t>
      </w:r>
      <w:r>
        <w:t xml:space="preserve"> — meaning the </w:t>
      </w:r>
      <w:r>
        <w:rPr>
          <w:i/>
        </w:rPr>
        <w:t>current</w:t>
      </w:r>
      <w:r>
        <w:t xml:space="preserve"> share sits below even the medium-term policy target, underscoring the scale of the structural challenge (MTIC, </w:t>
      </w:r>
      <w:r>
        <w:rPr>
          <w:i/>
        </w:rPr>
        <w:t>National Industrial Policy 2020</w:t>
      </w:r>
      <w:r>
        <w:t>; World Bank WDI).</w:t>
      </w:r>
    </w:p>
    <w:p>
      <w:pPr>
        <w:pStyle w:val="IntenseQuote"/>
      </w:pPr>
      <w:r>
        <w:rPr>
          <w:b/>
        </w:rPr>
        <w:t>DATA NOTE:</w:t>
      </w:r>
      <w:r>
        <w:t xml:space="preserve"> The widely cited "30% capacity utilization" figure should be confirmed against the latest UBOS Business Establishment / Index of Industrial Production data before finalization. It is used here as indicative and attributed accordingly.</w:t>
      </w:r>
    </w:p>
    <w:p>
      <w:r>
        <w:t>Manufacturing capacity utilization is estimated at around 30% on average (indicative; to be confirmed from latest UBOS data). Low utilization means manufacturers carry high fixed costs per unit of output, weakening competitiveness against imports and constraining reinvestment.</w:t>
      </w:r>
    </w:p>
    <w:p>
      <w:r>
        <w:t>Key structural characteristics relevant to this report:</w:t>
      </w:r>
    </w:p>
    <w:p>
      <w:pPr>
        <w:pStyle w:val="ListBullet"/>
      </w:pPr>
      <w:r>
        <w:rPr>
          <w:b/>
        </w:rPr>
        <w:t>High import dependency in metals and capital goods</w:t>
      </w:r>
      <w:r>
        <w:t xml:space="preserve"> — Uganda imports the majority of its flat steel, copper products, fabricated metal goods, and vehicle parts, creating chronic current-account pressure and a large opportunity for domestic value addition (ITC TradeMap, HS 72/73/74/87, 2024).</w:t>
      </w:r>
    </w:p>
    <w:p>
      <w:pPr>
        <w:pStyle w:val="ListBullet"/>
      </w:pPr>
      <w:r>
        <w:rPr>
          <w:b/>
        </w:rPr>
        <w:t>Underdeveloped upstream mineral processing</w:t>
      </w:r>
      <w:r>
        <w:t xml:space="preserve"> — Uganda has significant iron-ore and copper deposits that remain largely under-exploited commercially. The gap between resource endowment and the manufacturing base is the defining structural challenge for the Report 1 chains.</w:t>
      </w:r>
    </w:p>
    <w:p>
      <w:pPr>
        <w:pStyle w:val="ListBullet"/>
      </w:pPr>
      <w:r>
        <w:rPr>
          <w:b/>
        </w:rPr>
        <w:t>Growing infrastructure demand</w:t>
      </w:r>
      <w:r>
        <w:t xml:space="preserve"> — national and regional infrastructure investment is accelerating, driving demand for steel, copper, and automotive products Uganda currently imports.</w:t>
      </w:r>
    </w:p>
    <w:p>
      <w:pPr>
        <w:pStyle w:val="ListBullet"/>
      </w:pPr>
      <w:r>
        <w:rPr>
          <w:b/>
        </w:rPr>
        <w:t>A still-shallow export base in metals</w:t>
      </w:r>
      <w:r>
        <w:t xml:space="preserve"> — over 70% of Uganda's manufactured exports go to regional markets, but in metals Uganda participates mainly as a re-exporter of downstream finished products rather than as an upstream processor (Uganda Investment Authority, 2025).</w:t>
      </w:r>
    </w:p>
    <w:p>
      <w:r>
        <w:t>Despite these constraints, the Report 1 chains rest on genuine foundations: substantial iron-ore and copper reserves, a growing domestic and regional market, improving infrastructure connectivity, and a young, growing labour force.</w:t>
      </w:r>
    </w:p>
    <w:p>
      <w:pPr>
        <w:pStyle w:val="Heading2"/>
      </w:pPr>
      <w:r>
        <w:t>2.4 Rationale for the Three Priority Value Chains in This Report</w:t>
      </w:r>
    </w:p>
    <w:p>
      <w:r>
        <w:t xml:space="preserve">The three value chains — Iron &amp; Steel, Copper &amp; Allied Metals, and Automotives — were selected by MTIC through a prioritization process drawing on NDP IV designations, NIP sectoral priorities, Uganda's mineral endowments, import-substitution potential, and the structure of regional export markets. They also form an integrated industrial chain: </w:t>
      </w:r>
      <w:r>
        <w:rPr>
          <w:b/>
        </w:rPr>
        <w:t>mined metal → processed metal → consumer/capital product</w:t>
      </w:r>
      <w:r>
        <w:t>, culminating in domestic vehicle manufacturing.</w:t>
      </w:r>
    </w:p>
    <w:p>
      <w:r>
        <w:rPr>
          <w:b/>
        </w:rPr>
        <w:t>Iron &amp; Steel</w:t>
      </w:r>
      <w:r>
        <w:t xml:space="preserve"> was selected because Uganda holds substantial iron-ore deposits (notably high-grade hematite and magnetite in the south-west and Muko area), while importing the bulk of its flat steel and semi-finished steel. The National Planning Authority (NPA)/UDC </w:t>
      </w:r>
      <w:r>
        <w:rPr>
          <w:i/>
        </w:rPr>
        <w:t>Mapping and Value Chain Analysis for Uganda's Iron and Steel Industry</w:t>
      </w:r>
      <w:r>
        <w:t xml:space="preserve"> (June 2025) records installed capacity of roughly 1.68 million tonnes per annum at about 30% utilization, with the deepest gap in upstream ironmaking and flat-steel production. Iron and steel is the foundational input for construction, infrastructure, and all downstream metal manufacturing.</w:t>
      </w:r>
    </w:p>
    <w:p>
      <w:r>
        <w:rPr>
          <w:b/>
        </w:rPr>
        <w:t>Copper &amp; Allied Metals</w:t>
      </w:r>
      <w:r>
        <w:t xml:space="preserve"> was selected on the basis of Uganda's copper endowment, particularly the </w:t>
      </w:r>
      <w:r>
        <w:rPr>
          <w:b/>
        </w:rPr>
        <w:t>Kilembe mine</w:t>
      </w:r>
      <w:r>
        <w:t xml:space="preserve"> in Kasese District — estimated to hold in excess of 6.5 million tonnes of copper ore at 1.77% copper grade, plus associated cobalt (Directorate of Geological Survey and Mines). In March 2025, Government signed its first mineral production-sharing agreement, with Sarrai Group and Nile Fibreboard, to redevelop Kilembe for copper-cathode and cobalt production (Mining Weekly, March 2025). Downstream, Uganda has an established cable-manufacturing base — led by Cable Corporation Limited (Mehta Group), which holds roughly 65% of the domestic market — but limited primary copper refining.</w:t>
      </w:r>
    </w:p>
    <w:p>
      <w:r>
        <w:rPr>
          <w:b/>
        </w:rPr>
        <w:t>Automotives</w:t>
      </w:r>
      <w:r>
        <w:t xml:space="preserve"> was selected because Uganda has made a strategic commitment to domestic vehicle manufacturing through </w:t>
      </w:r>
      <w:r>
        <w:rPr>
          <w:b/>
        </w:rPr>
        <w:t>Kiira Motors Corporation (KMC)</w:t>
      </w:r>
      <w:r>
        <w:t>, whose vehicle plant at Jinja was commissioned on 27 September 2025 with an installed capacity of 2,500 vehicles per year, targeting 10,000 in the medium term (Uganda Broadcasting Corporation; Kiira Motors Corporation). Steel and copper are direct inputs to vehicle manufacturing, creating natural forward linkages across all three Report 1 chains. Uganda imports roughly 48,700 used vehicles annually, underscoring the scale of the domestic market currently met by imports (Mobility Foresights, Uganda Used Car Market).</w:t>
      </w:r>
    </w:p>
    <w:p>
      <w:r>
        <w:t xml:space="preserve">The analytical question across all three chains is identical: given Uganda's resource base, competitive position, and institutional capacity, </w:t>
      </w:r>
      <w:r>
        <w:rPr>
          <w:b/>
        </w:rPr>
        <w:t>which 3–4 products or sub-sectors within each chain offer the most credible path to competitive manufacturing at scale?</w:t>
      </w:r>
      <w:r>
        <w:t xml:space="preserve"> This report provides that prioritization.</w:t>
      </w:r>
    </w:p>
    <w:p>
      <w:pPr>
        <w:pStyle w:val="Heading2"/>
      </w:pPr>
      <w:r>
        <w:t>2.5 NDP IV and Tenfold Targets Relevant to This Report</w:t>
      </w:r>
    </w:p>
    <w:p>
      <w:r>
        <w:t>The following targets frame the ambition against which this report's recommendations are calibrated. Baseline figures are current; targets are drawn from NDP IV and the Tenfold Growth Strategy.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Indicator</w:t>
            </w:r>
          </w:p>
        </w:tc>
        <w:tc>
          <w:tcPr>
            <w:tcW w:type="dxa" w:w="2351"/>
            <w:shd w:val="clear" w:color="auto" w:fill="002B5B"/>
          </w:tcPr>
          <w:p>
            <w:r>
              <w:rPr>
                <w:b/>
                <w:color w:val="FFFFFF"/>
                <w:sz w:val="18"/>
              </w:rPr>
              <w:t>Current Baseline</w:t>
            </w:r>
          </w:p>
        </w:tc>
        <w:tc>
          <w:tcPr>
            <w:tcW w:type="dxa" w:w="2351"/>
            <w:shd w:val="clear" w:color="auto" w:fill="002B5B"/>
          </w:tcPr>
          <w:p>
            <w:r>
              <w:rPr>
                <w:b/>
                <w:color w:val="FFFFFF"/>
                <w:sz w:val="18"/>
              </w:rPr>
              <w:t>NDP IV / NIP direction</w:t>
            </w:r>
          </w:p>
        </w:tc>
        <w:tc>
          <w:tcPr>
            <w:tcW w:type="dxa" w:w="2351"/>
            <w:shd w:val="clear" w:color="auto" w:fill="002B5B"/>
          </w:tcPr>
          <w:p>
            <w:r>
              <w:rPr>
                <w:b/>
                <w:color w:val="FFFFFF"/>
                <w:sz w:val="18"/>
              </w:rPr>
              <w:t>Tenfold horizon (2040)</w:t>
            </w:r>
          </w:p>
        </w:tc>
      </w:tr>
      <w:tr>
        <w:tc>
          <w:tcPr>
            <w:tcW w:type="dxa" w:w="2351"/>
            <w:shd w:val="clear" w:color="auto" w:fill="EEF3F9"/>
          </w:tcPr>
          <w:p>
            <w:r>
              <w:rPr>
                <w:sz w:val="18"/>
              </w:rPr>
              <w:t>Manufacturing share of GDP</w:t>
            </w:r>
          </w:p>
        </w:tc>
        <w:tc>
          <w:tcPr>
            <w:tcW w:type="dxa" w:w="2351"/>
            <w:shd w:val="clear" w:color="auto" w:fill="EEF3F9"/>
          </w:tcPr>
          <w:p>
            <w:r>
              <w:rPr>
                <w:sz w:val="18"/>
              </w:rPr>
              <w:t>15.2% (2024, World Bank)</w:t>
            </w:r>
          </w:p>
        </w:tc>
        <w:tc>
          <w:tcPr>
            <w:tcW w:type="dxa" w:w="2351"/>
            <w:shd w:val="clear" w:color="auto" w:fill="EEF3F9"/>
          </w:tcPr>
          <w:p>
            <w:r>
              <w:rPr>
                <w:sz w:val="18"/>
              </w:rPr>
              <w:t>toward 16%+ by FY29/30 (NIP)</w:t>
            </w:r>
          </w:p>
        </w:tc>
        <w:tc>
          <w:tcPr>
            <w:tcW w:type="dxa" w:w="2351"/>
            <w:shd w:val="clear" w:color="auto" w:fill="EEF3F9"/>
          </w:tcPr>
          <w:p>
            <w:r>
              <w:rPr>
                <w:sz w:val="18"/>
              </w:rPr>
              <w:t>20%+ (Vision 2040)</w:t>
            </w:r>
          </w:p>
        </w:tc>
      </w:tr>
      <w:tr>
        <w:tc>
          <w:tcPr>
            <w:tcW w:type="dxa" w:w="2351"/>
            <w:shd w:val="clear" w:color="auto" w:fill="FFFFFF"/>
          </w:tcPr>
          <w:p>
            <w:r>
              <w:rPr>
                <w:sz w:val="18"/>
              </w:rPr>
              <w:t>GDP</w:t>
            </w:r>
          </w:p>
        </w:tc>
        <w:tc>
          <w:tcPr>
            <w:tcW w:type="dxa" w:w="2351"/>
            <w:shd w:val="clear" w:color="auto" w:fill="FFFFFF"/>
          </w:tcPr>
          <w:p>
            <w:r>
              <w:rPr>
                <w:sz w:val="18"/>
              </w:rPr>
              <w:t>USD 53.2bn (FY23/24)</w:t>
            </w:r>
          </w:p>
        </w:tc>
        <w:tc>
          <w:tcPr>
            <w:tcW w:type="dxa" w:w="2351"/>
            <w:shd w:val="clear" w:color="auto" w:fill="FFFFFF"/>
          </w:tcPr>
          <w:p>
            <w:r>
              <w:rPr>
                <w:sz w:val="18"/>
              </w:rPr>
              <w:t>USD 158bn by FY29/30 (NDP IV)</w:t>
            </w:r>
          </w:p>
        </w:tc>
        <w:tc>
          <w:tcPr>
            <w:tcW w:type="dxa" w:w="2351"/>
            <w:shd w:val="clear" w:color="auto" w:fill="FFFFFF"/>
          </w:tcPr>
          <w:p>
            <w:r>
              <w:rPr>
                <w:sz w:val="18"/>
              </w:rPr>
              <w:t>~USD 500bn (Tenfold)</w:t>
            </w:r>
          </w:p>
        </w:tc>
      </w:tr>
      <w:tr>
        <w:tc>
          <w:tcPr>
            <w:tcW w:type="dxa" w:w="2351"/>
            <w:shd w:val="clear" w:color="auto" w:fill="EEF3F9"/>
          </w:tcPr>
          <w:p>
            <w:r>
              <w:rPr>
                <w:sz w:val="18"/>
              </w:rPr>
              <w:t>Per capita income</w:t>
            </w:r>
          </w:p>
        </w:tc>
        <w:tc>
          <w:tcPr>
            <w:tcW w:type="dxa" w:w="2351"/>
            <w:shd w:val="clear" w:color="auto" w:fill="EEF3F9"/>
          </w:tcPr>
          <w:p>
            <w:r>
              <w:rPr>
                <w:sz w:val="18"/>
              </w:rPr>
              <w:t>USD 1,146 (FY23/24)</w:t>
            </w:r>
          </w:p>
        </w:tc>
        <w:tc>
          <w:tcPr>
            <w:tcW w:type="dxa" w:w="2351"/>
            <w:shd w:val="clear" w:color="auto" w:fill="EEF3F9"/>
          </w:tcPr>
          <w:p>
            <w:r>
              <w:rPr>
                <w:sz w:val="18"/>
              </w:rPr>
              <w:t>USD 2,008 by FY29/30 (NDP IV)</w:t>
            </w:r>
          </w:p>
        </w:tc>
        <w:tc>
          <w:tcPr>
            <w:tcW w:type="dxa" w:w="2351"/>
            <w:shd w:val="clear" w:color="auto" w:fill="EEF3F9"/>
          </w:tcPr>
          <w:p>
            <w:r>
              <w:rPr>
                <w:sz w:val="18"/>
              </w:rPr>
              <w:t>USD 9,500 (Vision 2040)</w:t>
            </w:r>
          </w:p>
        </w:tc>
      </w:tr>
      <w:tr>
        <w:tc>
          <w:tcPr>
            <w:tcW w:type="dxa" w:w="2351"/>
            <w:shd w:val="clear" w:color="auto" w:fill="FFFFFF"/>
          </w:tcPr>
          <w:p>
            <w:r>
              <w:rPr>
                <w:sz w:val="18"/>
              </w:rPr>
              <w:t>Annual GDP growth</w:t>
            </w:r>
          </w:p>
        </w:tc>
        <w:tc>
          <w:tcPr>
            <w:tcW w:type="dxa" w:w="2351"/>
            <w:shd w:val="clear" w:color="auto" w:fill="FFFFFF"/>
          </w:tcPr>
          <w:p>
            <w:r>
              <w:rPr>
                <w:sz w:val="18"/>
              </w:rPr>
              <w:t>6.6% (FY24/25)</w:t>
            </w:r>
          </w:p>
        </w:tc>
        <w:tc>
          <w:tcPr>
            <w:tcW w:type="dxa" w:w="2351"/>
            <w:shd w:val="clear" w:color="auto" w:fill="FFFFFF"/>
          </w:tcPr>
          <w:p>
            <w:r>
              <w:rPr>
                <w:sz w:val="18"/>
              </w:rPr>
              <w:t>10.1% by FY29/30 (NDP IV)</w:t>
            </w:r>
          </w:p>
        </w:tc>
        <w:tc>
          <w:tcPr>
            <w:tcW w:type="dxa" w:w="2351"/>
            <w:shd w:val="clear" w:color="auto" w:fill="FFFFFF"/>
          </w:tcPr>
          <w:p>
            <w:r>
              <w:rPr>
                <w:sz w:val="18"/>
              </w:rPr>
              <w:t>sustained double digits</w:t>
            </w:r>
          </w:p>
        </w:tc>
      </w:tr>
      <w:tr>
        <w:tc>
          <w:tcPr>
            <w:tcW w:type="dxa" w:w="2351"/>
            <w:shd w:val="clear" w:color="auto" w:fill="EEF3F9"/>
          </w:tcPr>
          <w:p>
            <w:r>
              <w:rPr>
                <w:sz w:val="18"/>
              </w:rPr>
              <w:t>Manufactured exports to region</w:t>
            </w:r>
          </w:p>
        </w:tc>
        <w:tc>
          <w:tcPr>
            <w:tcW w:type="dxa" w:w="2351"/>
            <w:shd w:val="clear" w:color="auto" w:fill="EEF3F9"/>
          </w:tcPr>
          <w:p>
            <w:r>
              <w:rPr>
                <w:sz w:val="18"/>
              </w:rPr>
              <w:t>&gt;70% of mfg exports regional (UIA 2025)</w:t>
            </w:r>
          </w:p>
        </w:tc>
        <w:tc>
          <w:tcPr>
            <w:tcW w:type="dxa" w:w="2351"/>
            <w:shd w:val="clear" w:color="auto" w:fill="EEF3F9"/>
          </w:tcPr>
          <w:p>
            <w:r>
              <w:rPr>
                <w:sz w:val="18"/>
              </w:rPr>
              <w:t>rising</w:t>
            </w:r>
          </w:p>
        </w:tc>
        <w:tc>
          <w:tcPr>
            <w:tcW w:type="dxa" w:w="2351"/>
            <w:shd w:val="clear" w:color="auto" w:fill="EEF3F9"/>
          </w:tcPr>
          <w:p>
            <w:r>
              <w:rPr>
                <w:sz w:val="18"/>
              </w:rPr>
              <w:t>dominant</w:t>
            </w:r>
          </w:p>
        </w:tc>
      </w:tr>
      <w:tr>
        <w:tc>
          <w:tcPr>
            <w:tcW w:type="dxa" w:w="2351"/>
            <w:shd w:val="clear" w:color="auto" w:fill="FFFFFF"/>
          </w:tcPr>
          <w:p>
            <w:r>
              <w:rPr>
                <w:sz w:val="18"/>
              </w:rPr>
              <w:t>Capacity utilization (mfg)</w:t>
            </w:r>
          </w:p>
        </w:tc>
        <w:tc>
          <w:tcPr>
            <w:tcW w:type="dxa" w:w="2351"/>
            <w:shd w:val="clear" w:color="auto" w:fill="FFFFFF"/>
          </w:tcPr>
          <w:p>
            <w:r>
              <w:rPr>
                <w:sz w:val="18"/>
              </w:rPr>
              <w:t>~30% (indicative, confirm UBOS)</w:t>
            </w:r>
          </w:p>
        </w:tc>
        <w:tc>
          <w:tcPr>
            <w:tcW w:type="dxa" w:w="2351"/>
            <w:shd w:val="clear" w:color="auto" w:fill="FFFFFF"/>
          </w:tcPr>
          <w:p>
            <w:r>
              <w:rPr>
                <w:sz w:val="18"/>
              </w:rPr>
              <w:t>60%+</w:t>
            </w:r>
          </w:p>
        </w:tc>
        <w:tc>
          <w:tcPr>
            <w:tcW w:type="dxa" w:w="2351"/>
            <w:shd w:val="clear" w:color="auto" w:fill="FFFFFF"/>
          </w:tcPr>
          <w:p>
            <w:r>
              <w:rPr>
                <w:sz w:val="18"/>
              </w:rPr>
              <w:t>75%+</w:t>
            </w:r>
          </w:p>
        </w:tc>
      </w:tr>
    </w:tbl>
    <w:p/>
    <w:p>
      <w:r>
        <w:t>Achieving these targets in the Report 1 chains requires upstream investment in mineral extraction and processing — not only downstream manufacturing expansion. The diagnostic findings and recommendations in Chapters 4–6 are calibrated to this ambition.</w:t>
      </w:r>
    </w:p>
    <w:p>
      <w:pPr>
        <w:pStyle w:val="Heading2"/>
      </w:pPr>
      <w:r>
        <w:t>References</w:t>
      </w:r>
    </w:p>
    <w:p>
      <w:pPr>
        <w:pStyle w:val="ListBullet"/>
      </w:pPr>
      <w:r>
        <w:t xml:space="preserve">National Planning Authority, </w:t>
      </w:r>
      <w:r>
        <w:rPr>
          <w:i/>
        </w:rPr>
        <w:t>Uganda Vision 2040</w:t>
      </w:r>
      <w:r>
        <w:t>. https://npa.go.ug/uganda-vision-2040/</w:t>
      </w:r>
    </w:p>
    <w:p>
      <w:pPr>
        <w:pStyle w:val="ListBullet"/>
      </w:pPr>
      <w:r>
        <w:t xml:space="preserve">National Planning Authority, </w:t>
      </w:r>
      <w:r>
        <w:rPr>
          <w:i/>
        </w:rPr>
        <w:t>National Development Plan IV (FY2025/26–2029/30)</w:t>
      </w:r>
      <w:r>
        <w:t>. https://npa.go.ug/national-development-plan/</w:t>
      </w:r>
    </w:p>
    <w:p>
      <w:pPr>
        <w:pStyle w:val="ListBullet"/>
      </w:pPr>
      <w:r>
        <w:t>Parliament of Uganda, "President Launches NDP IV to Drive Uganda's Economic Transformation." https://www.parliament.go.ug/news/3724/president-launches-ndp-iv-drive-ugandas-economic-transformation</w:t>
      </w:r>
    </w:p>
    <w:p>
      <w:pPr>
        <w:pStyle w:val="ListBullet"/>
      </w:pPr>
      <w:r>
        <w:t>Ministry of Finance, Planning and Economic Development, "Presentation of the Fourth National Development Plan (NDP IV) to the Parliamentary Committee on Budget." https://www.finance.go.ug/media-center/news-and-updates/presentation-fourth-national-development-plan-ndpiv-parliamentary</w:t>
      </w:r>
    </w:p>
    <w:p>
      <w:pPr>
        <w:pStyle w:val="ListBullet"/>
      </w:pPr>
      <w:r>
        <w:t xml:space="preserve">MTIC, </w:t>
      </w:r>
      <w:r>
        <w:rPr>
          <w:i/>
        </w:rPr>
        <w:t>National Industrial Policy 2020</w:t>
      </w:r>
      <w:r>
        <w:t>. https://www.mtic.go.ug/</w:t>
      </w:r>
    </w:p>
    <w:p>
      <w:pPr>
        <w:pStyle w:val="ListBullet"/>
      </w:pPr>
      <w:r>
        <w:t xml:space="preserve">UNIDO, </w:t>
      </w:r>
      <w:r>
        <w:rPr>
          <w:i/>
        </w:rPr>
        <w:t>Programme for Country Partnership</w:t>
      </w:r>
      <w:r>
        <w:t>. https://www.unido.org/programme-country-partnership</w:t>
      </w:r>
    </w:p>
    <w:p>
      <w:pPr>
        <w:pStyle w:val="ListBullet"/>
      </w:pPr>
      <w:r>
        <w:t xml:space="preserve">World Bank, </w:t>
      </w:r>
      <w:r>
        <w:rPr>
          <w:i/>
        </w:rPr>
        <w:t>World Development Indicators — Manufacturing, value added (% of GDP), Uganda</w:t>
      </w:r>
      <w:r>
        <w:t>. https://data.worldbank.org/indicator/NV.IND.MANF.ZS?locations=UG</w:t>
      </w:r>
    </w:p>
    <w:p>
      <w:pPr>
        <w:pStyle w:val="ListBullet"/>
      </w:pPr>
      <w:r>
        <w:t xml:space="preserve">NPA/UDC, </w:t>
      </w:r>
      <w:r>
        <w:rPr>
          <w:i/>
        </w:rPr>
        <w:t>Report on the Mapping and Value Chain Analysis for Uganda's Iron and Steel Industry</w:t>
      </w:r>
      <w:r>
        <w:t xml:space="preserve"> (June 2025). [Repository: </w:t>
      </w:r>
      <w:r>
        <w:rPr>
          <w:rFonts w:ascii="Consolas" w:hAnsi="Consolas"/>
          <w:sz w:val="19"/>
        </w:rPr>
        <w:t>data/</w:t>
      </w:r>
      <w:r>
        <w:t xml:space="preserve"> — provided by MTIC]</w:t>
      </w:r>
    </w:p>
    <w:p>
      <w:pPr>
        <w:pStyle w:val="ListBullet"/>
      </w:pPr>
      <w:r>
        <w:t>Directorate of Geological Survey and Mines, "Redevelopment of Kilembe Mines." https://dgsm.go.ug/redevelopment-of-kilembe-mines/</w:t>
      </w:r>
    </w:p>
    <w:p>
      <w:pPr>
        <w:pStyle w:val="ListBullet"/>
      </w:pPr>
      <w:r>
        <w:t>Mining Weekly, "Uganda signs maiden production-sharing deal to revive copper mine" (4 March 2025). https://www.miningweekly.com/article/uganda-signs-maiden-production-sharing-deal-to-revive-copper-mine-2025-03-04</w:t>
      </w:r>
    </w:p>
    <w:p>
      <w:pPr>
        <w:pStyle w:val="ListBullet"/>
      </w:pPr>
      <w:r>
        <w:t>Uganda Broadcasting Corporation, "Uganda Commissions Africa's Most Advanced Vehicle Plant" (27 September 2025). https://ubc.go.ug/2025/09/27/uganda-commissions-africas-most-advanced-vehicle-plant-a-historic-milestone-for-industrialization-and-innovation/</w:t>
      </w:r>
    </w:p>
    <w:p>
      <w:pPr>
        <w:pStyle w:val="ListBullet"/>
      </w:pPr>
      <w:r>
        <w:t xml:space="preserve">Mobility Foresights, </w:t>
      </w:r>
      <w:r>
        <w:rPr>
          <w:i/>
        </w:rPr>
        <w:t>Uganda Used Car Market 2024–2030</w:t>
      </w:r>
      <w:r>
        <w:t>. https://mobilityforesights.com/product/uganda-used-car-market</w:t>
      </w:r>
    </w:p>
    <w:p>
      <w:pPr>
        <w:pStyle w:val="ListBullet"/>
      </w:pPr>
      <w:r>
        <w:t>Uganda Investment Authority, "Uganda seeing surge in export of manufactured products" (2025). https://ugandainvest.go.ug/uganda-seeing-surge-in-export-of-manufactured-products/</w:t>
      </w:r>
    </w:p>
    <w:p>
      <w:pPr>
        <w:pStyle w:val="ListBullet"/>
      </w:pPr>
      <w:r>
        <w:t>ITC TradeMap, trade statistics by HS code. https://www.trademap.org</w:t>
      </w:r>
    </w:p>
    <w:p>
      <w:r>
        <w:br w:type="page"/>
      </w:r>
    </w:p>
    <w:p>
      <w:pPr>
        <w:pStyle w:val="Heading1"/>
      </w:pPr>
      <w:r>
        <w:t>Chapter 3: Methodology and Analytical Framework</w:t>
      </w:r>
    </w:p>
    <w:p>
      <w:r>
        <w:rPr>
          <w:b/>
        </w:rPr>
        <w:t>Report:</w:t>
      </w:r>
      <w:r>
        <w:t xml:space="preserve"> Report 1 — Iron &amp; Steel, Copper &amp; Allied Metals, and Automotive Value Chains</w:t>
      </w:r>
    </w:p>
    <w:p>
      <w:r>
        <w:rPr>
          <w:b/>
        </w:rPr>
        <w:t>Status:</w:t>
      </w:r>
      <w:r>
        <w:t xml:space="preserve"> Draft for validation</w:t>
      </w:r>
    </w:p>
    <w:p>
      <w:r>
        <w:rPr>
          <w:b/>
        </w:rPr>
        <w:t>ToR Reference:</w:t>
      </w:r>
      <w:r>
        <w:t xml:space="preserve"> MTIC-Diagnostic Study on Iron &amp; Steel, Copper.docx</w:t>
      </w:r>
    </w:p>
    <w:p>
      <w:pPr>
        <w:pStyle w:val="Heading2"/>
      </w:pPr>
      <w:r>
        <w:t>3.1 Overview of the Research Approach</w:t>
      </w:r>
    </w:p>
    <w:p>
      <w:r>
        <w:t xml:space="preserve">This is a </w:t>
      </w:r>
      <w:r>
        <w:rPr>
          <w:b/>
        </w:rPr>
        <w:t>desk-based diagnostic</w:t>
      </w:r>
      <w:r>
        <w:t>. Its findings are built from a structured review of government and sector documents provided by MTIC, official Ugandan data sources, live international trade data, and current published evidence — not from primary fieldwork. This is stated plainly because the credibility of a diagnostic that will inform national investment decisions depends on an honest account of how it was produced.</w:t>
      </w:r>
    </w:p>
    <w:p>
      <w:r>
        <w:t>The study was preceded by an Inception Report that documented the study design, diagnostic framework, data plan, and stakeholder-consultation plan, submitted to the Technical Working Group (TWG) prior to the diagnostic phase. This chapter describes the methodology as executed.</w:t>
      </w:r>
    </w:p>
    <w:p>
      <w:r>
        <w:t>The work proceeded in three phases:</w:t>
      </w:r>
    </w:p>
    <w:p>
      <w:pPr>
        <w:pStyle w:val="ListNumber"/>
      </w:pPr>
      <w:r>
        <w:rPr>
          <w:b/>
        </w:rPr>
        <w:t>Evidence assembly</w:t>
      </w:r>
      <w:r>
        <w:t xml:space="preserve"> — compilation and structured review of policy documents, sector studies, official statistics, and trade data.</w:t>
      </w:r>
    </w:p>
    <w:p>
      <w:pPr>
        <w:pStyle w:val="ListNumber"/>
      </w:pPr>
      <w:r>
        <w:rPr>
          <w:b/>
        </w:rPr>
        <w:t>Value-chain analysis and prioritization scoring</w:t>
      </w:r>
      <w:r>
        <w:t xml:space="preserve"> — application of the six-part analytical framework and the five-criterion scoring model to each chain.</w:t>
      </w:r>
    </w:p>
    <w:p>
      <w:pPr>
        <w:pStyle w:val="ListNumber"/>
      </w:pPr>
      <w:r>
        <w:rPr>
          <w:b/>
        </w:rPr>
        <w:t>Validation (planned, post-submission)</w:t>
      </w:r>
      <w:r>
        <w:t xml:space="preserve"> — testing of findings through key informant interviews and a structured stakeholder workshop, with results incorporated into the final version.</w:t>
      </w:r>
    </w:p>
    <w:p>
      <w:r>
        <w:rPr>
          <w:b/>
        </w:rPr>
        <w:t>The findings in this report are therefore presented for validation.</w:t>
      </w:r>
      <w:r>
        <w:t xml:space="preserve"> Where the report states a finding, it reflects the best available desk evidence at the time of writing and is subject to the validation step described in Section 3.7.</w:t>
      </w:r>
    </w:p>
    <w:p>
      <w:pPr>
        <w:pStyle w:val="Heading2"/>
      </w:pPr>
      <w:r>
        <w:t>3.2 Evidence Base and Data Sources</w:t>
      </w:r>
    </w:p>
    <w:p>
      <w:r>
        <w:t>The diagnostic draws on the following sources, prioritizing official Ugandan and primary institutional data wherever available:</w:t>
      </w:r>
    </w:p>
    <w:p>
      <w:r>
        <w:rPr>
          <w:b/>
        </w:rPr>
        <w:t>Government policy and planning documents</w:t>
      </w:r>
      <w:r>
        <w:t xml:space="preserve"> — Uganda Vision 2040; National Development Plan IV (FY2025/26–2029/30); National Industrial Policy 2020; the MTIC Strategic Plan; and the Tenfold Growth Strategy.</w:t>
      </w:r>
    </w:p>
    <w:p>
      <w:r>
        <w:rPr>
          <w:b/>
        </w:rPr>
        <w:t>Sector studies provided by MTIC</w:t>
      </w:r>
      <w:r>
        <w:t xml:space="preserve"> — most importantly the NPA/UDC </w:t>
      </w:r>
      <w:r>
        <w:rPr>
          <w:i/>
        </w:rPr>
        <w:t>Report on the Mapping and Value Chain Analysis for Uganda's Iron and Steel Industry</w:t>
      </w:r>
      <w:r>
        <w:t xml:space="preserve"> (June 2025), which provides firm-level and capacity data for the iron and steel chain, together with mineral-sector and automotive-sector documents supplied for this study.</w:t>
      </w:r>
    </w:p>
    <w:p>
      <w:r>
        <w:rPr>
          <w:b/>
        </w:rPr>
        <w:t>Official Ugandan data sources</w:t>
      </w:r>
      <w:r>
        <w:t xml:space="preserve"> — Uganda Bureau of Statistics (UBOS) for production, employment, and national accounts; the Directorate of Geological Survey and Mines (DGSM) / Ministry of Energy and Mineral Development for mineral reserves and licensing; Uganda National Bureau of Standards (UNBS); the Electricity Regulatory Authority (ERA) for tariffs; and the Uganda Investment Authority (UIA) for the investment pipeline.</w:t>
      </w:r>
    </w:p>
    <w:p>
      <w:r>
        <w:rPr>
          <w:b/>
        </w:rPr>
        <w:t>Trade data</w:t>
      </w:r>
      <w:r>
        <w:t xml:space="preserve"> — </w:t>
      </w:r>
      <w:r>
        <w:rPr>
          <w:b/>
        </w:rPr>
        <w:t>ITC TradeMap</w:t>
      </w:r>
      <w:r>
        <w:t xml:space="preserve"> (the International Trade Centre's trade-statistics platform, drawing on the same underlying data as UN Comtrade and used by the WTO) is the source for all import/export values, partner breakdowns, and time series in this report. TradeMap figures are pulled directly and cited inline at the point of use, with the relevant HS codes and year.</w:t>
      </w:r>
    </w:p>
    <w:p>
      <w:r>
        <w:rPr>
          <w:b/>
        </w:rPr>
        <w:t>Global benchmarks</w:t>
      </w:r>
      <w:r>
        <w:t xml:space="preserve"> — World Steel Association (</w:t>
      </w:r>
      <w:r>
        <w:rPr>
          <w:i/>
        </w:rPr>
        <w:t>World Steel in Figures / Statistical Yearbook 2025</w:t>
      </w:r>
      <w:r>
        <w:t>) and the International Copper Study Group (</w:t>
      </w:r>
      <w:r>
        <w:rPr>
          <w:i/>
        </w:rPr>
        <w:t>World Copper Factbook 2025</w:t>
      </w:r>
      <w:r>
        <w:t>) for global production, consumption, and price context.</w:t>
      </w:r>
    </w:p>
    <w:p>
      <w:r>
        <w:rPr>
          <w:b/>
        </w:rPr>
        <w:t>Development-partner and industry sources</w:t>
      </w:r>
      <w:r>
        <w:t xml:space="preserve"> — World Bank World Development Indicators; United Nations Industrial Development Organization (UNIDO); the Uganda Bankers Association </w:t>
      </w:r>
      <w:r>
        <w:rPr>
          <w:i/>
        </w:rPr>
        <w:t>Unlocking the Potential of Uganda's Manufacturing Sector</w:t>
      </w:r>
      <w:r>
        <w:t xml:space="preserve"> (2024); and company and regulator disclosures, cited where used.</w:t>
      </w:r>
    </w:p>
    <w:p>
      <w:r>
        <w:t xml:space="preserve">Where a figure is an estimate, a proxy, or carries a currency caveat, this is flagged in the relevant chapter. Material data gaps are marked </w:t>
      </w:r>
      <w:r>
        <w:rPr>
          <w:rFonts w:ascii="Consolas" w:hAnsi="Consolas"/>
          <w:sz w:val="19"/>
        </w:rPr>
        <w:t>DATA NEEDED</w:t>
      </w:r>
      <w:r>
        <w:t xml:space="preserve"> so the validation step can target them.</w:t>
      </w:r>
    </w:p>
    <w:p>
      <w:pPr>
        <w:pStyle w:val="Heading2"/>
      </w:pPr>
      <w:r>
        <w:t>3.3 Analytical Framework</w:t>
      </w:r>
    </w:p>
    <w:p>
      <w:r>
        <w:t>Each of the three value chains was analysed using a consistent six-part diagnostic framework, applied uniformly to ensure comparability of findings and recommendations.</w:t>
      </w:r>
    </w:p>
    <w:p>
      <w:r>
        <w:rPr>
          <w:b/>
        </w:rPr>
        <w:t>a. Value Chain Mapping</w:t>
      </w:r>
      <w:r>
        <w:t xml:space="preserve"> — the full chain is mapped from primary inputs through intermediate processing to final end products, identifying where Uganda currently participates, where value is lost (through export of unprocessed inputs or import of intermediates), and where import-substitution and export opportunities exist. Each chain's map is also rendered as an interactive decomposition in the accompanying Value Chains application.</w:t>
      </w:r>
    </w:p>
    <w:p>
      <w:r>
        <w:rPr>
          <w:b/>
        </w:rPr>
        <w:t>b. Current State Assessment</w:t>
      </w:r>
      <w:r>
        <w:t xml:space="preserve"> — production volumes, number of active firms, employment, capacity utilization, and import/export values are compiled for each chain, with key public and private players identified.</w:t>
      </w:r>
    </w:p>
    <w:p>
      <w:r>
        <w:rPr>
          <w:b/>
        </w:rPr>
        <w:t>c. Binding Constraints Analysis</w:t>
      </w:r>
      <w:r>
        <w:t xml:space="preserve"> — constraints are assessed across ten dimensions (Section 3.4).</w:t>
      </w:r>
    </w:p>
    <w:p>
      <w:r>
        <w:rPr>
          <w:b/>
        </w:rPr>
        <w:t>d. Market Assessment</w:t>
      </w:r>
      <w:r>
        <w:t xml:space="preserve"> — markets are assessed at three levels (domestic, regional EAC/COMESA, and global), covering market size, growth, Uganda's share, the competitive landscape, and realistic access potential.</w:t>
      </w:r>
    </w:p>
    <w:p>
      <w:r>
        <w:rPr>
          <w:b/>
        </w:rPr>
        <w:t>e. Prioritization Scoring</w:t>
      </w:r>
      <w:r>
        <w:t xml:space="preserve"> — each product/sub-sector is scored against five weighted criteria (Section 3.5) to identify the 3–4 priorities per chain.</w:t>
      </w:r>
    </w:p>
    <w:p>
      <w:r>
        <w:rPr>
          <w:b/>
        </w:rPr>
        <w:t>f. Priority Action Matrix</w:t>
      </w:r>
      <w:r>
        <w:t xml:space="preserve"> — actions are organized by timeframe: quick wins (0–12 months), policy/institutional reforms (1–3 years), and investment interventions (3–5 years).</w:t>
      </w:r>
    </w:p>
    <w:p>
      <w:pPr>
        <w:pStyle w:val="Heading2"/>
      </w:pPr>
      <w:r>
        <w:t>3.4 Binding-Constraints Dimensions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Dimension</w:t>
            </w:r>
          </w:p>
        </w:tc>
        <w:tc>
          <w:tcPr>
            <w:tcW w:type="dxa" w:w="3135"/>
            <w:shd w:val="clear" w:color="auto" w:fill="002B5B"/>
          </w:tcPr>
          <w:p>
            <w:r>
              <w:rPr>
                <w:b/>
                <w:color w:val="FFFFFF"/>
                <w:sz w:val="18"/>
              </w:rPr>
              <w:t>Key questions</w:t>
            </w:r>
          </w:p>
        </w:tc>
        <w:tc>
          <w:tcPr>
            <w:tcW w:type="dxa" w:w="3135"/>
            <w:shd w:val="clear" w:color="auto" w:fill="002B5B"/>
          </w:tcPr>
          <w:p>
            <w:r>
              <w:rPr>
                <w:b/>
                <w:color w:val="FFFFFF"/>
                <w:sz w:val="18"/>
              </w:rPr>
              <w:t>Primary evidence used</w:t>
            </w:r>
          </w:p>
        </w:tc>
      </w:tr>
      <w:tr>
        <w:tc>
          <w:tcPr>
            <w:tcW w:type="dxa" w:w="3135"/>
            <w:shd w:val="clear" w:color="auto" w:fill="EEF3F9"/>
          </w:tcPr>
          <w:p>
            <w:r>
              <w:rPr>
                <w:sz w:val="18"/>
              </w:rPr>
              <w:t>Inputs and raw materials</w:t>
            </w:r>
          </w:p>
        </w:tc>
        <w:tc>
          <w:tcPr>
            <w:tcW w:type="dxa" w:w="3135"/>
            <w:shd w:val="clear" w:color="auto" w:fill="EEF3F9"/>
          </w:tcPr>
          <w:p>
            <w:r>
              <w:rPr>
                <w:sz w:val="18"/>
              </w:rPr>
              <w:t>Availability, quality, cost, supply reliability</w:t>
            </w:r>
          </w:p>
        </w:tc>
        <w:tc>
          <w:tcPr>
            <w:tcW w:type="dxa" w:w="3135"/>
            <w:shd w:val="clear" w:color="auto" w:fill="EEF3F9"/>
          </w:tcPr>
          <w:p>
            <w:r>
              <w:rPr>
                <w:sz w:val="18"/>
              </w:rPr>
              <w:t>Reserves data (DGSM); sector studies; TradeMap</w:t>
            </w:r>
          </w:p>
        </w:tc>
      </w:tr>
      <w:tr>
        <w:tc>
          <w:tcPr>
            <w:tcW w:type="dxa" w:w="3135"/>
            <w:shd w:val="clear" w:color="auto" w:fill="FFFFFF"/>
          </w:tcPr>
          <w:p>
            <w:r>
              <w:rPr>
                <w:sz w:val="18"/>
              </w:rPr>
              <w:t>Technology and productivity</w:t>
            </w:r>
          </w:p>
        </w:tc>
        <w:tc>
          <w:tcPr>
            <w:tcW w:type="dxa" w:w="3135"/>
            <w:shd w:val="clear" w:color="auto" w:fill="FFFFFF"/>
          </w:tcPr>
          <w:p>
            <w:r>
              <w:rPr>
                <w:sz w:val="18"/>
              </w:rPr>
              <w:t>Equipment vintage; productivity gap vs peers</w:t>
            </w:r>
          </w:p>
        </w:tc>
        <w:tc>
          <w:tcPr>
            <w:tcW w:type="dxa" w:w="3135"/>
            <w:shd w:val="clear" w:color="auto" w:fill="FFFFFF"/>
          </w:tcPr>
          <w:p>
            <w:r>
              <w:rPr>
                <w:sz w:val="18"/>
              </w:rPr>
              <w:t>Sector studies; global benchmarks</w:t>
            </w:r>
          </w:p>
        </w:tc>
      </w:tr>
      <w:tr>
        <w:tc>
          <w:tcPr>
            <w:tcW w:type="dxa" w:w="3135"/>
            <w:shd w:val="clear" w:color="auto" w:fill="EEF3F9"/>
          </w:tcPr>
          <w:p>
            <w:r>
              <w:rPr>
                <w:sz w:val="18"/>
              </w:rPr>
              <w:t>Energy</w:t>
            </w:r>
          </w:p>
        </w:tc>
        <w:tc>
          <w:tcPr>
            <w:tcW w:type="dxa" w:w="3135"/>
            <w:shd w:val="clear" w:color="auto" w:fill="EEF3F9"/>
          </w:tcPr>
          <w:p>
            <w:r>
              <w:rPr>
                <w:sz w:val="18"/>
              </w:rPr>
              <w:t>Cost, reliability, access</w:t>
            </w:r>
          </w:p>
        </w:tc>
        <w:tc>
          <w:tcPr>
            <w:tcW w:type="dxa" w:w="3135"/>
            <w:shd w:val="clear" w:color="auto" w:fill="EEF3F9"/>
          </w:tcPr>
          <w:p>
            <w:r>
              <w:rPr>
                <w:sz w:val="18"/>
              </w:rPr>
              <w:t>ERA tariffs 2025; Uganda Electricity Distribution Company Limited (UEDCL)</w:t>
            </w:r>
          </w:p>
        </w:tc>
      </w:tr>
      <w:tr>
        <w:tc>
          <w:tcPr>
            <w:tcW w:type="dxa" w:w="3135"/>
            <w:shd w:val="clear" w:color="auto" w:fill="FFFFFF"/>
          </w:tcPr>
          <w:p>
            <w:r>
              <w:rPr>
                <w:sz w:val="18"/>
              </w:rPr>
              <w:t>Water</w:t>
            </w:r>
          </w:p>
        </w:tc>
        <w:tc>
          <w:tcPr>
            <w:tcW w:type="dxa" w:w="3135"/>
            <w:shd w:val="clear" w:color="auto" w:fill="FFFFFF"/>
          </w:tcPr>
          <w:p>
            <w:r>
              <w:rPr>
                <w:sz w:val="18"/>
              </w:rPr>
              <w:t>Availability and cost for industry</w:t>
            </w:r>
          </w:p>
        </w:tc>
        <w:tc>
          <w:tcPr>
            <w:tcW w:type="dxa" w:w="3135"/>
            <w:shd w:val="clear" w:color="auto" w:fill="FFFFFF"/>
          </w:tcPr>
          <w:p>
            <w:r>
              <w:rPr>
                <w:sz w:val="18"/>
              </w:rPr>
              <w:t>National Water and Sewerage Corporation (NWSC); National Environment Management Authority (NEMA) framework</w:t>
            </w:r>
          </w:p>
        </w:tc>
      </w:tr>
      <w:tr>
        <w:tc>
          <w:tcPr>
            <w:tcW w:type="dxa" w:w="3135"/>
            <w:shd w:val="clear" w:color="auto" w:fill="EEF3F9"/>
          </w:tcPr>
          <w:p>
            <w:r>
              <w:rPr>
                <w:sz w:val="18"/>
              </w:rPr>
              <w:t>Logistics and transport</w:t>
            </w:r>
          </w:p>
        </w:tc>
        <w:tc>
          <w:tcPr>
            <w:tcW w:type="dxa" w:w="3135"/>
            <w:shd w:val="clear" w:color="auto" w:fill="EEF3F9"/>
          </w:tcPr>
          <w:p>
            <w:r>
              <w:rPr>
                <w:sz w:val="18"/>
              </w:rPr>
              <w:t>Transport cost, corridor and customs efficiency</w:t>
            </w:r>
          </w:p>
        </w:tc>
        <w:tc>
          <w:tcPr>
            <w:tcW w:type="dxa" w:w="3135"/>
            <w:shd w:val="clear" w:color="auto" w:fill="EEF3F9"/>
          </w:tcPr>
          <w:p>
            <w:r>
              <w:rPr>
                <w:sz w:val="18"/>
              </w:rPr>
              <w:t>Sector analyses (logistics ≈18–20% of sale price)</w:t>
            </w:r>
          </w:p>
        </w:tc>
      </w:tr>
      <w:tr>
        <w:tc>
          <w:tcPr>
            <w:tcW w:type="dxa" w:w="3135"/>
            <w:shd w:val="clear" w:color="auto" w:fill="FFFFFF"/>
          </w:tcPr>
          <w:p>
            <w:r>
              <w:rPr>
                <w:sz w:val="18"/>
              </w:rPr>
              <w:t>Waste and effluent management</w:t>
            </w:r>
          </w:p>
        </w:tc>
        <w:tc>
          <w:tcPr>
            <w:tcW w:type="dxa" w:w="3135"/>
            <w:shd w:val="clear" w:color="auto" w:fill="FFFFFF"/>
          </w:tcPr>
          <w:p>
            <w:r>
              <w:rPr>
                <w:sz w:val="18"/>
              </w:rPr>
              <w:t>Compliance cost, circular-economy options</w:t>
            </w:r>
          </w:p>
        </w:tc>
        <w:tc>
          <w:tcPr>
            <w:tcW w:type="dxa" w:w="3135"/>
            <w:shd w:val="clear" w:color="auto" w:fill="FFFFFF"/>
          </w:tcPr>
          <w:p>
            <w:r>
              <w:rPr>
                <w:sz w:val="18"/>
              </w:rPr>
              <w:t>NEMA Effluent Discharge Regulations 2020</w:t>
            </w:r>
          </w:p>
        </w:tc>
      </w:tr>
      <w:tr>
        <w:tc>
          <w:tcPr>
            <w:tcW w:type="dxa" w:w="3135"/>
            <w:shd w:val="clear" w:color="auto" w:fill="EEF3F9"/>
          </w:tcPr>
          <w:p>
            <w:r>
              <w:rPr>
                <w:sz w:val="18"/>
              </w:rPr>
              <w:t>Finance and investment</w:t>
            </w:r>
          </w:p>
        </w:tc>
        <w:tc>
          <w:tcPr>
            <w:tcW w:type="dxa" w:w="3135"/>
            <w:shd w:val="clear" w:color="auto" w:fill="EEF3F9"/>
          </w:tcPr>
          <w:p>
            <w:r>
              <w:rPr>
                <w:sz w:val="18"/>
              </w:rPr>
              <w:t>Long-term capital, rates, collateral</w:t>
            </w:r>
          </w:p>
        </w:tc>
        <w:tc>
          <w:tcPr>
            <w:tcW w:type="dxa" w:w="3135"/>
            <w:shd w:val="clear" w:color="auto" w:fill="EEF3F9"/>
          </w:tcPr>
          <w:p>
            <w:r>
              <w:rPr>
                <w:sz w:val="18"/>
              </w:rPr>
              <w:t>KPMG Budget Brief 2025/26; Uganda Development Bank (UDB)</w:t>
            </w:r>
          </w:p>
        </w:tc>
      </w:tr>
      <w:tr>
        <w:tc>
          <w:tcPr>
            <w:tcW w:type="dxa" w:w="3135"/>
            <w:shd w:val="clear" w:color="auto" w:fill="FFFFFF"/>
          </w:tcPr>
          <w:p>
            <w:r>
              <w:rPr>
                <w:sz w:val="18"/>
              </w:rPr>
              <w:t>Skills and workforce</w:t>
            </w:r>
          </w:p>
        </w:tc>
        <w:tc>
          <w:tcPr>
            <w:tcW w:type="dxa" w:w="3135"/>
            <w:shd w:val="clear" w:color="auto" w:fill="FFFFFF"/>
          </w:tcPr>
          <w:p>
            <w:r>
              <w:rPr>
                <w:sz w:val="18"/>
              </w:rPr>
              <w:t>Technical, vocational, managerial skills</w:t>
            </w:r>
          </w:p>
        </w:tc>
        <w:tc>
          <w:tcPr>
            <w:tcW w:type="dxa" w:w="3135"/>
            <w:shd w:val="clear" w:color="auto" w:fill="FFFFFF"/>
          </w:tcPr>
          <w:p>
            <w:r>
              <w:rPr>
                <w:sz w:val="18"/>
              </w:rPr>
              <w:t>UMA/UNIDO skills evidence</w:t>
            </w:r>
          </w:p>
        </w:tc>
      </w:tr>
      <w:tr>
        <w:tc>
          <w:tcPr>
            <w:tcW w:type="dxa" w:w="3135"/>
            <w:shd w:val="clear" w:color="auto" w:fill="EEF3F9"/>
          </w:tcPr>
          <w:p>
            <w:r>
              <w:rPr>
                <w:sz w:val="18"/>
              </w:rPr>
              <w:t>Standards and quality</w:t>
            </w:r>
          </w:p>
        </w:tc>
        <w:tc>
          <w:tcPr>
            <w:tcW w:type="dxa" w:w="3135"/>
            <w:shd w:val="clear" w:color="auto" w:fill="EEF3F9"/>
          </w:tcPr>
          <w:p>
            <w:r>
              <w:rPr>
                <w:sz w:val="18"/>
              </w:rPr>
              <w:t>UNBS and international compliance</w:t>
            </w:r>
          </w:p>
        </w:tc>
        <w:tc>
          <w:tcPr>
            <w:tcW w:type="dxa" w:w="3135"/>
            <w:shd w:val="clear" w:color="auto" w:fill="EEF3F9"/>
          </w:tcPr>
          <w:p>
            <w:r>
              <w:rPr>
                <w:sz w:val="18"/>
              </w:rPr>
              <w:t>UNBS</w:t>
            </w:r>
          </w:p>
        </w:tc>
      </w:tr>
      <w:tr>
        <w:tc>
          <w:tcPr>
            <w:tcW w:type="dxa" w:w="3135"/>
            <w:shd w:val="clear" w:color="auto" w:fill="FFFFFF"/>
          </w:tcPr>
          <w:p>
            <w:r>
              <w:rPr>
                <w:sz w:val="18"/>
              </w:rPr>
              <w:t>Policy and regulatory</w:t>
            </w:r>
          </w:p>
        </w:tc>
        <w:tc>
          <w:tcPr>
            <w:tcW w:type="dxa" w:w="3135"/>
            <w:shd w:val="clear" w:color="auto" w:fill="FFFFFF"/>
          </w:tcPr>
          <w:p>
            <w:r>
              <w:rPr>
                <w:sz w:val="18"/>
              </w:rPr>
              <w:t>Tariffs, Non-Tariff Barriers (NTBs), licensing, land, incentives</w:t>
            </w:r>
          </w:p>
        </w:tc>
        <w:tc>
          <w:tcPr>
            <w:tcW w:type="dxa" w:w="3135"/>
            <w:shd w:val="clear" w:color="auto" w:fill="FFFFFF"/>
          </w:tcPr>
          <w:p>
            <w:r>
              <w:rPr>
                <w:sz w:val="18"/>
              </w:rPr>
              <w:t>NIP 2020; sector Acts; East African Community (EAC) Common External Tariff (CET)</w:t>
            </w:r>
          </w:p>
        </w:tc>
      </w:tr>
    </w:tbl>
    <w:p/>
    <w:p>
      <w:pPr>
        <w:pStyle w:val="Heading2"/>
      </w:pPr>
      <w:r>
        <w:t>3.5 Prioritization Framework</w:t>
      </w:r>
    </w:p>
    <w:p>
      <w:r>
        <w:t xml:space="preserve">A transparent, criteria-based scoring framework was applied consistently across all three chains, reflecting the study's core principle: </w:t>
      </w:r>
      <w:r>
        <w:rPr>
          <w:b/>
        </w:rPr>
        <w:t>successful industrial economies are built around a small number of products done exceptionally well, not a broad catalogue of marginal interventions.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Criterion</w:t>
            </w:r>
          </w:p>
        </w:tc>
        <w:tc>
          <w:tcPr>
            <w:tcW w:type="dxa" w:w="3135"/>
            <w:shd w:val="clear" w:color="auto" w:fill="002B5B"/>
          </w:tcPr>
          <w:p>
            <w:r>
              <w:rPr>
                <w:b/>
                <w:color w:val="FFFFFF"/>
                <w:sz w:val="18"/>
              </w:rPr>
              <w:t>Description</w:t>
            </w:r>
          </w:p>
        </w:tc>
        <w:tc>
          <w:tcPr>
            <w:tcW w:type="dxa" w:w="3135"/>
            <w:shd w:val="clear" w:color="auto" w:fill="002B5B"/>
          </w:tcPr>
          <w:p>
            <w:r>
              <w:rPr>
                <w:b/>
                <w:color w:val="FFFFFF"/>
                <w:sz w:val="18"/>
              </w:rPr>
              <w:t>Weight</w:t>
            </w:r>
          </w:p>
        </w:tc>
      </w:tr>
      <w:tr>
        <w:tc>
          <w:tcPr>
            <w:tcW w:type="dxa" w:w="3135"/>
            <w:shd w:val="clear" w:color="auto" w:fill="EEF3F9"/>
          </w:tcPr>
          <w:p>
            <w:r>
              <w:rPr>
                <w:sz w:val="18"/>
              </w:rPr>
              <w:t>1. Accessible market size</w:t>
            </w:r>
          </w:p>
        </w:tc>
        <w:tc>
          <w:tcPr>
            <w:tcW w:type="dxa" w:w="3135"/>
            <w:shd w:val="clear" w:color="auto" w:fill="EEF3F9"/>
          </w:tcPr>
          <w:p>
            <w:r>
              <w:rPr>
                <w:sz w:val="18"/>
              </w:rPr>
              <w:t>Size and growth of the domestic, regional, and export market Uganda can realistically access</w:t>
            </w:r>
          </w:p>
        </w:tc>
        <w:tc>
          <w:tcPr>
            <w:tcW w:type="dxa" w:w="3135"/>
            <w:shd w:val="clear" w:color="auto" w:fill="EEF3F9"/>
          </w:tcPr>
          <w:p>
            <w:r>
              <w:rPr>
                <w:sz w:val="18"/>
              </w:rPr>
              <w:t>25%</w:t>
            </w:r>
          </w:p>
        </w:tc>
      </w:tr>
      <w:tr>
        <w:tc>
          <w:tcPr>
            <w:tcW w:type="dxa" w:w="3135"/>
            <w:shd w:val="clear" w:color="auto" w:fill="FFFFFF"/>
          </w:tcPr>
          <w:p>
            <w:r>
              <w:rPr>
                <w:sz w:val="18"/>
              </w:rPr>
              <w:t>2. Uganda's comparative advantage</w:t>
            </w:r>
          </w:p>
        </w:tc>
        <w:tc>
          <w:tcPr>
            <w:tcW w:type="dxa" w:w="3135"/>
            <w:shd w:val="clear" w:color="auto" w:fill="FFFFFF"/>
          </w:tcPr>
          <w:p>
            <w:r>
              <w:rPr>
                <w:sz w:val="18"/>
              </w:rPr>
              <w:t>Raw-material availability, existing productive base, geographic proximity</w:t>
            </w:r>
          </w:p>
        </w:tc>
        <w:tc>
          <w:tcPr>
            <w:tcW w:type="dxa" w:w="3135"/>
            <w:shd w:val="clear" w:color="auto" w:fill="FFFFFF"/>
          </w:tcPr>
          <w:p>
            <w:r>
              <w:rPr>
                <w:sz w:val="18"/>
              </w:rPr>
              <w:t>25%</w:t>
            </w:r>
          </w:p>
        </w:tc>
      </w:tr>
      <w:tr>
        <w:tc>
          <w:tcPr>
            <w:tcW w:type="dxa" w:w="3135"/>
            <w:shd w:val="clear" w:color="auto" w:fill="EEF3F9"/>
          </w:tcPr>
          <w:p>
            <w:r>
              <w:rPr>
                <w:sz w:val="18"/>
              </w:rPr>
              <w:t>3. Feasibility</w:t>
            </w:r>
          </w:p>
        </w:tc>
        <w:tc>
          <w:tcPr>
            <w:tcW w:type="dxa" w:w="3135"/>
            <w:shd w:val="clear" w:color="auto" w:fill="EEF3F9"/>
          </w:tcPr>
          <w:p>
            <w:r>
              <w:rPr>
                <w:sz w:val="18"/>
              </w:rPr>
              <w:t>Capital requirements, technology readiness, lead time, management capability</w:t>
            </w:r>
          </w:p>
        </w:tc>
        <w:tc>
          <w:tcPr>
            <w:tcW w:type="dxa" w:w="3135"/>
            <w:shd w:val="clear" w:color="auto" w:fill="EEF3F9"/>
          </w:tcPr>
          <w:p>
            <w:r>
              <w:rPr>
                <w:sz w:val="18"/>
              </w:rPr>
              <w:t>20%</w:t>
            </w:r>
          </w:p>
        </w:tc>
      </w:tr>
      <w:tr>
        <w:tc>
          <w:tcPr>
            <w:tcW w:type="dxa" w:w="3135"/>
            <w:shd w:val="clear" w:color="auto" w:fill="FFFFFF"/>
          </w:tcPr>
          <w:p>
            <w:r>
              <w:rPr>
                <w:sz w:val="18"/>
              </w:rPr>
              <w:t>4. Job creation and income potential</w:t>
            </w:r>
          </w:p>
        </w:tc>
        <w:tc>
          <w:tcPr>
            <w:tcW w:type="dxa" w:w="3135"/>
            <w:shd w:val="clear" w:color="auto" w:fill="FFFFFF"/>
          </w:tcPr>
          <w:p>
            <w:r>
              <w:rPr>
                <w:sz w:val="18"/>
              </w:rPr>
              <w:t>Direct/indirect employment, wages, linkage effects</w:t>
            </w:r>
          </w:p>
        </w:tc>
        <w:tc>
          <w:tcPr>
            <w:tcW w:type="dxa" w:w="3135"/>
            <w:shd w:val="clear" w:color="auto" w:fill="FFFFFF"/>
          </w:tcPr>
          <w:p>
            <w:r>
              <w:rPr>
                <w:sz w:val="18"/>
              </w:rPr>
              <w:t>15%</w:t>
            </w:r>
          </w:p>
        </w:tc>
      </w:tr>
      <w:tr>
        <w:tc>
          <w:tcPr>
            <w:tcW w:type="dxa" w:w="3135"/>
            <w:shd w:val="clear" w:color="auto" w:fill="EEF3F9"/>
          </w:tcPr>
          <w:p>
            <w:r>
              <w:rPr>
                <w:sz w:val="18"/>
              </w:rPr>
              <w:t>5. Import substitution impact</w:t>
            </w:r>
          </w:p>
        </w:tc>
        <w:tc>
          <w:tcPr>
            <w:tcW w:type="dxa" w:w="3135"/>
            <w:shd w:val="clear" w:color="auto" w:fill="EEF3F9"/>
          </w:tcPr>
          <w:p>
            <w:r>
              <w:rPr>
                <w:sz w:val="18"/>
              </w:rPr>
              <w:t>Value of imports domestic production could displace; current-account benefit</w:t>
            </w:r>
          </w:p>
        </w:tc>
        <w:tc>
          <w:tcPr>
            <w:tcW w:type="dxa" w:w="3135"/>
            <w:shd w:val="clear" w:color="auto" w:fill="EEF3F9"/>
          </w:tcPr>
          <w:p>
            <w:r>
              <w:rPr>
                <w:sz w:val="18"/>
              </w:rPr>
              <w:t>15%</w:t>
            </w:r>
          </w:p>
        </w:tc>
      </w:tr>
    </w:tbl>
    <w:p/>
    <w:p>
      <w:r>
        <w:t xml:space="preserve">Each product/sub-sector is scored 1–5 per criterion and weighted into a composite score. Products scoring above 3.5 are designated priorities; those below 2.5 are explicitly deprioritized with rationale; those between are conditional priorities. </w:t>
      </w:r>
      <w:r>
        <w:rPr>
          <w:b/>
        </w:rPr>
        <w:t>Explicit deprioritization is a required output</w:t>
      </w:r>
      <w:r>
        <w:t xml:space="preserve"> for each chain — stating what Uganda should </w:t>
      </w:r>
      <w:r>
        <w:rPr>
          <w:i/>
        </w:rPr>
        <w:t>not</w:t>
      </w:r>
      <w:r>
        <w:t xml:space="preserve"> pursue at this stage is as important as stating what it should.</w:t>
      </w:r>
    </w:p>
    <w:p>
      <w:pPr>
        <w:pStyle w:val="Heading2"/>
      </w:pPr>
      <w:r>
        <w:t>3.6 The Value Chains Application</w:t>
      </w:r>
    </w:p>
    <w:p>
      <w:r>
        <w:t>To make the diagnostic usable beyond the written report, each value chain is modelled as a single underlying data graph that drives both this report and an interactive Value Chains application. The application renders each chain as a decomposition from finished product to inputs, with each node carrying its function, HS codes, live ITC TradeMap trade data, and sources. This ensures the report and the interactive tool remain consistent: the analysis is produced once and presented in both forms.</w:t>
      </w:r>
    </w:p>
    <w:p>
      <w:pPr>
        <w:pStyle w:val="Heading2"/>
      </w:pPr>
      <w:r>
        <w:t>3.7 Validation (Planned)</w:t>
      </w:r>
    </w:p>
    <w:p>
      <w:r>
        <w:t>Because this is a desk-based diagnostic, validation is a distinct, planned step that follows submission. Two mechanisms are planned:</w:t>
      </w:r>
    </w:p>
    <w:p>
      <w:r>
        <w:rPr>
          <w:b/>
        </w:rPr>
        <w:t>Key informant interviews (KIIs)</w:t>
      </w:r>
      <w:r>
        <w:t xml:space="preserve"> — structured interviews with public-sector institutions (MTIC, UIA, URA, UBOS, UNBS, MEMD/DGSM, UNMC, KMC), private-sector manufacturers across the three chains, industry associations (UMA), financial institutions (UDB, UDC, EADB), and research institutions (Makerere, UIRI), to test and enrich the desk findings.</w:t>
      </w:r>
    </w:p>
    <w:p>
      <w:r>
        <w:rPr>
          <w:b/>
        </w:rPr>
        <w:t>Stakeholder validation workshop</w:t>
      </w:r>
      <w:r>
        <w:t xml:space="preserve"> — a structured workshop with the TWG, private-sector actors, financiers, and development partners to test the prioritization findings and action matrices, surface contested points, and agree the final priorities.</w:t>
      </w:r>
    </w:p>
    <w:p>
      <w:r>
        <w:t>Inputs from this process will be incorporated into the final version of the report. Until then, the findings stand as a desk-based diagnostic offered for validation.</w:t>
      </w:r>
    </w:p>
    <w:p>
      <w:pPr>
        <w:pStyle w:val="Heading2"/>
      </w:pPr>
      <w:r>
        <w:t>3.8 Limitations</w:t>
      </w:r>
    </w:p>
    <w:p>
      <w:pPr>
        <w:pStyle w:val="ListBullet"/>
      </w:pPr>
      <w:r>
        <w:rPr>
          <w:b/>
        </w:rPr>
        <w:t>Desk-based scope.</w:t>
      </w:r>
      <w:r>
        <w:t xml:space="preserve"> Findings rest on documentary and statistical evidence, not primary fieldwork. The planned KIIs and workshop (Section 3.7) are the means by which firm-level and on-the-ground realities will be tested.</w:t>
      </w:r>
    </w:p>
    <w:p>
      <w:pPr>
        <w:pStyle w:val="ListBullet"/>
      </w:pPr>
      <w:r>
        <w:rPr>
          <w:b/>
        </w:rPr>
        <w:t>Uneven data depth across chains.</w:t>
      </w:r>
      <w:r>
        <w:t xml:space="preserve"> Iron &amp; Steel benefits from a recent, detailed NPA/UDC assessment (June 2025); Copper and Automotive rely more on official reserve/registration data, company disclosures, and trade data. This is noted where it affects precision.</w:t>
      </w:r>
    </w:p>
    <w:p>
      <w:pPr>
        <w:pStyle w:val="ListBullet"/>
      </w:pPr>
      <w:r>
        <w:rPr>
          <w:b/>
        </w:rPr>
        <w:t>Firm-level statistics.</w:t>
      </w:r>
      <w:r>
        <w:t xml:space="preserve"> Uganda's industrial statistics do not yet capture comprehensive, current firm-level production and employment data for all chains; estimates are triangulated across sources and flagged.</w:t>
      </w:r>
    </w:p>
    <w:p>
      <w:pPr>
        <w:pStyle w:val="ListBullet"/>
      </w:pPr>
      <w:r>
        <w:rPr>
          <w:b/>
        </w:rPr>
        <w:t>Indicative investment figures.</w:t>
      </w:r>
      <w:r>
        <w:t xml:space="preserve"> CAPEX/OPEX figures in the investment chapter are indicative and labelled as such; they are planning estimates, not appraised project costs.</w:t>
      </w:r>
    </w:p>
    <w:p>
      <w:pPr>
        <w:pStyle w:val="ListBullet"/>
      </w:pPr>
      <w:r>
        <w:rPr>
          <w:b/>
        </w:rPr>
        <w:t>Trade-data basis.</w:t>
      </w:r>
      <w:r>
        <w:t xml:space="preserve"> Trade figures are from ITC TradeMap for the latest available year (generally 2024); some partner-level cells are suppressed or lag, which TradeMap notes and which is reflected where relevant.</w:t>
      </w:r>
    </w:p>
    <w:p>
      <w:r>
        <w:t>These limitations define where the validation step and subsequent monitoring will most strengthen the evidence base. They do not alter the direction of the diagnostic's conclusions.</w:t>
      </w:r>
    </w:p>
    <w:p>
      <w:pPr>
        <w:pStyle w:val="Heading2"/>
      </w:pPr>
      <w:r>
        <w:t>References</w:t>
      </w:r>
    </w:p>
    <w:p>
      <w:pPr>
        <w:pStyle w:val="ListBullet"/>
      </w:pPr>
      <w:r>
        <w:t xml:space="preserve">National Planning Authority, </w:t>
      </w:r>
      <w:r>
        <w:rPr>
          <w:i/>
        </w:rPr>
        <w:t>Uganda Vision 2040</w:t>
      </w:r>
      <w:r>
        <w:t xml:space="preserve">; </w:t>
      </w:r>
      <w:r>
        <w:rPr>
          <w:i/>
        </w:rPr>
        <w:t>National Development Plan IV (FY2025/26–2029/30)</w:t>
      </w:r>
      <w:r>
        <w:t>. https://npa.go.ug/national-development-plan/</w:t>
      </w:r>
    </w:p>
    <w:p>
      <w:pPr>
        <w:pStyle w:val="ListBullet"/>
      </w:pPr>
      <w:r>
        <w:t xml:space="preserve">MTIC, </w:t>
      </w:r>
      <w:r>
        <w:rPr>
          <w:i/>
        </w:rPr>
        <w:t>National Industrial Policy 2020</w:t>
      </w:r>
      <w:r>
        <w:t>. https://www.mtic.go.ug/</w:t>
      </w:r>
    </w:p>
    <w:p>
      <w:pPr>
        <w:pStyle w:val="ListBullet"/>
      </w:pPr>
      <w:r>
        <w:t xml:space="preserve">NPA/UDC, </w:t>
      </w:r>
      <w:r>
        <w:rPr>
          <w:i/>
        </w:rPr>
        <w:t>Report on the Mapping and Value Chain Analysis for Uganda's Iron and Steel Industry</w:t>
      </w:r>
      <w:r>
        <w:t xml:space="preserve"> (June 2025). [Repository: </w:t>
      </w:r>
      <w:r>
        <w:rPr>
          <w:rFonts w:ascii="Consolas" w:hAnsi="Consolas"/>
          <w:sz w:val="19"/>
        </w:rPr>
        <w:t>data/</w:t>
      </w:r>
      <w:r>
        <w:t xml:space="preserve"> — provided by MTIC]</w:t>
      </w:r>
    </w:p>
    <w:p>
      <w:pPr>
        <w:pStyle w:val="ListBullet"/>
      </w:pPr>
      <w:r>
        <w:t>Directorate of Geological Survey and Mines. https://dgsm.go.ug/</w:t>
      </w:r>
    </w:p>
    <w:p>
      <w:pPr>
        <w:pStyle w:val="ListBullet"/>
      </w:pPr>
      <w:r>
        <w:t>Electricity Regulatory Authority, end-user tariffs 2025. https://www.era.go.ug/</w:t>
      </w:r>
    </w:p>
    <w:p>
      <w:pPr>
        <w:pStyle w:val="ListBullet"/>
      </w:pPr>
      <w:r>
        <w:t xml:space="preserve">NEMA, </w:t>
      </w:r>
      <w:r>
        <w:rPr>
          <w:i/>
        </w:rPr>
        <w:t>National Environment (Standards for Discharge of Effluent into Water or Land) Regulations 2020</w:t>
      </w:r>
      <w:r>
        <w:t>. https://www.nema.go.ug/</w:t>
      </w:r>
    </w:p>
    <w:p>
      <w:pPr>
        <w:pStyle w:val="ListBullet"/>
      </w:pPr>
      <w:r>
        <w:t xml:space="preserve">World Bank, </w:t>
      </w:r>
      <w:r>
        <w:rPr>
          <w:i/>
        </w:rPr>
        <w:t>World Development Indicators</w:t>
      </w:r>
      <w:r>
        <w:t>. https://data.worldbank.org/country/UG</w:t>
      </w:r>
    </w:p>
    <w:p>
      <w:pPr>
        <w:pStyle w:val="ListBullet"/>
      </w:pPr>
      <w:r>
        <w:t xml:space="preserve">World Steel Association, </w:t>
      </w:r>
      <w:r>
        <w:rPr>
          <w:i/>
        </w:rPr>
        <w:t>World Steel in Figures 2025</w:t>
      </w:r>
      <w:r>
        <w:t>. https://worldsteel.org/data/world-steel-in-figures/</w:t>
      </w:r>
    </w:p>
    <w:p>
      <w:pPr>
        <w:pStyle w:val="ListBullet"/>
      </w:pPr>
      <w:r>
        <w:t xml:space="preserve">International Copper Study Group, </w:t>
      </w:r>
      <w:r>
        <w:rPr>
          <w:i/>
        </w:rPr>
        <w:t>World Copper Factbook 2025</w:t>
      </w:r>
      <w:r>
        <w:t>. https://icsg.org/copper-factbook/</w:t>
      </w:r>
    </w:p>
    <w:p>
      <w:pPr>
        <w:pStyle w:val="ListBullet"/>
      </w:pPr>
      <w:r>
        <w:t xml:space="preserve">Uganda Bankers Association, </w:t>
      </w:r>
      <w:r>
        <w:rPr>
          <w:i/>
        </w:rPr>
        <w:t>Unlocking the Potential of Uganda's Manufacturing Sector</w:t>
      </w:r>
      <w:r>
        <w:t xml:space="preserve"> (2024). https://ugandabankers.org/</w:t>
      </w:r>
    </w:p>
    <w:p>
      <w:pPr>
        <w:pStyle w:val="ListBullet"/>
      </w:pPr>
      <w:r>
        <w:t>ITC TradeMap. https://www.trademap.org</w:t>
      </w:r>
    </w:p>
    <w:p>
      <w:r>
        <w:br w:type="page"/>
      </w:r>
    </w:p>
    <w:p>
      <w:pPr>
        <w:pStyle w:val="Heading1"/>
      </w:pPr>
      <w:r>
        <w:t>Chapter 4: Iron &amp; Steel Value Chain</w:t>
      </w:r>
    </w:p>
    <w:p>
      <w:r>
        <w:rPr>
          <w:b/>
        </w:rPr>
        <w:t>Report:</w:t>
      </w:r>
      <w:r>
        <w:t xml:space="preserve"> Report 1 — Iron &amp; Steel, Copper &amp; Allied Metals, and Automotive Value Chains</w:t>
      </w:r>
    </w:p>
    <w:p>
      <w:r>
        <w:rPr>
          <w:b/>
        </w:rPr>
        <w:t>Status:</w:t>
      </w:r>
      <w:r>
        <w:t xml:space="preserve"> Draft for validation</w:t>
      </w:r>
    </w:p>
    <w:p>
      <w:r>
        <w:rPr>
          <w:b/>
        </w:rPr>
        <w:t>Primary data source:</w:t>
      </w:r>
      <w:r>
        <w:t xml:space="preserve"> NPA/UDC, </w:t>
      </w:r>
      <w:r>
        <w:rPr>
          <w:i/>
        </w:rPr>
        <w:t>Report on the Mapping and Value Chain Analysis for Uganda's Iron and Steel Industry</w:t>
      </w:r>
      <w:r>
        <w:t xml:space="preserve"> (June 2025). Trade figures: ITC TradeMap (2024).</w:t>
      </w:r>
    </w:p>
    <w:p>
      <w:pPr>
        <w:pStyle w:val="Heading2"/>
      </w:pPr>
      <w:r>
        <w:t>4.A Value Chain Map</w:t>
      </w:r>
    </w:p>
    <w:p>
      <w:r>
        <w:t xml:space="preserve">The iron and steel value chain runs through six sequential phases, from iron-ore extraction to market distribution. Uganda has a substantial presence in the </w:t>
      </w:r>
      <w:r>
        <w:rPr>
          <w:b/>
        </w:rPr>
        <w:t>downstream</w:t>
      </w:r>
      <w:r>
        <w:t xml:space="preserve"> phases (rolling and finishing) and a critical gap in the </w:t>
      </w:r>
      <w:r>
        <w:rPr>
          <w:b/>
        </w:rPr>
        <w:t>upstream</w:t>
      </w:r>
      <w:r>
        <w:t xml:space="preserve"> phases (mining, ironmaking, and primary steelmaking) (NPA/UDC, 2025).</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Phase</w:t>
            </w:r>
          </w:p>
        </w:tc>
        <w:tc>
          <w:tcPr>
            <w:tcW w:type="dxa" w:w="2351"/>
            <w:shd w:val="clear" w:color="auto" w:fill="002B5B"/>
          </w:tcPr>
          <w:p>
            <w:r>
              <w:rPr>
                <w:b/>
                <w:color w:val="FFFFFF"/>
                <w:sz w:val="18"/>
              </w:rPr>
              <w:t>Activity</w:t>
            </w:r>
          </w:p>
        </w:tc>
        <w:tc>
          <w:tcPr>
            <w:tcW w:type="dxa" w:w="2351"/>
            <w:shd w:val="clear" w:color="auto" w:fill="002B5B"/>
          </w:tcPr>
          <w:p>
            <w:r>
              <w:rPr>
                <w:b/>
                <w:color w:val="FFFFFF"/>
                <w:sz w:val="18"/>
              </w:rPr>
              <w:t>Main inputs</w:t>
            </w:r>
          </w:p>
        </w:tc>
        <w:tc>
          <w:tcPr>
            <w:tcW w:type="dxa" w:w="2351"/>
            <w:shd w:val="clear" w:color="auto" w:fill="002B5B"/>
          </w:tcPr>
          <w:p>
            <w:r>
              <w:rPr>
                <w:b/>
                <w:color w:val="FFFFFF"/>
                <w:sz w:val="18"/>
              </w:rPr>
              <w:t>Output</w:t>
            </w:r>
          </w:p>
        </w:tc>
      </w:tr>
      <w:tr>
        <w:tc>
          <w:tcPr>
            <w:tcW w:type="dxa" w:w="2351"/>
            <w:shd w:val="clear" w:color="auto" w:fill="EEF3F9"/>
          </w:tcPr>
          <w:p>
            <w:r>
              <w:rPr>
                <w:sz w:val="18"/>
              </w:rPr>
              <w:t>I</w:t>
            </w:r>
          </w:p>
        </w:tc>
        <w:tc>
          <w:tcPr>
            <w:tcW w:type="dxa" w:w="2351"/>
            <w:shd w:val="clear" w:color="auto" w:fill="EEF3F9"/>
          </w:tcPr>
          <w:p>
            <w:r>
              <w:rPr>
                <w:sz w:val="18"/>
              </w:rPr>
              <w:t>Exploration &amp; mining</w:t>
            </w:r>
          </w:p>
        </w:tc>
        <w:tc>
          <w:tcPr>
            <w:tcW w:type="dxa" w:w="2351"/>
            <w:shd w:val="clear" w:color="auto" w:fill="EEF3F9"/>
          </w:tcPr>
          <w:p>
            <w:r>
              <w:rPr>
                <w:sz w:val="18"/>
              </w:rPr>
              <w:t>—</w:t>
            </w:r>
          </w:p>
        </w:tc>
        <w:tc>
          <w:tcPr>
            <w:tcW w:type="dxa" w:w="2351"/>
            <w:shd w:val="clear" w:color="auto" w:fill="EEF3F9"/>
          </w:tcPr>
          <w:p>
            <w:r>
              <w:rPr>
                <w:sz w:val="18"/>
              </w:rPr>
              <w:t>Beneficiated, graded iron ore</w:t>
            </w:r>
          </w:p>
        </w:tc>
      </w:tr>
      <w:tr>
        <w:tc>
          <w:tcPr>
            <w:tcW w:type="dxa" w:w="2351"/>
            <w:shd w:val="clear" w:color="auto" w:fill="FFFFFF"/>
          </w:tcPr>
          <w:p>
            <w:r>
              <w:rPr>
                <w:sz w:val="18"/>
              </w:rPr>
              <w:t>II</w:t>
            </w:r>
          </w:p>
        </w:tc>
        <w:tc>
          <w:tcPr>
            <w:tcW w:type="dxa" w:w="2351"/>
            <w:shd w:val="clear" w:color="auto" w:fill="FFFFFF"/>
          </w:tcPr>
          <w:p>
            <w:r>
              <w:rPr>
                <w:sz w:val="18"/>
              </w:rPr>
              <w:t>Ironmaking</w:t>
            </w:r>
          </w:p>
        </w:tc>
        <w:tc>
          <w:tcPr>
            <w:tcW w:type="dxa" w:w="2351"/>
            <w:shd w:val="clear" w:color="auto" w:fill="FFFFFF"/>
          </w:tcPr>
          <w:p>
            <w:r>
              <w:rPr>
                <w:sz w:val="18"/>
              </w:rPr>
              <w:t>Iron ore, coal/charcoal, dolomite, limestone</w:t>
            </w:r>
          </w:p>
        </w:tc>
        <w:tc>
          <w:tcPr>
            <w:tcW w:type="dxa" w:w="2351"/>
            <w:shd w:val="clear" w:color="auto" w:fill="FFFFFF"/>
          </w:tcPr>
          <w:p>
            <w:r>
              <w:rPr>
                <w:sz w:val="18"/>
              </w:rPr>
              <w:t>Sponge iron (DRI) / pig iron</w:t>
            </w:r>
          </w:p>
        </w:tc>
      </w:tr>
      <w:tr>
        <w:tc>
          <w:tcPr>
            <w:tcW w:type="dxa" w:w="2351"/>
            <w:shd w:val="clear" w:color="auto" w:fill="EEF3F9"/>
          </w:tcPr>
          <w:p>
            <w:r>
              <w:rPr>
                <w:sz w:val="18"/>
              </w:rPr>
              <w:t>III</w:t>
            </w:r>
          </w:p>
        </w:tc>
        <w:tc>
          <w:tcPr>
            <w:tcW w:type="dxa" w:w="2351"/>
            <w:shd w:val="clear" w:color="auto" w:fill="EEF3F9"/>
          </w:tcPr>
          <w:p>
            <w:r>
              <w:rPr>
                <w:sz w:val="18"/>
              </w:rPr>
              <w:t>Steelmaking</w:t>
            </w:r>
          </w:p>
        </w:tc>
        <w:tc>
          <w:tcPr>
            <w:tcW w:type="dxa" w:w="2351"/>
            <w:shd w:val="clear" w:color="auto" w:fill="EEF3F9"/>
          </w:tcPr>
          <w:p>
            <w:r>
              <w:rPr>
                <w:sz w:val="18"/>
              </w:rPr>
              <w:t>Sponge iron, pig iron, scrap</w:t>
            </w:r>
          </w:p>
        </w:tc>
        <w:tc>
          <w:tcPr>
            <w:tcW w:type="dxa" w:w="2351"/>
            <w:shd w:val="clear" w:color="auto" w:fill="EEF3F9"/>
          </w:tcPr>
          <w:p>
            <w:r>
              <w:rPr>
                <w:sz w:val="18"/>
              </w:rPr>
              <w:t>Crude steel</w:t>
            </w:r>
          </w:p>
        </w:tc>
      </w:tr>
      <w:tr>
        <w:tc>
          <w:tcPr>
            <w:tcW w:type="dxa" w:w="2351"/>
            <w:shd w:val="clear" w:color="auto" w:fill="FFFFFF"/>
          </w:tcPr>
          <w:p>
            <w:r>
              <w:rPr>
                <w:sz w:val="18"/>
              </w:rPr>
              <w:t>IV</w:t>
            </w:r>
          </w:p>
        </w:tc>
        <w:tc>
          <w:tcPr>
            <w:tcW w:type="dxa" w:w="2351"/>
            <w:shd w:val="clear" w:color="auto" w:fill="FFFFFF"/>
          </w:tcPr>
          <w:p>
            <w:r>
              <w:rPr>
                <w:sz w:val="18"/>
              </w:rPr>
              <w:t>Continuous casting</w:t>
            </w:r>
          </w:p>
        </w:tc>
        <w:tc>
          <w:tcPr>
            <w:tcW w:type="dxa" w:w="2351"/>
            <w:shd w:val="clear" w:color="auto" w:fill="FFFFFF"/>
          </w:tcPr>
          <w:p>
            <w:r>
              <w:rPr>
                <w:sz w:val="18"/>
              </w:rPr>
              <w:t>Liquid steel</w:t>
            </w:r>
          </w:p>
        </w:tc>
        <w:tc>
          <w:tcPr>
            <w:tcW w:type="dxa" w:w="2351"/>
            <w:shd w:val="clear" w:color="auto" w:fill="FFFFFF"/>
          </w:tcPr>
          <w:p>
            <w:r>
              <w:rPr>
                <w:sz w:val="18"/>
              </w:rPr>
              <w:t>Billets, blooms, slabs</w:t>
            </w:r>
          </w:p>
        </w:tc>
      </w:tr>
      <w:tr>
        <w:tc>
          <w:tcPr>
            <w:tcW w:type="dxa" w:w="2351"/>
            <w:shd w:val="clear" w:color="auto" w:fill="EEF3F9"/>
          </w:tcPr>
          <w:p>
            <w:r>
              <w:rPr>
                <w:sz w:val="18"/>
              </w:rPr>
              <w:t>V</w:t>
            </w:r>
          </w:p>
        </w:tc>
        <w:tc>
          <w:tcPr>
            <w:tcW w:type="dxa" w:w="2351"/>
            <w:shd w:val="clear" w:color="auto" w:fill="EEF3F9"/>
          </w:tcPr>
          <w:p>
            <w:r>
              <w:rPr>
                <w:sz w:val="18"/>
              </w:rPr>
              <w:t>Rolling &amp; finishing</w:t>
            </w:r>
          </w:p>
        </w:tc>
        <w:tc>
          <w:tcPr>
            <w:tcW w:type="dxa" w:w="2351"/>
            <w:shd w:val="clear" w:color="auto" w:fill="EEF3F9"/>
          </w:tcPr>
          <w:p>
            <w:r>
              <w:rPr>
                <w:sz w:val="18"/>
              </w:rPr>
              <w:t>Billets, slabs, coil, wire rod</w:t>
            </w:r>
          </w:p>
        </w:tc>
        <w:tc>
          <w:tcPr>
            <w:tcW w:type="dxa" w:w="2351"/>
            <w:shd w:val="clear" w:color="auto" w:fill="EEF3F9"/>
          </w:tcPr>
          <w:p>
            <w:r>
              <w:rPr>
                <w:sz w:val="18"/>
              </w:rPr>
              <w:t>Long, flat, tubular, wire, structural &amp; roofing products</w:t>
            </w:r>
          </w:p>
        </w:tc>
      </w:tr>
      <w:tr>
        <w:tc>
          <w:tcPr>
            <w:tcW w:type="dxa" w:w="2351"/>
            <w:shd w:val="clear" w:color="auto" w:fill="FFFFFF"/>
          </w:tcPr>
          <w:p>
            <w:r>
              <w:rPr>
                <w:sz w:val="18"/>
              </w:rPr>
              <w:t>VI</w:t>
            </w:r>
          </w:p>
        </w:tc>
        <w:tc>
          <w:tcPr>
            <w:tcW w:type="dxa" w:w="2351"/>
            <w:shd w:val="clear" w:color="auto" w:fill="FFFFFF"/>
          </w:tcPr>
          <w:p>
            <w:r>
              <w:rPr>
                <w:sz w:val="18"/>
              </w:rPr>
              <w:t>Market</w:t>
            </w:r>
          </w:p>
        </w:tc>
        <w:tc>
          <w:tcPr>
            <w:tcW w:type="dxa" w:w="2351"/>
            <w:shd w:val="clear" w:color="auto" w:fill="FFFFFF"/>
          </w:tcPr>
          <w:p>
            <w:r>
              <w:rPr>
                <w:sz w:val="18"/>
              </w:rPr>
              <w:t>Finished products</w:t>
            </w:r>
          </w:p>
        </w:tc>
        <w:tc>
          <w:tcPr>
            <w:tcW w:type="dxa" w:w="2351"/>
            <w:shd w:val="clear" w:color="auto" w:fill="FFFFFF"/>
          </w:tcPr>
          <w:p>
            <w:r>
              <w:rPr>
                <w:sz w:val="18"/>
              </w:rPr>
              <w:t>Domestic &amp; regional sales</w:t>
            </w:r>
          </w:p>
        </w:tc>
      </w:tr>
    </w:tbl>
    <w:p/>
    <w:p>
      <w:r>
        <w:rPr>
          <w:b/>
        </w:rPr>
        <w:t>Where value is captured and lost.</w:t>
      </w:r>
      <w:r>
        <w:t xml:space="preserve"> Uganda's mills are concentrated in Phase V (rolling and finishing) and depend heavily on </w:t>
      </w:r>
      <w:r>
        <w:rPr>
          <w:b/>
        </w:rPr>
        <w:t>imported semi-finished steel</w:t>
      </w:r>
      <w:r>
        <w:t xml:space="preserve"> (billets and slabs, HS 7207) and </w:t>
      </w:r>
      <w:r>
        <w:rPr>
          <w:b/>
        </w:rPr>
        <w:t>scrap</w:t>
      </w:r>
      <w:r>
        <w:t xml:space="preserve"> (HS 7204) as feedstock, because domestic Phase I–III capacity is minimal. The clearest evidence of this structural gap is in the trade data: Uganda exported </w:t>
      </w:r>
      <w:r>
        <w:rPr>
          <w:b/>
        </w:rPr>
        <w:t>USD 35.8 million of raw iron ore (HS 2601) in 2024, almost entirely to Kenya, while importing essentially none</w:t>
      </w:r>
      <w:r>
        <w:t xml:space="preserve"> (ITC TradeMap, HS 2601, 2024) — ore leaves the country unprocessed, then steel returns as imports. Conversely, Uganda imported </w:t>
      </w:r>
      <w:r>
        <w:rPr>
          <w:b/>
        </w:rPr>
        <w:t>USD 78.5 million of semi-finished steel (HS 7207) in 2024</w:t>
      </w:r>
      <w:r>
        <w:t>, up sharply from USD 43.0 million in 2023 (ITC TradeMap, HS 7207, 2024). The value-addition opportunity lies in closing the upstream gap.</w:t>
      </w:r>
    </w:p>
    <w:p>
      <w:r>
        <w:rPr>
          <w:b/>
        </w:rPr>
        <w:t>Indicative value addition by phase</w:t>
      </w:r>
      <w:r>
        <w:t xml:space="preserve"> (per tonne of steel, illustrative at ~USD 750/t; NPA/UDC 2025):</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Phase</w:t>
            </w:r>
          </w:p>
        </w:tc>
        <w:tc>
          <w:tcPr>
            <w:tcW w:type="dxa" w:w="4703"/>
            <w:shd w:val="clear" w:color="auto" w:fill="002B5B"/>
          </w:tcPr>
          <w:p>
            <w:r>
              <w:rPr>
                <w:b/>
                <w:color w:val="FFFFFF"/>
                <w:sz w:val="18"/>
              </w:rPr>
              <w:t>Incremental value addition</w:t>
            </w:r>
          </w:p>
        </w:tc>
      </w:tr>
      <w:tr>
        <w:tc>
          <w:tcPr>
            <w:tcW w:type="dxa" w:w="4703"/>
            <w:shd w:val="clear" w:color="auto" w:fill="EEF3F9"/>
          </w:tcPr>
          <w:p>
            <w:r>
              <w:rPr>
                <w:sz w:val="18"/>
              </w:rPr>
              <w:t>Mining &amp; beneficiation</w:t>
            </w:r>
          </w:p>
        </w:tc>
        <w:tc>
          <w:tcPr>
            <w:tcW w:type="dxa" w:w="4703"/>
            <w:shd w:val="clear" w:color="auto" w:fill="EEF3F9"/>
          </w:tcPr>
          <w:p>
            <w:r>
              <w:rPr>
                <w:sz w:val="18"/>
              </w:rPr>
              <w:t>5–10%</w:t>
            </w:r>
          </w:p>
        </w:tc>
      </w:tr>
      <w:tr>
        <w:tc>
          <w:tcPr>
            <w:tcW w:type="dxa" w:w="4703"/>
            <w:shd w:val="clear" w:color="auto" w:fill="FFFFFF"/>
          </w:tcPr>
          <w:p>
            <w:r>
              <w:rPr>
                <w:sz w:val="18"/>
              </w:rPr>
              <w:t>Ironmaking (DRI)</w:t>
            </w:r>
          </w:p>
        </w:tc>
        <w:tc>
          <w:tcPr>
            <w:tcW w:type="dxa" w:w="4703"/>
            <w:shd w:val="clear" w:color="auto" w:fill="FFFFFF"/>
          </w:tcPr>
          <w:p>
            <w:r>
              <w:rPr>
                <w:sz w:val="18"/>
              </w:rPr>
              <w:t>15–25%</w:t>
            </w:r>
          </w:p>
        </w:tc>
      </w:tr>
      <w:tr>
        <w:tc>
          <w:tcPr>
            <w:tcW w:type="dxa" w:w="4703"/>
            <w:shd w:val="clear" w:color="auto" w:fill="EEF3F9"/>
          </w:tcPr>
          <w:p>
            <w:r>
              <w:rPr>
                <w:sz w:val="18"/>
              </w:rPr>
              <w:t>Steelmaking</w:t>
            </w:r>
          </w:p>
        </w:tc>
        <w:tc>
          <w:tcPr>
            <w:tcW w:type="dxa" w:w="4703"/>
            <w:shd w:val="clear" w:color="auto" w:fill="EEF3F9"/>
          </w:tcPr>
          <w:p>
            <w:r>
              <w:rPr>
                <w:sz w:val="18"/>
              </w:rPr>
              <w:t>20–30%</w:t>
            </w:r>
          </w:p>
        </w:tc>
      </w:tr>
      <w:tr>
        <w:tc>
          <w:tcPr>
            <w:tcW w:type="dxa" w:w="4703"/>
            <w:shd w:val="clear" w:color="auto" w:fill="FFFFFF"/>
          </w:tcPr>
          <w:p>
            <w:r>
              <w:rPr>
                <w:sz w:val="18"/>
              </w:rPr>
              <w:t>Continuous casting</w:t>
            </w:r>
          </w:p>
        </w:tc>
        <w:tc>
          <w:tcPr>
            <w:tcW w:type="dxa" w:w="4703"/>
            <w:shd w:val="clear" w:color="auto" w:fill="FFFFFF"/>
          </w:tcPr>
          <w:p>
            <w:r>
              <w:rPr>
                <w:sz w:val="18"/>
              </w:rPr>
              <w:t>10–15%</w:t>
            </w:r>
          </w:p>
        </w:tc>
      </w:tr>
      <w:tr>
        <w:tc>
          <w:tcPr>
            <w:tcW w:type="dxa" w:w="4703"/>
            <w:shd w:val="clear" w:color="auto" w:fill="EEF3F9"/>
          </w:tcPr>
          <w:p>
            <w:r>
              <w:rPr>
                <w:sz w:val="18"/>
              </w:rPr>
              <w:t>Rolling &amp; finishing</w:t>
            </w:r>
          </w:p>
        </w:tc>
        <w:tc>
          <w:tcPr>
            <w:tcW w:type="dxa" w:w="4703"/>
            <w:shd w:val="clear" w:color="auto" w:fill="EEF3F9"/>
          </w:tcPr>
          <w:p>
            <w:r>
              <w:rPr>
                <w:sz w:val="18"/>
              </w:rPr>
              <w:t>10–20%</w:t>
            </w:r>
          </w:p>
        </w:tc>
      </w:tr>
    </w:tbl>
    <w:p/>
    <w:p>
      <w:r>
        <w:t>The single largest value-addition steps — ironmaking and steelmaking — are precisely the steps Uganda has barely begun.</w:t>
      </w:r>
    </w:p>
    <w:p>
      <w:pPr>
        <w:pStyle w:val="Heading2"/>
      </w:pPr>
      <w:r>
        <w:t>4.B Current State Assessment</w:t>
      </w:r>
    </w:p>
    <w:p>
      <w:r>
        <w:rPr>
          <w:b/>
        </w:rPr>
        <w:t>Installed capacity and utilization.</w:t>
      </w:r>
      <w:r>
        <w:t xml:space="preserve"> The NPA/UDC (2025) assessment records total installed capacity of approximately </w:t>
      </w:r>
      <w:r>
        <w:rPr>
          <w:b/>
        </w:rPr>
        <w:t>1.68 million tonnes per annum (tpa)</w:t>
      </w:r>
      <w:r>
        <w:t xml:space="preserve"> across the industry, operating at roughly </w:t>
      </w:r>
      <w:r>
        <w:rPr>
          <w:b/>
        </w:rPr>
        <w:t>30% utilization</w:t>
      </w:r>
      <w:r>
        <w:t xml:space="preserve"> — meaning around two-thirds of existing capacity is idle, even before any new investment. Low utilization is driven by feedstock cost, energy cost, and competition from imports.</w:t>
      </w:r>
    </w:p>
    <w:p>
      <w:r>
        <w:rPr>
          <w:b/>
        </w:rPr>
        <w:t>Firms and structure.</w:t>
      </w:r>
      <w:r>
        <w:t xml:space="preserve"> The industry is concentrated in downstream rolling and finishing, with an estimated 40+ firms across the chain (NPA/UDC 2025). Leading players include: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Firm</w:t>
            </w:r>
          </w:p>
        </w:tc>
        <w:tc>
          <w:tcPr>
            <w:tcW w:type="dxa" w:w="3135"/>
            <w:shd w:val="clear" w:color="auto" w:fill="002B5B"/>
          </w:tcPr>
          <w:p>
            <w:r>
              <w:rPr>
                <w:b/>
                <w:color w:val="FFFFFF"/>
                <w:sz w:val="18"/>
              </w:rPr>
              <w:t>Role</w:t>
            </w:r>
          </w:p>
        </w:tc>
        <w:tc>
          <w:tcPr>
            <w:tcW w:type="dxa" w:w="3135"/>
            <w:shd w:val="clear" w:color="auto" w:fill="002B5B"/>
          </w:tcPr>
          <w:p>
            <w:r>
              <w:rPr>
                <w:b/>
                <w:color w:val="FFFFFF"/>
                <w:sz w:val="18"/>
              </w:rPr>
              <w:t>Notes</w:t>
            </w:r>
          </w:p>
        </w:tc>
      </w:tr>
      <w:tr>
        <w:tc>
          <w:tcPr>
            <w:tcW w:type="dxa" w:w="3135"/>
            <w:shd w:val="clear" w:color="auto" w:fill="EEF3F9"/>
          </w:tcPr>
          <w:p>
            <w:r>
              <w:rPr>
                <w:sz w:val="18"/>
              </w:rPr>
              <w:t>Tembo Steel (U) Ltd</w:t>
            </w:r>
          </w:p>
        </w:tc>
        <w:tc>
          <w:tcPr>
            <w:tcW w:type="dxa" w:w="3135"/>
            <w:shd w:val="clear" w:color="auto" w:fill="EEF3F9"/>
          </w:tcPr>
          <w:p>
            <w:r>
              <w:rPr>
                <w:sz w:val="18"/>
              </w:rPr>
              <w:t>Closest to integrated production</w:t>
            </w:r>
          </w:p>
        </w:tc>
        <w:tc>
          <w:tcPr>
            <w:tcW w:type="dxa" w:w="3135"/>
            <w:shd w:val="clear" w:color="auto" w:fill="EEF3F9"/>
          </w:tcPr>
          <w:p>
            <w:r>
              <w:rPr>
                <w:sz w:val="18"/>
              </w:rPr>
              <w:t>Operates Uganda's main sponge-iron (DRI) capacity; commissioned a second DRI plant in January 2025 (~250,000 t), the only producer reaching upstream (State House Uganda, 2025)</w:t>
            </w:r>
          </w:p>
        </w:tc>
      </w:tr>
      <w:tr>
        <w:tc>
          <w:tcPr>
            <w:tcW w:type="dxa" w:w="3135"/>
            <w:shd w:val="clear" w:color="auto" w:fill="FFFFFF"/>
          </w:tcPr>
          <w:p>
            <w:r>
              <w:rPr>
                <w:sz w:val="18"/>
              </w:rPr>
              <w:t>Roofings Ltd / Roofings Rolling Mills</w:t>
            </w:r>
          </w:p>
        </w:tc>
        <w:tc>
          <w:tcPr>
            <w:tcW w:type="dxa" w:w="3135"/>
            <w:shd w:val="clear" w:color="auto" w:fill="FFFFFF"/>
          </w:tcPr>
          <w:p>
            <w:r>
              <w:rPr>
                <w:sz w:val="18"/>
              </w:rPr>
              <w:t>Long products, wire, roofing, coated sheet</w:t>
            </w:r>
          </w:p>
        </w:tc>
        <w:tc>
          <w:tcPr>
            <w:tcW w:type="dxa" w:w="3135"/>
            <w:shd w:val="clear" w:color="auto" w:fill="FFFFFF"/>
          </w:tcPr>
          <w:p>
            <w:r>
              <w:rPr>
                <w:sz w:val="18"/>
              </w:rPr>
              <w:t>~1,850 permanent employees (2021); two integrated entities (African Business, 2021)</w:t>
            </w:r>
          </w:p>
        </w:tc>
      </w:tr>
      <w:tr>
        <w:tc>
          <w:tcPr>
            <w:tcW w:type="dxa" w:w="3135"/>
            <w:shd w:val="clear" w:color="auto" w:fill="EEF3F9"/>
          </w:tcPr>
          <w:p>
            <w:r>
              <w:rPr>
                <w:sz w:val="18"/>
              </w:rPr>
              <w:t>Steel &amp; Tube Industries Ltd (STIL)</w:t>
            </w:r>
          </w:p>
        </w:tc>
        <w:tc>
          <w:tcPr>
            <w:tcW w:type="dxa" w:w="3135"/>
            <w:shd w:val="clear" w:color="auto" w:fill="EEF3F9"/>
          </w:tcPr>
          <w:p>
            <w:r>
              <w:rPr>
                <w:sz w:val="18"/>
              </w:rPr>
              <w:t>Long products, tubes, sections</w:t>
            </w:r>
          </w:p>
        </w:tc>
        <w:tc>
          <w:tcPr>
            <w:tcW w:type="dxa" w:w="3135"/>
            <w:shd w:val="clear" w:color="auto" w:fill="EEF3F9"/>
          </w:tcPr>
          <w:p>
            <w:r>
              <w:rPr>
                <w:sz w:val="18"/>
              </w:rPr>
              <w:t>~1,080 permanent staff; ~6,000 total beneficiaries including the wider value chain (Uganda Development Bank)</w:t>
            </w:r>
          </w:p>
        </w:tc>
      </w:tr>
      <w:tr>
        <w:tc>
          <w:tcPr>
            <w:tcW w:type="dxa" w:w="3135"/>
            <w:shd w:val="clear" w:color="auto" w:fill="FFFFFF"/>
          </w:tcPr>
          <w:p>
            <w:r>
              <w:rPr>
                <w:sz w:val="18"/>
              </w:rPr>
              <w:t>Uganda Baati Ltd</w:t>
            </w:r>
          </w:p>
        </w:tc>
        <w:tc>
          <w:tcPr>
            <w:tcW w:type="dxa" w:w="3135"/>
            <w:shd w:val="clear" w:color="auto" w:fill="FFFFFF"/>
          </w:tcPr>
          <w:p>
            <w:r>
              <w:rPr>
                <w:sz w:val="18"/>
              </w:rPr>
              <w:t>Roofing &amp; coated sheet</w:t>
            </w:r>
          </w:p>
        </w:tc>
        <w:tc>
          <w:tcPr>
            <w:tcW w:type="dxa" w:w="3135"/>
            <w:shd w:val="clear" w:color="auto" w:fill="FFFFFF"/>
          </w:tcPr>
          <w:p>
            <w:r>
              <w:rPr>
                <w:sz w:val="18"/>
              </w:rPr>
              <w:t>Leading roofing-sheet manufacturer</w:t>
            </w:r>
          </w:p>
        </w:tc>
      </w:tr>
      <w:tr>
        <w:tc>
          <w:tcPr>
            <w:tcW w:type="dxa" w:w="3135"/>
            <w:shd w:val="clear" w:color="auto" w:fill="EEF3F9"/>
          </w:tcPr>
          <w:p>
            <w:r>
              <w:rPr>
                <w:sz w:val="18"/>
              </w:rPr>
              <w:t>BM Steel, Pramukh, Sembule, Yogi Steels, Abyssinia, others</w:t>
            </w:r>
          </w:p>
        </w:tc>
        <w:tc>
          <w:tcPr>
            <w:tcW w:type="dxa" w:w="3135"/>
            <w:shd w:val="clear" w:color="auto" w:fill="EEF3F9"/>
          </w:tcPr>
          <w:p>
            <w:r>
              <w:rPr>
                <w:sz w:val="18"/>
              </w:rPr>
              <w:t>Rolling, sections, wire</w:t>
            </w:r>
          </w:p>
        </w:tc>
        <w:tc>
          <w:tcPr>
            <w:tcW w:type="dxa" w:w="3135"/>
            <w:shd w:val="clear" w:color="auto" w:fill="EEF3F9"/>
          </w:tcPr>
          <w:p>
            <w:r>
              <w:rPr>
                <w:sz w:val="18"/>
              </w:rPr>
              <w:t>Downstream finishing</w:t>
            </w:r>
          </w:p>
        </w:tc>
      </w:tr>
    </w:tbl>
    <w:p/>
    <w:p>
      <w:r>
        <w:rPr>
          <w:b/>
        </w:rPr>
        <w:t>Employment.</w:t>
      </w:r>
      <w:r>
        <w:t xml:space="preserve"> The chain is a significant industrial employer, with the larger firms each employing in the high hundreds to low thousands, and substantial indirect employment in construction, fabrication, and distribution (UDB; NPA/UDC 2025).</w:t>
      </w:r>
    </w:p>
    <w:p>
      <w:r>
        <w:rPr>
          <w:b/>
        </w:rPr>
        <w:t>Trade position (ITC TradeMap, 2024).</w:t>
      </w:r>
      <w:r>
        <w:t xml:space="preserve"> The trade data tells the core story of import dependence in the upstream and flat-steel segments, and competitiveness in the long-products segment: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Segment (HS)</w:t>
            </w:r>
          </w:p>
        </w:tc>
        <w:tc>
          <w:tcPr>
            <w:tcW w:type="dxa" w:w="2351"/>
            <w:shd w:val="clear" w:color="auto" w:fill="002B5B"/>
          </w:tcPr>
          <w:p>
            <w:r>
              <w:rPr>
                <w:b/>
                <w:color w:val="FFFFFF"/>
                <w:sz w:val="18"/>
              </w:rPr>
              <w:t>Imports 2024</w:t>
            </w:r>
          </w:p>
        </w:tc>
        <w:tc>
          <w:tcPr>
            <w:tcW w:type="dxa" w:w="2351"/>
            <w:shd w:val="clear" w:color="auto" w:fill="002B5B"/>
          </w:tcPr>
          <w:p>
            <w:r>
              <w:rPr>
                <w:b/>
                <w:color w:val="FFFFFF"/>
                <w:sz w:val="18"/>
              </w:rPr>
              <w:t>Exports 2024</w:t>
            </w:r>
          </w:p>
        </w:tc>
        <w:tc>
          <w:tcPr>
            <w:tcW w:type="dxa" w:w="2351"/>
            <w:shd w:val="clear" w:color="auto" w:fill="002B5B"/>
          </w:tcPr>
          <w:p>
            <w:r>
              <w:rPr>
                <w:b/>
                <w:color w:val="FFFFFF"/>
                <w:sz w:val="18"/>
              </w:rPr>
              <w:t>Reading</w:t>
            </w:r>
          </w:p>
        </w:tc>
      </w:tr>
      <w:tr>
        <w:tc>
          <w:tcPr>
            <w:tcW w:type="dxa" w:w="2351"/>
            <w:shd w:val="clear" w:color="auto" w:fill="EEF3F9"/>
          </w:tcPr>
          <w:p>
            <w:r>
              <w:rPr>
                <w:sz w:val="18"/>
              </w:rPr>
              <w:t>Flat-rolled, hot-rolled (7208)</w:t>
            </w:r>
          </w:p>
        </w:tc>
        <w:tc>
          <w:tcPr>
            <w:tcW w:type="dxa" w:w="2351"/>
            <w:shd w:val="clear" w:color="auto" w:fill="EEF3F9"/>
          </w:tcPr>
          <w:p>
            <w:r>
              <w:rPr>
                <w:sz w:val="18"/>
              </w:rPr>
              <w:t>USD 219.5m (China, Japan, Korea)</w:t>
            </w:r>
          </w:p>
        </w:tc>
        <w:tc>
          <w:tcPr>
            <w:tcW w:type="dxa" w:w="2351"/>
            <w:shd w:val="clear" w:color="auto" w:fill="EEF3F9"/>
          </w:tcPr>
          <w:p>
            <w:r>
              <w:rPr>
                <w:sz w:val="18"/>
              </w:rPr>
              <w:t>USD 2.9m</w:t>
            </w:r>
          </w:p>
        </w:tc>
        <w:tc>
          <w:tcPr>
            <w:tcW w:type="dxa" w:w="2351"/>
            <w:shd w:val="clear" w:color="auto" w:fill="EEF3F9"/>
          </w:tcPr>
          <w:p>
            <w:r>
              <w:rPr>
                <w:sz w:val="18"/>
              </w:rPr>
              <w:t xml:space="preserve">Large deficit — </w:t>
            </w:r>
            <w:r>
              <w:rPr>
                <w:b/>
                <w:sz w:val="18"/>
              </w:rPr>
              <w:t>no domestic flat-rolling</w:t>
            </w:r>
          </w:p>
        </w:tc>
      </w:tr>
      <w:tr>
        <w:tc>
          <w:tcPr>
            <w:tcW w:type="dxa" w:w="2351"/>
            <w:shd w:val="clear" w:color="auto" w:fill="FFFFFF"/>
          </w:tcPr>
          <w:p>
            <w:r>
              <w:rPr>
                <w:sz w:val="18"/>
              </w:rPr>
              <w:t>Bars &amp; rods in coil (7213)</w:t>
            </w:r>
          </w:p>
        </w:tc>
        <w:tc>
          <w:tcPr>
            <w:tcW w:type="dxa" w:w="2351"/>
            <w:shd w:val="clear" w:color="auto" w:fill="FFFFFF"/>
          </w:tcPr>
          <w:p>
            <w:r>
              <w:rPr>
                <w:sz w:val="18"/>
              </w:rPr>
              <w:t>USD 34.1m (China, Egypt, S. Africa)</w:t>
            </w:r>
          </w:p>
        </w:tc>
        <w:tc>
          <w:tcPr>
            <w:tcW w:type="dxa" w:w="2351"/>
            <w:shd w:val="clear" w:color="auto" w:fill="FFFFFF"/>
          </w:tcPr>
          <w:p>
            <w:r>
              <w:rPr>
                <w:sz w:val="18"/>
              </w:rPr>
              <w:t>USD 0.5m</w:t>
            </w:r>
          </w:p>
        </w:tc>
        <w:tc>
          <w:tcPr>
            <w:tcW w:type="dxa" w:w="2351"/>
            <w:shd w:val="clear" w:color="auto" w:fill="FFFFFF"/>
          </w:tcPr>
          <w:p>
            <w:r>
              <w:rPr>
                <w:sz w:val="18"/>
              </w:rPr>
              <w:t>Net importer of wire rod</w:t>
            </w:r>
          </w:p>
        </w:tc>
      </w:tr>
      <w:tr>
        <w:tc>
          <w:tcPr>
            <w:tcW w:type="dxa" w:w="2351"/>
            <w:shd w:val="clear" w:color="auto" w:fill="EEF3F9"/>
          </w:tcPr>
          <w:p>
            <w:r>
              <w:rPr>
                <w:sz w:val="18"/>
              </w:rPr>
              <w:t>Other bars &amp; rods (7214 — rebar)</w:t>
            </w:r>
          </w:p>
        </w:tc>
        <w:tc>
          <w:tcPr>
            <w:tcW w:type="dxa" w:w="2351"/>
            <w:shd w:val="clear" w:color="auto" w:fill="EEF3F9"/>
          </w:tcPr>
          <w:p>
            <w:r>
              <w:rPr>
                <w:sz w:val="18"/>
              </w:rPr>
              <w:t>USD 2.7m</w:t>
            </w:r>
          </w:p>
        </w:tc>
        <w:tc>
          <w:tcPr>
            <w:tcW w:type="dxa" w:w="2351"/>
            <w:shd w:val="clear" w:color="auto" w:fill="EEF3F9"/>
          </w:tcPr>
          <w:p>
            <w:r>
              <w:rPr>
                <w:b/>
                <w:sz w:val="18"/>
              </w:rPr>
              <w:t>USD 55.8m</w:t>
            </w:r>
            <w:r>
              <w:rPr>
                <w:sz w:val="18"/>
              </w:rPr>
              <w:t xml:space="preserve"> (S. Sudan, DRC, Kenya)</w:t>
            </w:r>
          </w:p>
        </w:tc>
        <w:tc>
          <w:tcPr>
            <w:tcW w:type="dxa" w:w="2351"/>
            <w:shd w:val="clear" w:color="auto" w:fill="EEF3F9"/>
          </w:tcPr>
          <w:p>
            <w:r>
              <w:rPr>
                <w:b/>
                <w:sz w:val="18"/>
              </w:rPr>
              <w:t>Net exporter — competitive</w:t>
            </w:r>
          </w:p>
        </w:tc>
      </w:tr>
      <w:tr>
        <w:tc>
          <w:tcPr>
            <w:tcW w:type="dxa" w:w="2351"/>
            <w:shd w:val="clear" w:color="auto" w:fill="FFFFFF"/>
          </w:tcPr>
          <w:p>
            <w:r>
              <w:rPr>
                <w:sz w:val="18"/>
              </w:rPr>
              <w:t>Semi-finished (7207, billet/slab)</w:t>
            </w:r>
          </w:p>
        </w:tc>
        <w:tc>
          <w:tcPr>
            <w:tcW w:type="dxa" w:w="2351"/>
            <w:shd w:val="clear" w:color="auto" w:fill="FFFFFF"/>
          </w:tcPr>
          <w:p>
            <w:r>
              <w:rPr>
                <w:sz w:val="18"/>
              </w:rPr>
              <w:t>USD 78.5m (S. Africa, China, Oman)</w:t>
            </w:r>
          </w:p>
        </w:tc>
        <w:tc>
          <w:tcPr>
            <w:tcW w:type="dxa" w:w="2351"/>
            <w:shd w:val="clear" w:color="auto" w:fill="FFFFFF"/>
          </w:tcPr>
          <w:p>
            <w:r>
              <w:rPr>
                <w:sz w:val="18"/>
              </w:rPr>
              <w:t>USD 2.5m</w:t>
            </w:r>
          </w:p>
        </w:tc>
        <w:tc>
          <w:tcPr>
            <w:tcW w:type="dxa" w:w="2351"/>
            <w:shd w:val="clear" w:color="auto" w:fill="FFFFFF"/>
          </w:tcPr>
          <w:p>
            <w:r>
              <w:rPr>
                <w:sz w:val="18"/>
              </w:rPr>
              <w:t xml:space="preserve">Large deficit — </w:t>
            </w:r>
            <w:r>
              <w:rPr>
                <w:b/>
                <w:sz w:val="18"/>
              </w:rPr>
              <w:t>no primary steelmaking</w:t>
            </w:r>
          </w:p>
        </w:tc>
      </w:tr>
      <w:tr>
        <w:tc>
          <w:tcPr>
            <w:tcW w:type="dxa" w:w="2351"/>
            <w:shd w:val="clear" w:color="auto" w:fill="EEF3F9"/>
          </w:tcPr>
          <w:p>
            <w:r>
              <w:rPr>
                <w:sz w:val="18"/>
              </w:rPr>
              <w:t>Ferrous scrap (7204)</w:t>
            </w:r>
          </w:p>
        </w:tc>
        <w:tc>
          <w:tcPr>
            <w:tcW w:type="dxa" w:w="2351"/>
            <w:shd w:val="clear" w:color="auto" w:fill="EEF3F9"/>
          </w:tcPr>
          <w:p>
            <w:r>
              <w:rPr>
                <w:sz w:val="18"/>
              </w:rPr>
              <w:t>USD 72.8m (S. Sudan, Kenya, UK)</w:t>
            </w:r>
          </w:p>
        </w:tc>
        <w:tc>
          <w:tcPr>
            <w:tcW w:type="dxa" w:w="2351"/>
            <w:shd w:val="clear" w:color="auto" w:fill="EEF3F9"/>
          </w:tcPr>
          <w:p>
            <w:r>
              <w:rPr>
                <w:sz w:val="18"/>
              </w:rPr>
              <w:t>negligible</w:t>
            </w:r>
          </w:p>
        </w:tc>
        <w:tc>
          <w:tcPr>
            <w:tcW w:type="dxa" w:w="2351"/>
            <w:shd w:val="clear" w:color="auto" w:fill="EEF3F9"/>
          </w:tcPr>
          <w:p>
            <w:r>
              <w:rPr>
                <w:sz w:val="18"/>
              </w:rPr>
              <w:t>Feedstock dependence on imported scrap</w:t>
            </w:r>
          </w:p>
        </w:tc>
      </w:tr>
      <w:tr>
        <w:tc>
          <w:tcPr>
            <w:tcW w:type="dxa" w:w="2351"/>
            <w:shd w:val="clear" w:color="auto" w:fill="FFFFFF"/>
          </w:tcPr>
          <w:p>
            <w:r>
              <w:rPr>
                <w:sz w:val="18"/>
              </w:rPr>
              <w:t>Iron ore (2601)</w:t>
            </w:r>
          </w:p>
        </w:tc>
        <w:tc>
          <w:tcPr>
            <w:tcW w:type="dxa" w:w="2351"/>
            <w:shd w:val="clear" w:color="auto" w:fill="FFFFFF"/>
          </w:tcPr>
          <w:p>
            <w:r>
              <w:rPr>
                <w:sz w:val="18"/>
              </w:rPr>
              <w:t>~0</w:t>
            </w:r>
          </w:p>
        </w:tc>
        <w:tc>
          <w:tcPr>
            <w:tcW w:type="dxa" w:w="2351"/>
            <w:shd w:val="clear" w:color="auto" w:fill="FFFFFF"/>
          </w:tcPr>
          <w:p>
            <w:r>
              <w:rPr>
                <w:b/>
                <w:sz w:val="18"/>
              </w:rPr>
              <w:t>USD 35.8m</w:t>
            </w:r>
            <w:r>
              <w:rPr>
                <w:sz w:val="18"/>
              </w:rPr>
              <w:t xml:space="preserve"> (Kenya)</w:t>
            </w:r>
          </w:p>
        </w:tc>
        <w:tc>
          <w:tcPr>
            <w:tcW w:type="dxa" w:w="2351"/>
            <w:shd w:val="clear" w:color="auto" w:fill="FFFFFF"/>
          </w:tcPr>
          <w:p>
            <w:r>
              <w:rPr>
                <w:b/>
                <w:sz w:val="18"/>
              </w:rPr>
              <w:t>Raw ore exported unprocessed</w:t>
            </w:r>
          </w:p>
        </w:tc>
      </w:tr>
    </w:tbl>
    <w:p/>
    <w:p>
      <w:r>
        <w:t xml:space="preserve">The pattern is unambiguous: Uganda is </w:t>
      </w:r>
      <w:r>
        <w:rPr>
          <w:b/>
        </w:rPr>
        <w:t>competitive in finished long products (rebar)</w:t>
      </w:r>
      <w:r>
        <w:t xml:space="preserve"> — exporting some USD 56 million in 2024, mostly to South Sudan and the DRC — but is a </w:t>
      </w:r>
      <w:r>
        <w:rPr>
          <w:b/>
        </w:rPr>
        <w:t>major net importer of the upstream and flat-steel segments</w:t>
      </w:r>
      <w:r>
        <w:t xml:space="preserve"> it cannot yet produce, and it </w:t>
      </w:r>
      <w:r>
        <w:rPr>
          <w:b/>
        </w:rPr>
        <w:t>exports its iron ore raw</w:t>
      </w:r>
      <w:r>
        <w:t>.</w:t>
      </w:r>
    </w:p>
    <w:p>
      <w:r>
        <w:rPr>
          <w:b/>
        </w:rPr>
        <w:t>2025 investment momentum.</w:t>
      </w:r>
      <w:r>
        <w:t xml:space="preserve"> Two developments materially change the outlook and should be reflected in prioritization:</w:t>
      </w:r>
    </w:p>
    <w:p>
      <w:pPr>
        <w:pStyle w:val="ListBullet"/>
      </w:pPr>
      <w:r>
        <w:rPr>
          <w:b/>
        </w:rPr>
        <w:t>Tembo Steel</w:t>
      </w:r>
      <w:r>
        <w:t xml:space="preserve"> commissioned a second DRI (sponge iron) plant in January 2025, adding roughly 250,000 t of ironmaking capacity — the only firm pushing into Phase II (State House Uganda, 2025).</w:t>
      </w:r>
    </w:p>
    <w:p>
      <w:pPr>
        <w:pStyle w:val="ListBullet"/>
      </w:pPr>
      <w:r>
        <w:rPr>
          <w:b/>
        </w:rPr>
        <w:t>Devki Group</w:t>
      </w:r>
      <w:r>
        <w:t xml:space="preserve"> broke ground in November 2025 on a USD 500 million vertically integrated steel complex (Tororo/Mbarara), projected to create around 15,000 jobs — a potential step-change toward integrated, ore-based production (GMK Center, 2025; The Independent, 2025).</w:t>
      </w:r>
    </w:p>
    <w:p>
      <w:pPr>
        <w:pStyle w:val="Heading2"/>
      </w:pPr>
      <w:r>
        <w:t>4.C Binding Constraints Analysis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Assessment for Iron &amp; Steel</w:t>
            </w:r>
          </w:p>
        </w:tc>
      </w:tr>
      <w:tr>
        <w:tc>
          <w:tcPr>
            <w:tcW w:type="dxa" w:w="4703"/>
            <w:shd w:val="clear" w:color="auto" w:fill="EEF3F9"/>
          </w:tcPr>
          <w:p>
            <w:r>
              <w:rPr>
                <w:b/>
                <w:sz w:val="18"/>
              </w:rPr>
              <w:t>Inputs / raw materials</w:t>
            </w:r>
          </w:p>
        </w:tc>
        <w:tc>
          <w:tcPr>
            <w:tcW w:type="dxa" w:w="4703"/>
            <w:shd w:val="clear" w:color="auto" w:fill="EEF3F9"/>
          </w:tcPr>
          <w:p>
            <w:r>
              <w:rPr>
                <w:sz w:val="18"/>
              </w:rPr>
              <w:t>High-grade iron-ore deposits exist (Muko, south-west; Mutaka) but commercial-scale mining and beneficiation are minimal. Mills run on imported billets, slabs, and scrap. Domestic scrap is insufficient and partly imported (USD 72.8m, 2024).</w:t>
            </w:r>
          </w:p>
        </w:tc>
      </w:tr>
      <w:tr>
        <w:tc>
          <w:tcPr>
            <w:tcW w:type="dxa" w:w="4703"/>
            <w:shd w:val="clear" w:color="auto" w:fill="FFFFFF"/>
          </w:tcPr>
          <w:p>
            <w:r>
              <w:rPr>
                <w:b/>
                <w:sz w:val="18"/>
              </w:rPr>
              <w:t>Technology &amp; productivity</w:t>
            </w:r>
          </w:p>
        </w:tc>
        <w:tc>
          <w:tcPr>
            <w:tcW w:type="dxa" w:w="4703"/>
            <w:shd w:val="clear" w:color="auto" w:fill="FFFFFF"/>
          </w:tcPr>
          <w:p>
            <w:r>
              <w:rPr>
                <w:sz w:val="18"/>
              </w:rPr>
              <w:t>Predominantly induction-furnace and re-rolling technology; little DRI/EAF integrated capacity. Productivity and energy efficiency lag regional integrated producers. Tembo's DRI expansion is the main exception.</w:t>
            </w:r>
          </w:p>
        </w:tc>
      </w:tr>
      <w:tr>
        <w:tc>
          <w:tcPr>
            <w:tcW w:type="dxa" w:w="4703"/>
            <w:shd w:val="clear" w:color="auto" w:fill="EEF3F9"/>
          </w:tcPr>
          <w:p>
            <w:r>
              <w:rPr>
                <w:b/>
                <w:sz w:val="18"/>
              </w:rPr>
              <w:t>Energy</w:t>
            </w:r>
          </w:p>
        </w:tc>
        <w:tc>
          <w:tcPr>
            <w:tcW w:type="dxa" w:w="4703"/>
            <w:shd w:val="clear" w:color="auto" w:fill="EEF3F9"/>
          </w:tcPr>
          <w:p>
            <w:r>
              <w:rPr>
                <w:sz w:val="18"/>
              </w:rPr>
              <w:t>Electricity is a decisive cost in steel. The extra-large industrial tariff is ~5.5 US¢/kWh (5¢ off-peak) in 2025 (ERA), competitive regionally but reliability and the cost of backup remain issues.</w:t>
            </w:r>
          </w:p>
        </w:tc>
      </w:tr>
      <w:tr>
        <w:tc>
          <w:tcPr>
            <w:tcW w:type="dxa" w:w="4703"/>
            <w:shd w:val="clear" w:color="auto" w:fill="FFFFFF"/>
          </w:tcPr>
          <w:p>
            <w:r>
              <w:rPr>
                <w:b/>
                <w:sz w:val="18"/>
              </w:rPr>
              <w:t>Water</w:t>
            </w:r>
          </w:p>
        </w:tc>
        <w:tc>
          <w:tcPr>
            <w:tcW w:type="dxa" w:w="4703"/>
            <w:shd w:val="clear" w:color="auto" w:fill="FFFFFF"/>
          </w:tcPr>
          <w:p>
            <w:r>
              <w:rPr>
                <w:sz w:val="18"/>
              </w:rPr>
              <w:t>Process and cooling water needed; managed under NEMA/NWSC frameworks; not the binding constraint.</w:t>
            </w:r>
          </w:p>
        </w:tc>
      </w:tr>
      <w:tr>
        <w:tc>
          <w:tcPr>
            <w:tcW w:type="dxa" w:w="4703"/>
            <w:shd w:val="clear" w:color="auto" w:fill="EEF3F9"/>
          </w:tcPr>
          <w:p>
            <w:r>
              <w:rPr>
                <w:b/>
                <w:sz w:val="18"/>
              </w:rPr>
              <w:t>Logistics</w:t>
            </w:r>
          </w:p>
        </w:tc>
        <w:tc>
          <w:tcPr>
            <w:tcW w:type="dxa" w:w="4703"/>
            <w:shd w:val="clear" w:color="auto" w:fill="EEF3F9"/>
          </w:tcPr>
          <w:p>
            <w:r>
              <w:rPr>
                <w:sz w:val="18"/>
              </w:rPr>
              <w:t>Landlocked-cost penalty is severe: national logistics inefficiency costs the economy ~USD 827m/yr and logistics is ~18–20% of the sale price of goods (sector estimates) — heavy for a bulk, low-value-density product like steel.</w:t>
            </w:r>
          </w:p>
        </w:tc>
      </w:tr>
      <w:tr>
        <w:tc>
          <w:tcPr>
            <w:tcW w:type="dxa" w:w="4703"/>
            <w:shd w:val="clear" w:color="auto" w:fill="FFFFFF"/>
          </w:tcPr>
          <w:p>
            <w:r>
              <w:rPr>
                <w:b/>
                <w:sz w:val="18"/>
              </w:rPr>
              <w:t>Waste &amp; effluent</w:t>
            </w:r>
          </w:p>
        </w:tc>
        <w:tc>
          <w:tcPr>
            <w:tcW w:type="dxa" w:w="4703"/>
            <w:shd w:val="clear" w:color="auto" w:fill="FFFFFF"/>
          </w:tcPr>
          <w:p>
            <w:r>
              <w:rPr>
                <w:sz w:val="18"/>
              </w:rPr>
              <w:t>Slag, dust, and scale managed under NEMA Effluent Discharge Regulations 2020; circular-economy potential in slag reuse.</w:t>
            </w:r>
          </w:p>
        </w:tc>
      </w:tr>
      <w:tr>
        <w:tc>
          <w:tcPr>
            <w:tcW w:type="dxa" w:w="4703"/>
            <w:shd w:val="clear" w:color="auto" w:fill="EEF3F9"/>
          </w:tcPr>
          <w:p>
            <w:r>
              <w:rPr>
                <w:b/>
                <w:sz w:val="18"/>
              </w:rPr>
              <w:t>Finance &amp; investment</w:t>
            </w:r>
          </w:p>
        </w:tc>
        <w:tc>
          <w:tcPr>
            <w:tcW w:type="dxa" w:w="4703"/>
            <w:shd w:val="clear" w:color="auto" w:fill="EEF3F9"/>
          </w:tcPr>
          <w:p>
            <w:r>
              <w:rPr>
                <w:sz w:val="18"/>
              </w:rPr>
              <w:t>Integrated steel is highly capital-intensive; long-term finance is scarce and costly, with 2025 liquidity tightening crowding out private credit (KPMG Budget Brief 2025/26).</w:t>
            </w:r>
          </w:p>
        </w:tc>
      </w:tr>
      <w:tr>
        <w:tc>
          <w:tcPr>
            <w:tcW w:type="dxa" w:w="4703"/>
            <w:shd w:val="clear" w:color="auto" w:fill="FFFFFF"/>
          </w:tcPr>
          <w:p>
            <w:r>
              <w:rPr>
                <w:b/>
                <w:sz w:val="18"/>
              </w:rPr>
              <w:t>Skills &amp; workforce</w:t>
            </w:r>
          </w:p>
        </w:tc>
        <w:tc>
          <w:tcPr>
            <w:tcW w:type="dxa" w:w="4703"/>
            <w:shd w:val="clear" w:color="auto" w:fill="FFFFFF"/>
          </w:tcPr>
          <w:p>
            <w:r>
              <w:rPr>
                <w:sz w:val="18"/>
              </w:rPr>
              <w:t>Shortage of metallurgical and process-engineering skills; ~68% of manufacturers report difficulty finding required technical skills (Uganda Manufacturers Association, UMA).</w:t>
            </w:r>
          </w:p>
        </w:tc>
      </w:tr>
      <w:tr>
        <w:tc>
          <w:tcPr>
            <w:tcW w:type="dxa" w:w="4703"/>
            <w:shd w:val="clear" w:color="auto" w:fill="EEF3F9"/>
          </w:tcPr>
          <w:p>
            <w:r>
              <w:rPr>
                <w:b/>
                <w:sz w:val="18"/>
              </w:rPr>
              <w:t>Standards &amp; quality</w:t>
            </w:r>
          </w:p>
        </w:tc>
        <w:tc>
          <w:tcPr>
            <w:tcW w:type="dxa" w:w="4703"/>
            <w:shd w:val="clear" w:color="auto" w:fill="EEF3F9"/>
          </w:tcPr>
          <w:p>
            <w:r>
              <w:rPr>
                <w:sz w:val="18"/>
              </w:rPr>
              <w:t>UNBS standards and Q-Mark apply; substandard imports and uneven enforcement distort the market.</w:t>
            </w:r>
          </w:p>
        </w:tc>
      </w:tr>
      <w:tr>
        <w:tc>
          <w:tcPr>
            <w:tcW w:type="dxa" w:w="4703"/>
            <w:shd w:val="clear" w:color="auto" w:fill="FFFFFF"/>
          </w:tcPr>
          <w:p>
            <w:r>
              <w:rPr>
                <w:b/>
                <w:sz w:val="18"/>
              </w:rPr>
              <w:t>Policy &amp; regulatory</w:t>
            </w:r>
          </w:p>
        </w:tc>
        <w:tc>
          <w:tcPr>
            <w:tcW w:type="dxa" w:w="4703"/>
            <w:shd w:val="clear" w:color="auto" w:fill="FFFFFF"/>
          </w:tcPr>
          <w:p>
            <w:r>
              <w:rPr>
                <w:sz w:val="18"/>
              </w:rPr>
              <w:t>EAC Common External Tariff and import policy shape competitiveness; protection of finished products without securing feedstock can raise downstream costs. Mining licensing and land access constrain upstream entry.</w:t>
            </w:r>
          </w:p>
        </w:tc>
      </w:tr>
    </w:tbl>
    <w:p/>
    <w:p>
      <w:pPr>
        <w:pStyle w:val="Heading2"/>
      </w:pPr>
      <w:r>
        <w:t>4.D Market Assessment</w:t>
      </w:r>
    </w:p>
    <w:p>
      <w:r>
        <w:rPr>
          <w:b/>
        </w:rPr>
        <w:t>Domestic.</w:t>
      </w:r>
      <w:r>
        <w:t xml:space="preserve"> Demand is driven by construction and infrastructure and is growing. Uganda already meets domestic demand for many </w:t>
      </w:r>
      <w:r>
        <w:rPr>
          <w:b/>
        </w:rPr>
        <w:t>long products</w:t>
      </w:r>
      <w:r>
        <w:t xml:space="preserve"> (rebar, sections) but imports virtually all </w:t>
      </w:r>
      <w:r>
        <w:rPr>
          <w:b/>
        </w:rPr>
        <w:t>flat products</w:t>
      </w:r>
      <w:r>
        <w:t xml:space="preserve"> and </w:t>
      </w:r>
      <w:r>
        <w:rPr>
          <w:b/>
        </w:rPr>
        <w:t>semi-finished feedstock</w:t>
      </w:r>
      <w:r>
        <w:t>.</w:t>
      </w:r>
    </w:p>
    <w:p>
      <w:r>
        <w:rPr>
          <w:b/>
        </w:rPr>
        <w:t>Regional (EAC/COMESA).</w:t>
      </w:r>
      <w:r>
        <w:t xml:space="preserve"> Uganda is a competitive exporter of rebar and long products to </w:t>
      </w:r>
      <w:r>
        <w:rPr>
          <w:b/>
        </w:rPr>
        <w:t>South Sudan and eastern DRC</w:t>
      </w:r>
      <w:r>
        <w:t xml:space="preserve"> (USD 55.8m of HS 7214 in 2024), markets where proximity offsets the landlocked penalty (ITC TradeMap, 2024). These are durable, growing markets with reconstruction and construction demand. The EAC market is ~USD 4.8 billion in intra-regional trade and growing (EAC, 2025).</w:t>
      </w:r>
    </w:p>
    <w:p>
      <w:r>
        <w:rPr>
          <w:b/>
        </w:rPr>
        <w:t>Global.</w:t>
      </w:r>
      <w:r>
        <w:t xml:space="preserve"> Uganda is not, and will not soon be, a globally competitive steel exporter. Global benchmarks (World Steel Association, 2025) confirm scale economics that Uganda cannot match upstream; the realistic horizon is domestic substitution plus regional export of finished products.</w:t>
      </w:r>
    </w:p>
    <w:p>
      <w:r>
        <w:rPr>
          <w:b/>
        </w:rPr>
        <w:t>Accessible market conclusion.</w:t>
      </w:r>
      <w:r>
        <w:t xml:space="preserve"> The realistically accessible market is (1) </w:t>
      </w:r>
      <w:r>
        <w:rPr>
          <w:b/>
        </w:rPr>
        <w:t>domestic flat-steel and semi-finished substitution</w:t>
      </w:r>
      <w:r>
        <w:t xml:space="preserve"> and (2) </w:t>
      </w:r>
      <w:r>
        <w:rPr>
          <w:b/>
        </w:rPr>
        <w:t>regional finished long-product exports</w:t>
      </w:r>
      <w:r>
        <w:t>. Global commodity-steel export is not accessible.</w:t>
      </w:r>
    </w:p>
    <w:p>
      <w:pPr>
        <w:pStyle w:val="Heading2"/>
      </w:pPr>
      <w:r>
        <w:t>4.E Prioritized Products</w:t>
      </w:r>
    </w:p>
    <w:p>
      <w:r>
        <w:t>Applying the five-criterion scoring framework (Chapter 3) to the chain:</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002B5B"/>
          </w:tcPr>
          <w:p>
            <w:r>
              <w:rPr>
                <w:b/>
                <w:color w:val="FFFFFF"/>
                <w:sz w:val="18"/>
              </w:rPr>
              <w:t>Product / sub-sector</w:t>
            </w:r>
          </w:p>
        </w:tc>
        <w:tc>
          <w:tcPr>
            <w:tcW w:type="dxa" w:w="1344"/>
            <w:shd w:val="clear" w:color="auto" w:fill="002B5B"/>
          </w:tcPr>
          <w:p>
            <w:r>
              <w:rPr>
                <w:b/>
                <w:color w:val="FFFFFF"/>
                <w:sz w:val="18"/>
              </w:rPr>
              <w:t>Market</w:t>
            </w:r>
          </w:p>
        </w:tc>
        <w:tc>
          <w:tcPr>
            <w:tcW w:type="dxa" w:w="1344"/>
            <w:shd w:val="clear" w:color="auto" w:fill="002B5B"/>
          </w:tcPr>
          <w:p>
            <w:r>
              <w:rPr>
                <w:b/>
                <w:color w:val="FFFFFF"/>
                <w:sz w:val="18"/>
              </w:rPr>
              <w:t>Comp. adv.</w:t>
            </w:r>
          </w:p>
        </w:tc>
        <w:tc>
          <w:tcPr>
            <w:tcW w:type="dxa" w:w="1344"/>
            <w:shd w:val="clear" w:color="auto" w:fill="002B5B"/>
          </w:tcPr>
          <w:p>
            <w:r>
              <w:rPr>
                <w:b/>
                <w:color w:val="FFFFFF"/>
                <w:sz w:val="18"/>
              </w:rPr>
              <w:t>Feasibility</w:t>
            </w:r>
          </w:p>
        </w:tc>
        <w:tc>
          <w:tcPr>
            <w:tcW w:type="dxa" w:w="1344"/>
            <w:shd w:val="clear" w:color="auto" w:fill="002B5B"/>
          </w:tcPr>
          <w:p>
            <w:r>
              <w:rPr>
                <w:b/>
                <w:color w:val="FFFFFF"/>
                <w:sz w:val="18"/>
              </w:rPr>
              <w:t>Jobs</w:t>
            </w:r>
          </w:p>
        </w:tc>
        <w:tc>
          <w:tcPr>
            <w:tcW w:type="dxa" w:w="1344"/>
            <w:shd w:val="clear" w:color="auto" w:fill="002B5B"/>
          </w:tcPr>
          <w:p>
            <w:r>
              <w:rPr>
                <w:b/>
                <w:color w:val="FFFFFF"/>
                <w:sz w:val="18"/>
              </w:rPr>
              <w:t>Import subst.</w:t>
            </w:r>
          </w:p>
        </w:tc>
        <w:tc>
          <w:tcPr>
            <w:tcW w:type="dxa" w:w="1344"/>
            <w:shd w:val="clear" w:color="auto" w:fill="002B5B"/>
          </w:tcPr>
          <w:p>
            <w:r>
              <w:rPr>
                <w:b/>
                <w:color w:val="FFFFFF"/>
                <w:sz w:val="18"/>
              </w:rPr>
              <w:t>Priority</w:t>
            </w:r>
          </w:p>
        </w:tc>
      </w:tr>
      <w:tr>
        <w:tc>
          <w:tcPr>
            <w:tcW w:type="dxa" w:w="1344"/>
            <w:shd w:val="clear" w:color="auto" w:fill="EEF3F9"/>
          </w:tcPr>
          <w:p>
            <w:r>
              <w:rPr>
                <w:b/>
                <w:sz w:val="18"/>
              </w:rPr>
              <w:t>Sponge iron / DRI (ironmaking)</w:t>
            </w:r>
          </w:p>
        </w:tc>
        <w:tc>
          <w:tcPr>
            <w:tcW w:type="dxa" w:w="1344"/>
            <w:shd w:val="clear" w:color="auto" w:fill="EEF3F9"/>
          </w:tcPr>
          <w:p>
            <w:r>
              <w:rPr>
                <w:sz w:val="18"/>
              </w:rPr>
              <w:t>High</w:t>
            </w:r>
          </w:p>
        </w:tc>
        <w:tc>
          <w:tcPr>
            <w:tcW w:type="dxa" w:w="1344"/>
            <w:shd w:val="clear" w:color="auto" w:fill="EEF3F9"/>
          </w:tcPr>
          <w:p>
            <w:r>
              <w:rPr>
                <w:sz w:val="18"/>
              </w:rPr>
              <w:t>High (ore base)</w:t>
            </w:r>
          </w:p>
        </w:tc>
        <w:tc>
          <w:tcPr>
            <w:tcW w:type="dxa" w:w="1344"/>
            <w:shd w:val="clear" w:color="auto" w:fill="EEF3F9"/>
          </w:tcPr>
          <w:p>
            <w:r>
              <w:rPr>
                <w:sz w:val="18"/>
              </w:rPr>
              <w:t>Medium</w:t>
            </w:r>
          </w:p>
        </w:tc>
        <w:tc>
          <w:tcPr>
            <w:tcW w:type="dxa" w:w="1344"/>
            <w:shd w:val="clear" w:color="auto" w:fill="EEF3F9"/>
          </w:tcPr>
          <w:p>
            <w:r>
              <w:rPr>
                <w:sz w:val="18"/>
              </w:rPr>
              <w:t>High</w:t>
            </w:r>
          </w:p>
        </w:tc>
        <w:tc>
          <w:tcPr>
            <w:tcW w:type="dxa" w:w="1344"/>
            <w:shd w:val="clear" w:color="auto" w:fill="EEF3F9"/>
          </w:tcPr>
          <w:p>
            <w:r>
              <w:rPr>
                <w:sz w:val="18"/>
              </w:rPr>
              <w:t>High</w:t>
            </w:r>
          </w:p>
        </w:tc>
        <w:tc>
          <w:tcPr>
            <w:tcW w:type="dxa" w:w="1344"/>
            <w:shd w:val="clear" w:color="auto" w:fill="EEF3F9"/>
          </w:tcPr>
          <w:p>
            <w:r>
              <w:rPr>
                <w:b/>
                <w:sz w:val="18"/>
              </w:rPr>
              <w:t>Priority</w:t>
            </w:r>
          </w:p>
        </w:tc>
      </w:tr>
      <w:tr>
        <w:tc>
          <w:tcPr>
            <w:tcW w:type="dxa" w:w="1344"/>
            <w:shd w:val="clear" w:color="auto" w:fill="FFFFFF"/>
          </w:tcPr>
          <w:p>
            <w:r>
              <w:rPr>
                <w:b/>
                <w:sz w:val="18"/>
              </w:rPr>
              <w:t>Flat products (hot/cold-rolled)</w:t>
            </w:r>
          </w:p>
        </w:tc>
        <w:tc>
          <w:tcPr>
            <w:tcW w:type="dxa" w:w="1344"/>
            <w:shd w:val="clear" w:color="auto" w:fill="FFFFFF"/>
          </w:tcPr>
          <w:p>
            <w:r>
              <w:rPr>
                <w:sz w:val="18"/>
              </w:rPr>
              <w:t>High (USD 219m imports)</w:t>
            </w:r>
          </w:p>
        </w:tc>
        <w:tc>
          <w:tcPr>
            <w:tcW w:type="dxa" w:w="1344"/>
            <w:shd w:val="clear" w:color="auto" w:fill="FFFFFF"/>
          </w:tcPr>
          <w:p>
            <w:r>
              <w:rPr>
                <w:sz w:val="18"/>
              </w:rPr>
              <w:t>Medium</w:t>
            </w:r>
          </w:p>
        </w:tc>
        <w:tc>
          <w:tcPr>
            <w:tcW w:type="dxa" w:w="1344"/>
            <w:shd w:val="clear" w:color="auto" w:fill="FFFFFF"/>
          </w:tcPr>
          <w:p>
            <w:r>
              <w:rPr>
                <w:sz w:val="18"/>
              </w:rPr>
              <w:t>Medium</w:t>
            </w:r>
          </w:p>
        </w:tc>
        <w:tc>
          <w:tcPr>
            <w:tcW w:type="dxa" w:w="1344"/>
            <w:shd w:val="clear" w:color="auto" w:fill="FFFFFF"/>
          </w:tcPr>
          <w:p>
            <w:r>
              <w:rPr>
                <w:sz w:val="18"/>
              </w:rPr>
              <w:t>High</w:t>
            </w:r>
          </w:p>
        </w:tc>
        <w:tc>
          <w:tcPr>
            <w:tcW w:type="dxa" w:w="1344"/>
            <w:shd w:val="clear" w:color="auto" w:fill="FFFFFF"/>
          </w:tcPr>
          <w:p>
            <w:r>
              <w:rPr>
                <w:sz w:val="18"/>
              </w:rPr>
              <w:t>Very high</w:t>
            </w:r>
          </w:p>
        </w:tc>
        <w:tc>
          <w:tcPr>
            <w:tcW w:type="dxa" w:w="1344"/>
            <w:shd w:val="clear" w:color="auto" w:fill="FFFFFF"/>
          </w:tcPr>
          <w:p>
            <w:r>
              <w:rPr>
                <w:b/>
                <w:sz w:val="18"/>
              </w:rPr>
              <w:t>Priority</w:t>
            </w:r>
          </w:p>
        </w:tc>
      </w:tr>
      <w:tr>
        <w:tc>
          <w:tcPr>
            <w:tcW w:type="dxa" w:w="1344"/>
            <w:shd w:val="clear" w:color="auto" w:fill="EEF3F9"/>
          </w:tcPr>
          <w:p>
            <w:r>
              <w:rPr>
                <w:b/>
                <w:sz w:val="18"/>
              </w:rPr>
              <w:t>Long products (rebar, sections)</w:t>
            </w:r>
          </w:p>
        </w:tc>
        <w:tc>
          <w:tcPr>
            <w:tcW w:type="dxa" w:w="1344"/>
            <w:shd w:val="clear" w:color="auto" w:fill="EEF3F9"/>
          </w:tcPr>
          <w:p>
            <w:r>
              <w:rPr>
                <w:sz w:val="18"/>
              </w:rPr>
              <w:t>High (regional export)</w:t>
            </w:r>
          </w:p>
        </w:tc>
        <w:tc>
          <w:tcPr>
            <w:tcW w:type="dxa" w:w="1344"/>
            <w:shd w:val="clear" w:color="auto" w:fill="EEF3F9"/>
          </w:tcPr>
          <w:p>
            <w:r>
              <w:rPr>
                <w:sz w:val="18"/>
              </w:rPr>
              <w:t>High</w:t>
            </w:r>
          </w:p>
        </w:tc>
        <w:tc>
          <w:tcPr>
            <w:tcW w:type="dxa" w:w="1344"/>
            <w:shd w:val="clear" w:color="auto" w:fill="EEF3F9"/>
          </w:tcPr>
          <w:p>
            <w:r>
              <w:rPr>
                <w:sz w:val="18"/>
              </w:rPr>
              <w:t>High</w:t>
            </w:r>
          </w:p>
        </w:tc>
        <w:tc>
          <w:tcPr>
            <w:tcW w:type="dxa" w:w="1344"/>
            <w:shd w:val="clear" w:color="auto" w:fill="EEF3F9"/>
          </w:tcPr>
          <w:p>
            <w:r>
              <w:rPr>
                <w:sz w:val="18"/>
              </w:rPr>
              <w:t>High</w:t>
            </w:r>
          </w:p>
        </w:tc>
        <w:tc>
          <w:tcPr>
            <w:tcW w:type="dxa" w:w="1344"/>
            <w:shd w:val="clear" w:color="auto" w:fill="EEF3F9"/>
          </w:tcPr>
          <w:p>
            <w:r>
              <w:rPr>
                <w:sz w:val="18"/>
              </w:rPr>
              <w:t>Achieved</w:t>
            </w:r>
          </w:p>
        </w:tc>
        <w:tc>
          <w:tcPr>
            <w:tcW w:type="dxa" w:w="1344"/>
            <w:shd w:val="clear" w:color="auto" w:fill="EEF3F9"/>
          </w:tcPr>
          <w:p>
            <w:r>
              <w:rPr>
                <w:b/>
                <w:sz w:val="18"/>
              </w:rPr>
              <w:t>Priority (defend &amp; expand)</w:t>
            </w:r>
          </w:p>
        </w:tc>
      </w:tr>
      <w:tr>
        <w:tc>
          <w:tcPr>
            <w:tcW w:type="dxa" w:w="1344"/>
            <w:shd w:val="clear" w:color="auto" w:fill="FFFFFF"/>
          </w:tcPr>
          <w:p>
            <w:r>
              <w:rPr>
                <w:b/>
                <w:sz w:val="18"/>
              </w:rPr>
              <w:t>Iron-ore mining &amp; beneficiation</w:t>
            </w:r>
          </w:p>
        </w:tc>
        <w:tc>
          <w:tcPr>
            <w:tcW w:type="dxa" w:w="1344"/>
            <w:shd w:val="clear" w:color="auto" w:fill="FFFFFF"/>
          </w:tcPr>
          <w:p>
            <w:r>
              <w:rPr>
                <w:sz w:val="18"/>
              </w:rPr>
              <w:t>Medium</w:t>
            </w:r>
          </w:p>
        </w:tc>
        <w:tc>
          <w:tcPr>
            <w:tcW w:type="dxa" w:w="1344"/>
            <w:shd w:val="clear" w:color="auto" w:fill="FFFFFF"/>
          </w:tcPr>
          <w:p>
            <w:r>
              <w:rPr>
                <w:sz w:val="18"/>
              </w:rPr>
              <w:t>High</w:t>
            </w:r>
          </w:p>
        </w:tc>
        <w:tc>
          <w:tcPr>
            <w:tcW w:type="dxa" w:w="1344"/>
            <w:shd w:val="clear" w:color="auto" w:fill="FFFFFF"/>
          </w:tcPr>
          <w:p>
            <w:r>
              <w:rPr>
                <w:sz w:val="18"/>
              </w:rPr>
              <w:t>Medium</w:t>
            </w:r>
          </w:p>
        </w:tc>
        <w:tc>
          <w:tcPr>
            <w:tcW w:type="dxa" w:w="1344"/>
            <w:shd w:val="clear" w:color="auto" w:fill="FFFFFF"/>
          </w:tcPr>
          <w:p>
            <w:r>
              <w:rPr>
                <w:sz w:val="18"/>
              </w:rPr>
              <w:t>Medium</w:t>
            </w:r>
          </w:p>
        </w:tc>
        <w:tc>
          <w:tcPr>
            <w:tcW w:type="dxa" w:w="1344"/>
            <w:shd w:val="clear" w:color="auto" w:fill="FFFFFF"/>
          </w:tcPr>
          <w:p>
            <w:r>
              <w:rPr>
                <w:sz w:val="18"/>
              </w:rPr>
              <w:t>Enabler</w:t>
            </w:r>
          </w:p>
        </w:tc>
        <w:tc>
          <w:tcPr>
            <w:tcW w:type="dxa" w:w="1344"/>
            <w:shd w:val="clear" w:color="auto" w:fill="FFFFFF"/>
          </w:tcPr>
          <w:p>
            <w:r>
              <w:rPr>
                <w:b/>
                <w:sz w:val="18"/>
              </w:rPr>
              <w:t>Priority (enabler)</w:t>
            </w:r>
          </w:p>
        </w:tc>
      </w:tr>
      <w:tr>
        <w:tc>
          <w:tcPr>
            <w:tcW w:type="dxa" w:w="1344"/>
            <w:shd w:val="clear" w:color="auto" w:fill="EEF3F9"/>
          </w:tcPr>
          <w:p>
            <w:r>
              <w:rPr>
                <w:sz w:val="18"/>
              </w:rPr>
              <w:t>Specialty / alloy steels</w:t>
            </w:r>
          </w:p>
        </w:tc>
        <w:tc>
          <w:tcPr>
            <w:tcW w:type="dxa" w:w="1344"/>
            <w:shd w:val="clear" w:color="auto" w:fill="EEF3F9"/>
          </w:tcPr>
          <w:p>
            <w:r>
              <w:rPr>
                <w:sz w:val="18"/>
              </w:rPr>
              <w:t>Low</w:t>
            </w:r>
          </w:p>
        </w:tc>
        <w:tc>
          <w:tcPr>
            <w:tcW w:type="dxa" w:w="1344"/>
            <w:shd w:val="clear" w:color="auto" w:fill="EEF3F9"/>
          </w:tcPr>
          <w:p>
            <w:r>
              <w:rPr>
                <w:sz w:val="18"/>
              </w:rPr>
              <w:t>Low</w:t>
            </w:r>
          </w:p>
        </w:tc>
        <w:tc>
          <w:tcPr>
            <w:tcW w:type="dxa" w:w="1344"/>
            <w:shd w:val="clear" w:color="auto" w:fill="EEF3F9"/>
          </w:tcPr>
          <w:p>
            <w:r>
              <w:rPr>
                <w:sz w:val="18"/>
              </w:rPr>
              <w:t>Low</w:t>
            </w:r>
          </w:p>
        </w:tc>
        <w:tc>
          <w:tcPr>
            <w:tcW w:type="dxa" w:w="1344"/>
            <w:shd w:val="clear" w:color="auto" w:fill="EEF3F9"/>
          </w:tcPr>
          <w:p>
            <w:r>
              <w:rPr>
                <w:sz w:val="18"/>
              </w:rPr>
              <w:t>Low</w:t>
            </w:r>
          </w:p>
        </w:tc>
        <w:tc>
          <w:tcPr>
            <w:tcW w:type="dxa" w:w="1344"/>
            <w:shd w:val="clear" w:color="auto" w:fill="EEF3F9"/>
          </w:tcPr>
          <w:p>
            <w:r>
              <w:rPr>
                <w:sz w:val="18"/>
              </w:rPr>
              <w:t>Low</w:t>
            </w:r>
          </w:p>
        </w:tc>
        <w:tc>
          <w:tcPr>
            <w:tcW w:type="dxa" w:w="1344"/>
            <w:shd w:val="clear" w:color="auto" w:fill="EEF3F9"/>
          </w:tcPr>
          <w:p>
            <w:r>
              <w:rPr>
                <w:sz w:val="18"/>
              </w:rPr>
              <w:t>Deprioritize</w:t>
            </w:r>
          </w:p>
        </w:tc>
      </w:tr>
      <w:tr>
        <w:tc>
          <w:tcPr>
            <w:tcW w:type="dxa" w:w="1344"/>
            <w:shd w:val="clear" w:color="auto" w:fill="FFFFFF"/>
          </w:tcPr>
          <w:p>
            <w:r>
              <w:rPr>
                <w:sz w:val="18"/>
              </w:rPr>
              <w:t>Tinplate / niche coated</w:t>
            </w:r>
          </w:p>
        </w:tc>
        <w:tc>
          <w:tcPr>
            <w:tcW w:type="dxa" w:w="1344"/>
            <w:shd w:val="clear" w:color="auto" w:fill="FFFFFF"/>
          </w:tcPr>
          <w:p>
            <w:r>
              <w:rPr>
                <w:sz w:val="18"/>
              </w:rPr>
              <w:t>Low</w:t>
            </w:r>
          </w:p>
        </w:tc>
        <w:tc>
          <w:tcPr>
            <w:tcW w:type="dxa" w:w="1344"/>
            <w:shd w:val="clear" w:color="auto" w:fill="FFFFFF"/>
          </w:tcPr>
          <w:p>
            <w:r>
              <w:rPr>
                <w:sz w:val="18"/>
              </w:rPr>
              <w:t>Low</w:t>
            </w:r>
          </w:p>
        </w:tc>
        <w:tc>
          <w:tcPr>
            <w:tcW w:type="dxa" w:w="1344"/>
            <w:shd w:val="clear" w:color="auto" w:fill="FFFFFF"/>
          </w:tcPr>
          <w:p>
            <w:r>
              <w:rPr>
                <w:sz w:val="18"/>
              </w:rPr>
              <w:t>Low</w:t>
            </w:r>
          </w:p>
        </w:tc>
        <w:tc>
          <w:tcPr>
            <w:tcW w:type="dxa" w:w="1344"/>
            <w:shd w:val="clear" w:color="auto" w:fill="FFFFFF"/>
          </w:tcPr>
          <w:p>
            <w:r>
              <w:rPr>
                <w:sz w:val="18"/>
              </w:rPr>
              <w:t>Low</w:t>
            </w:r>
          </w:p>
        </w:tc>
        <w:tc>
          <w:tcPr>
            <w:tcW w:type="dxa" w:w="1344"/>
            <w:shd w:val="clear" w:color="auto" w:fill="FFFFFF"/>
          </w:tcPr>
          <w:p>
            <w:r>
              <w:rPr>
                <w:sz w:val="18"/>
              </w:rPr>
              <w:t>Medium</w:t>
            </w:r>
          </w:p>
        </w:tc>
        <w:tc>
          <w:tcPr>
            <w:tcW w:type="dxa" w:w="1344"/>
            <w:shd w:val="clear" w:color="auto" w:fill="FFFFFF"/>
          </w:tcPr>
          <w:p>
            <w:r>
              <w:rPr>
                <w:sz w:val="18"/>
              </w:rPr>
              <w:t>Deprioritize (for now)</w:t>
            </w:r>
          </w:p>
        </w:tc>
      </w:tr>
    </w:tbl>
    <w:p/>
    <w:p>
      <w:r>
        <w:rPr>
          <w:b/>
        </w:rPr>
        <w:t>The three-to-four priorities for Iron &amp; Steel:</w:t>
      </w:r>
    </w:p>
    <w:p>
      <w:pPr>
        <w:pStyle w:val="ListNumber"/>
      </w:pPr>
      <w:r>
        <w:rPr>
          <w:b/>
        </w:rPr>
        <w:t>Ironmaking (sponge iron/DRI) anchored on domestic ore</w:t>
      </w:r>
      <w:r>
        <w:t xml:space="preserve"> — the missing midstream step; unlocks the whole chain and stops raw-ore leakage. Tembo's expansion and Devki's integrated plant show commercial appetite.</w:t>
      </w:r>
    </w:p>
    <w:p>
      <w:pPr>
        <w:pStyle w:val="ListNumber"/>
      </w:pPr>
      <w:r>
        <w:rPr>
          <w:b/>
        </w:rPr>
        <w:t>Flat-steel production</w:t>
      </w:r>
      <w:r>
        <w:t xml:space="preserve"> — the single largest import line (USD 219.5m in 2024) with no domestic production; the clearest import-substitution prize.</w:t>
      </w:r>
    </w:p>
    <w:p>
      <w:pPr>
        <w:pStyle w:val="ListNumber"/>
      </w:pPr>
      <w:r>
        <w:rPr>
          <w:b/>
        </w:rPr>
        <w:t>Long products (rebar/sections)</w:t>
      </w:r>
      <w:r>
        <w:t xml:space="preserve"> — already competitive and exporting regionally; defend and scale this proven position.</w:t>
      </w:r>
    </w:p>
    <w:p>
      <w:pPr>
        <w:pStyle w:val="ListNumber"/>
      </w:pPr>
      <w:r>
        <w:rPr>
          <w:b/>
        </w:rPr>
        <w:t>Iron-ore mining &amp; beneficiation</w:t>
      </w:r>
      <w:r>
        <w:t xml:space="preserve"> — the enabling upstream step that must accompany ironmaking.</w:t>
      </w:r>
    </w:p>
    <w:p>
      <w:r>
        <w:rPr>
          <w:b/>
        </w:rPr>
        <w:t>Explicit deprioritization.</w:t>
      </w:r>
      <w:r>
        <w:t xml:space="preserve"> Uganda should </w:t>
      </w:r>
      <w:r>
        <w:rPr>
          <w:b/>
        </w:rPr>
        <w:t>not</w:t>
      </w:r>
      <w:r>
        <w:t xml:space="preserve"> pursue specialty/alloy steels, large-diameter seamless pipe, or globally traded commodity flat steel for export at this stage — these require scale, technology, and capital Uganda cannot competitively marshal now. Focus belongs on the integrated ore→DRI→flat/long pathway for domestic and regional markets.</w:t>
      </w:r>
    </w:p>
    <w:p>
      <w:pPr>
        <w:pStyle w:val="Heading2"/>
      </w:pPr>
      <w:r>
        <w:t>4.F Priority Action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Timeframe</w:t>
            </w:r>
          </w:p>
        </w:tc>
        <w:tc>
          <w:tcPr>
            <w:tcW w:type="dxa" w:w="2351"/>
            <w:shd w:val="clear" w:color="auto" w:fill="002B5B"/>
          </w:tcPr>
          <w:p>
            <w:r>
              <w:rPr>
                <w:b/>
                <w:color w:val="FFFFFF"/>
                <w:sz w:val="18"/>
              </w:rPr>
              <w:t>Action</w:t>
            </w:r>
          </w:p>
        </w:tc>
        <w:tc>
          <w:tcPr>
            <w:tcW w:type="dxa" w:w="2351"/>
            <w:shd w:val="clear" w:color="auto" w:fill="002B5B"/>
          </w:tcPr>
          <w:p>
            <w:r>
              <w:rPr>
                <w:b/>
                <w:color w:val="FFFFFF"/>
                <w:sz w:val="18"/>
              </w:rPr>
              <w:t>Lead</w:t>
            </w:r>
          </w:p>
        </w:tc>
        <w:tc>
          <w:tcPr>
            <w:tcW w:type="dxa" w:w="2351"/>
            <w:shd w:val="clear" w:color="auto" w:fill="002B5B"/>
          </w:tcPr>
          <w:p>
            <w:r>
              <w:rPr>
                <w:b/>
                <w:color w:val="FFFFFF"/>
                <w:sz w:val="18"/>
              </w:rPr>
              <w:t>Indicative cost</w:t>
            </w:r>
          </w:p>
        </w:tc>
      </w:tr>
      <w:tr>
        <w:tc>
          <w:tcPr>
            <w:tcW w:type="dxa" w:w="2351"/>
            <w:shd w:val="clear" w:color="auto" w:fill="EEF3F9"/>
          </w:tcPr>
          <w:p>
            <w:r>
              <w:rPr>
                <w:b/>
                <w:sz w:val="18"/>
              </w:rPr>
              <w:t>Quick win (0–12m)</w:t>
            </w:r>
          </w:p>
        </w:tc>
        <w:tc>
          <w:tcPr>
            <w:tcW w:type="dxa" w:w="2351"/>
            <w:shd w:val="clear" w:color="auto" w:fill="EEF3F9"/>
          </w:tcPr>
          <w:p>
            <w:r>
              <w:rPr>
                <w:sz w:val="18"/>
              </w:rPr>
              <w:t>Enforce UNBS standards against substandard steel imports; level the playing field for compliant domestic mills</w:t>
            </w:r>
          </w:p>
        </w:tc>
        <w:tc>
          <w:tcPr>
            <w:tcW w:type="dxa" w:w="2351"/>
            <w:shd w:val="clear" w:color="auto" w:fill="EEF3F9"/>
          </w:tcPr>
          <w:p>
            <w:r>
              <w:rPr>
                <w:sz w:val="18"/>
              </w:rPr>
              <w:t>UNBS, MTIC, Uganda Revenue Authority (URA)</w:t>
            </w:r>
          </w:p>
        </w:tc>
        <w:tc>
          <w:tcPr>
            <w:tcW w:type="dxa" w:w="2351"/>
            <w:shd w:val="clear" w:color="auto" w:fill="EEF3F9"/>
          </w:tcPr>
          <w:p>
            <w:r>
              <w:rPr>
                <w:sz w:val="18"/>
              </w:rPr>
              <w:t>Low (administrative)</w:t>
            </w:r>
          </w:p>
        </w:tc>
      </w:tr>
      <w:tr>
        <w:tc>
          <w:tcPr>
            <w:tcW w:type="dxa" w:w="2351"/>
            <w:shd w:val="clear" w:color="auto" w:fill="FFFFFF"/>
          </w:tcPr>
          <w:p>
            <w:r>
              <w:rPr>
                <w:sz w:val="18"/>
              </w:rPr>
              <w:t>Quick win (0–12m)</w:t>
            </w:r>
          </w:p>
        </w:tc>
        <w:tc>
          <w:tcPr>
            <w:tcW w:type="dxa" w:w="2351"/>
            <w:shd w:val="clear" w:color="auto" w:fill="FFFFFF"/>
          </w:tcPr>
          <w:p>
            <w:r>
              <w:rPr>
                <w:sz w:val="18"/>
              </w:rPr>
              <w:t>Restrict or tax raw iron-ore exports (HS 2601) to retain feedstock for domestic ironmaking</w:t>
            </w:r>
          </w:p>
        </w:tc>
        <w:tc>
          <w:tcPr>
            <w:tcW w:type="dxa" w:w="2351"/>
            <w:shd w:val="clear" w:color="auto" w:fill="FFFFFF"/>
          </w:tcPr>
          <w:p>
            <w:r>
              <w:rPr>
                <w:sz w:val="18"/>
              </w:rPr>
              <w:t>Ministry of Energy and Mineral Development (MEMD), Ministry of Finance, Planning and Economic Development (MoFPED)</w:t>
            </w:r>
          </w:p>
        </w:tc>
        <w:tc>
          <w:tcPr>
            <w:tcW w:type="dxa" w:w="2351"/>
            <w:shd w:val="clear" w:color="auto" w:fill="FFFFFF"/>
          </w:tcPr>
          <w:p>
            <w:r>
              <w:rPr>
                <w:sz w:val="18"/>
              </w:rPr>
              <w:t>Low (policy)</w:t>
            </w:r>
          </w:p>
        </w:tc>
      </w:tr>
      <w:tr>
        <w:tc>
          <w:tcPr>
            <w:tcW w:type="dxa" w:w="2351"/>
            <w:shd w:val="clear" w:color="auto" w:fill="EEF3F9"/>
          </w:tcPr>
          <w:p>
            <w:r>
              <w:rPr>
                <w:b/>
                <w:sz w:val="18"/>
              </w:rPr>
              <w:t>Reform (1–3y)</w:t>
            </w:r>
          </w:p>
        </w:tc>
        <w:tc>
          <w:tcPr>
            <w:tcW w:type="dxa" w:w="2351"/>
            <w:shd w:val="clear" w:color="auto" w:fill="EEF3F9"/>
          </w:tcPr>
          <w:p>
            <w:r>
              <w:rPr>
                <w:sz w:val="18"/>
              </w:rPr>
              <w:t>Secure iron-ore mining licences and beneficiation at Muko/Mutaka; resolve land access</w:t>
            </w:r>
          </w:p>
        </w:tc>
        <w:tc>
          <w:tcPr>
            <w:tcW w:type="dxa" w:w="2351"/>
            <w:shd w:val="clear" w:color="auto" w:fill="EEF3F9"/>
          </w:tcPr>
          <w:p>
            <w:r>
              <w:rPr>
                <w:sz w:val="18"/>
              </w:rPr>
              <w:t>MEMD/DGSM, MTIC</w:t>
            </w:r>
          </w:p>
        </w:tc>
        <w:tc>
          <w:tcPr>
            <w:tcW w:type="dxa" w:w="2351"/>
            <w:shd w:val="clear" w:color="auto" w:fill="EEF3F9"/>
          </w:tcPr>
          <w:p>
            <w:r>
              <w:rPr>
                <w:sz w:val="18"/>
              </w:rPr>
              <w:t>Medium</w:t>
            </w:r>
          </w:p>
        </w:tc>
      </w:tr>
      <w:tr>
        <w:tc>
          <w:tcPr>
            <w:tcW w:type="dxa" w:w="2351"/>
            <w:shd w:val="clear" w:color="auto" w:fill="FFFFFF"/>
          </w:tcPr>
          <w:p>
            <w:r>
              <w:rPr>
                <w:sz w:val="18"/>
              </w:rPr>
              <w:t>Reform (1–3y)</w:t>
            </w:r>
          </w:p>
        </w:tc>
        <w:tc>
          <w:tcPr>
            <w:tcW w:type="dxa" w:w="2351"/>
            <w:shd w:val="clear" w:color="auto" w:fill="FFFFFF"/>
          </w:tcPr>
          <w:p>
            <w:r>
              <w:rPr>
                <w:sz w:val="18"/>
              </w:rPr>
              <w:t>Power agreement for extra-large steel loads; reliability guarantees</w:t>
            </w:r>
          </w:p>
        </w:tc>
        <w:tc>
          <w:tcPr>
            <w:tcW w:type="dxa" w:w="2351"/>
            <w:shd w:val="clear" w:color="auto" w:fill="FFFFFF"/>
          </w:tcPr>
          <w:p>
            <w:r>
              <w:rPr>
                <w:sz w:val="18"/>
              </w:rPr>
              <w:t>ERA, UEDCL, MEMD</w:t>
            </w:r>
          </w:p>
        </w:tc>
        <w:tc>
          <w:tcPr>
            <w:tcW w:type="dxa" w:w="2351"/>
            <w:shd w:val="clear" w:color="auto" w:fill="FFFFFF"/>
          </w:tcPr>
          <w:p>
            <w:r>
              <w:rPr>
                <w:sz w:val="18"/>
              </w:rPr>
              <w:t>Medium</w:t>
            </w:r>
          </w:p>
        </w:tc>
      </w:tr>
      <w:tr>
        <w:tc>
          <w:tcPr>
            <w:tcW w:type="dxa" w:w="2351"/>
            <w:shd w:val="clear" w:color="auto" w:fill="EEF3F9"/>
          </w:tcPr>
          <w:p>
            <w:r>
              <w:rPr>
                <w:sz w:val="18"/>
              </w:rPr>
              <w:t>Reform (1–3y)</w:t>
            </w:r>
          </w:p>
        </w:tc>
        <w:tc>
          <w:tcPr>
            <w:tcW w:type="dxa" w:w="2351"/>
            <w:shd w:val="clear" w:color="auto" w:fill="EEF3F9"/>
          </w:tcPr>
          <w:p>
            <w:r>
              <w:rPr>
                <w:sz w:val="18"/>
              </w:rPr>
              <w:t>Skills programme in metallurgy/process engineering with Uganda Industrial Research Institute (UIRI), Makerere, Technical and Vocational Education and Training (TVET)</w:t>
            </w:r>
          </w:p>
        </w:tc>
        <w:tc>
          <w:tcPr>
            <w:tcW w:type="dxa" w:w="2351"/>
            <w:shd w:val="clear" w:color="auto" w:fill="EEF3F9"/>
          </w:tcPr>
          <w:p>
            <w:r>
              <w:rPr>
                <w:sz w:val="18"/>
              </w:rPr>
              <w:t>Ministry of Education and Sports (MoES), UIRI</w:t>
            </w:r>
          </w:p>
        </w:tc>
        <w:tc>
          <w:tcPr>
            <w:tcW w:type="dxa" w:w="2351"/>
            <w:shd w:val="clear" w:color="auto" w:fill="EEF3F9"/>
          </w:tcPr>
          <w:p>
            <w:r>
              <w:rPr>
                <w:sz w:val="18"/>
              </w:rPr>
              <w:t>Medium</w:t>
            </w:r>
          </w:p>
        </w:tc>
      </w:tr>
      <w:tr>
        <w:tc>
          <w:tcPr>
            <w:tcW w:type="dxa" w:w="2351"/>
            <w:shd w:val="clear" w:color="auto" w:fill="FFFFFF"/>
          </w:tcPr>
          <w:p>
            <w:r>
              <w:rPr>
                <w:b/>
                <w:sz w:val="18"/>
              </w:rPr>
              <w:t>Investment (3–5y)</w:t>
            </w:r>
          </w:p>
        </w:tc>
        <w:tc>
          <w:tcPr>
            <w:tcW w:type="dxa" w:w="2351"/>
            <w:shd w:val="clear" w:color="auto" w:fill="FFFFFF"/>
          </w:tcPr>
          <w:p>
            <w:r>
              <w:rPr>
                <w:sz w:val="18"/>
              </w:rPr>
              <w:t>Integrated ore→DRI→steel→flat-rolling capacity (e.g. Devki complex; Tembo expansion)</w:t>
            </w:r>
          </w:p>
        </w:tc>
        <w:tc>
          <w:tcPr>
            <w:tcW w:type="dxa" w:w="2351"/>
            <w:shd w:val="clear" w:color="auto" w:fill="FFFFFF"/>
          </w:tcPr>
          <w:p>
            <w:r>
              <w:rPr>
                <w:sz w:val="18"/>
              </w:rPr>
              <w:t>Private-led + PPP</w:t>
            </w:r>
          </w:p>
        </w:tc>
        <w:tc>
          <w:tcPr>
            <w:tcW w:type="dxa" w:w="2351"/>
            <w:shd w:val="clear" w:color="auto" w:fill="FFFFFF"/>
          </w:tcPr>
          <w:p>
            <w:r>
              <w:rPr>
                <w:sz w:val="18"/>
              </w:rPr>
              <w:t>Indicative USD 0.5–1.0bn (see Ch.8)</w:t>
            </w:r>
          </w:p>
        </w:tc>
      </w:tr>
      <w:tr>
        <w:tc>
          <w:tcPr>
            <w:tcW w:type="dxa" w:w="2351"/>
            <w:shd w:val="clear" w:color="auto" w:fill="EEF3F9"/>
          </w:tcPr>
          <w:p>
            <w:r>
              <w:rPr>
                <w:sz w:val="18"/>
              </w:rPr>
              <w:t>Investment (3–5y)</w:t>
            </w:r>
          </w:p>
        </w:tc>
        <w:tc>
          <w:tcPr>
            <w:tcW w:type="dxa" w:w="2351"/>
            <w:shd w:val="clear" w:color="auto" w:fill="EEF3F9"/>
          </w:tcPr>
          <w:p>
            <w:r>
              <w:rPr>
                <w:sz w:val="18"/>
              </w:rPr>
              <w:t>Flat-rolling mill to substitute HS 7208 imports</w:t>
            </w:r>
          </w:p>
        </w:tc>
        <w:tc>
          <w:tcPr>
            <w:tcW w:type="dxa" w:w="2351"/>
            <w:shd w:val="clear" w:color="auto" w:fill="EEF3F9"/>
          </w:tcPr>
          <w:p>
            <w:r>
              <w:rPr>
                <w:sz w:val="18"/>
              </w:rPr>
              <w:t>Private-led</w:t>
            </w:r>
          </w:p>
        </w:tc>
        <w:tc>
          <w:tcPr>
            <w:tcW w:type="dxa" w:w="2351"/>
            <w:shd w:val="clear" w:color="auto" w:fill="EEF3F9"/>
          </w:tcPr>
          <w:p>
            <w:r>
              <w:rPr>
                <w:sz w:val="18"/>
              </w:rPr>
              <w:t>Indicative (see Ch.8)</w:t>
            </w:r>
          </w:p>
        </w:tc>
      </w:tr>
    </w:tbl>
    <w:p/>
    <w:p>
      <w:pPr>
        <w:pStyle w:val="Heading2"/>
      </w:pPr>
      <w:r>
        <w:t>References</w:t>
      </w:r>
    </w:p>
    <w:p>
      <w:pPr>
        <w:pStyle w:val="ListBullet"/>
      </w:pPr>
      <w:r>
        <w:t xml:space="preserve">NPA/UDC, </w:t>
      </w:r>
      <w:r>
        <w:rPr>
          <w:i/>
        </w:rPr>
        <w:t>Report on the Mapping and Value Chain Analysis for Uganda's Iron and Steel Industry</w:t>
      </w:r>
      <w:r>
        <w:t xml:space="preserve"> (June 2025). [Repository: </w:t>
      </w:r>
      <w:r>
        <w:rPr>
          <w:rFonts w:ascii="Consolas" w:hAnsi="Consolas"/>
          <w:sz w:val="19"/>
        </w:rPr>
        <w:t>data/</w:t>
      </w:r>
      <w:r>
        <w:t xml:space="preserve"> — provided by MTIC]</w:t>
      </w:r>
    </w:p>
    <w:p>
      <w:pPr>
        <w:pStyle w:val="ListBullet"/>
      </w:pPr>
      <w:r>
        <w:t>ITC TradeMap, trade statistics — HS 7208, 7213, 7214, 7207, 7204, 2601, Uganda, 2024. https://www.trademap.org</w:t>
      </w:r>
    </w:p>
    <w:p>
      <w:pPr>
        <w:pStyle w:val="ListBullet"/>
      </w:pPr>
      <w:r>
        <w:t>State House Uganda, "President Museveni commissions new Tembo Steels plant in Iganga" (2025). https://statehouse.go.ug/</w:t>
      </w:r>
    </w:p>
    <w:p>
      <w:pPr>
        <w:pStyle w:val="ListBullet"/>
      </w:pPr>
      <w:r>
        <w:t>GMK Center, "A steel plant will be built in Uganda with investments of $500 million" (2025). https://gmk.center/en/news/a-steel-plant-will-be-built-in-uganda-with-investments-of-500-million/</w:t>
      </w:r>
    </w:p>
    <w:p>
      <w:pPr>
        <w:pStyle w:val="ListBullet"/>
      </w:pPr>
      <w:r>
        <w:t>The Independent, "Devki Group bets $500m on Uganda steel production" (2025). https://www.independent.co.ug/devki-group-bets-500m-on-uganda-steel-production/</w:t>
      </w:r>
    </w:p>
    <w:p>
      <w:pPr>
        <w:pStyle w:val="ListBullet"/>
      </w:pPr>
      <w:r>
        <w:t>Uganda Development Bank, "Steel and Tube Industries Ltd" (project profile). https://www.udbl.co.ug/project/steel-and-tube-industries-ltd/</w:t>
      </w:r>
    </w:p>
    <w:p>
      <w:pPr>
        <w:pStyle w:val="ListBullet"/>
      </w:pPr>
      <w:r>
        <w:t>African Business, "Construction boom drives growth for Uganda steel manufacturer" (2021). https://african.business/2021/07/energy-resources/construction-boom-drives-growth-for-uganda-steel-manufacturer</w:t>
      </w:r>
    </w:p>
    <w:p>
      <w:pPr>
        <w:pStyle w:val="ListBullet"/>
      </w:pPr>
      <w:r>
        <w:t xml:space="preserve">World Steel Association, </w:t>
      </w:r>
      <w:r>
        <w:rPr>
          <w:i/>
        </w:rPr>
        <w:t>World Steel in Figures 2025</w:t>
      </w:r>
      <w:r>
        <w:t>. https://worldsteel.org/data/world-steel-in-figures/</w:t>
      </w:r>
    </w:p>
    <w:p>
      <w:pPr>
        <w:pStyle w:val="ListBullet"/>
      </w:pPr>
      <w:r>
        <w:t>Electricity Regulatory Authority, end-user tariffs 2025. https://www.era.go.ug/</w:t>
      </w:r>
    </w:p>
    <w:p>
      <w:pPr>
        <w:pStyle w:val="ListBullet"/>
      </w:pPr>
      <w:r>
        <w:t>Uganda Manufacturers Association (UMA), skills and manufacturing survey evidence. https://www.uma.or.ug/</w:t>
      </w:r>
    </w:p>
    <w:p>
      <w:pPr>
        <w:pStyle w:val="ListBullet"/>
      </w:pPr>
      <w:r>
        <w:t xml:space="preserve">NEMA, </w:t>
      </w:r>
      <w:r>
        <w:rPr>
          <w:i/>
        </w:rPr>
        <w:t>Effluent Discharge Regulations 2020</w:t>
      </w:r>
      <w:r>
        <w:t>. https://www.nema.go.ug/</w:t>
      </w:r>
    </w:p>
    <w:p>
      <w:pPr>
        <w:pStyle w:val="ListBullet"/>
      </w:pPr>
      <w:r>
        <w:t xml:space="preserve">KPMG, </w:t>
      </w:r>
      <w:r>
        <w:rPr>
          <w:i/>
        </w:rPr>
        <w:t>Uganda Budget Brief 2025/26</w:t>
      </w:r>
      <w:r>
        <w:t>. https://assets.kpmg.com/</w:t>
      </w:r>
    </w:p>
    <w:p>
      <w:pPr>
        <w:pStyle w:val="ListBullet"/>
      </w:pPr>
      <w:r>
        <w:t>East African Community, market and trade data (2025). https://www.eac.int/</w:t>
      </w:r>
    </w:p>
    <w:p>
      <w:r>
        <w:br w:type="page"/>
      </w:r>
    </w:p>
    <w:p>
      <w:pPr>
        <w:pStyle w:val="Heading1"/>
      </w:pPr>
      <w:r>
        <w:t>Chapter 5: Copper &amp; Allied Metals Value Chain</w:t>
      </w:r>
    </w:p>
    <w:p>
      <w:r>
        <w:rPr>
          <w:b/>
        </w:rPr>
        <w:t>Report:</w:t>
      </w:r>
      <w:r>
        <w:t xml:space="preserve"> Report 1 — Iron &amp; Steel, Copper &amp; Allied Metals, and Automotive Value Chains</w:t>
      </w:r>
    </w:p>
    <w:p>
      <w:r>
        <w:rPr>
          <w:b/>
        </w:rPr>
        <w:t>Status:</w:t>
      </w:r>
      <w:r>
        <w:t xml:space="preserve"> Draft for validation</w:t>
      </w:r>
    </w:p>
    <w:p>
      <w:r>
        <w:rPr>
          <w:b/>
        </w:rPr>
        <w:t>Primary sources:</w:t>
      </w:r>
      <w:r>
        <w:t xml:space="preserve"> Directorate of Geological Survey and Mines (DGSM); ITC TradeMap (2024); International Copper Study Group, </w:t>
      </w:r>
      <w:r>
        <w:rPr>
          <w:i/>
        </w:rPr>
        <w:t>World Copper Factbook 2025</w:t>
      </w:r>
      <w:r>
        <w:t>.</w:t>
      </w:r>
    </w:p>
    <w:p>
      <w:pPr>
        <w:pStyle w:val="Heading2"/>
      </w:pPr>
      <w:r>
        <w:t>5.A Value Chain Map</w:t>
      </w:r>
    </w:p>
    <w:p>
      <w:r>
        <w:t xml:space="preserve">The copper value chain runs from ore through refined metal to fabricated products. Uganda's position is unusual and instructive: it has a </w:t>
      </w:r>
      <w:r>
        <w:rPr>
          <w:b/>
        </w:rPr>
        <w:t>historic resource base and an established downstream cable-manufacturing industry, but almost no operating midstream</w:t>
      </w:r>
      <w:r>
        <w:t xml:space="preserve"> (mining, smelting, refining) at present.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Phase</w:t>
            </w:r>
          </w:p>
        </w:tc>
        <w:tc>
          <w:tcPr>
            <w:tcW w:type="dxa" w:w="2351"/>
            <w:shd w:val="clear" w:color="auto" w:fill="002B5B"/>
          </w:tcPr>
          <w:p>
            <w:r>
              <w:rPr>
                <w:b/>
                <w:color w:val="FFFFFF"/>
                <w:sz w:val="18"/>
              </w:rPr>
              <w:t>Activity</w:t>
            </w:r>
          </w:p>
        </w:tc>
        <w:tc>
          <w:tcPr>
            <w:tcW w:type="dxa" w:w="2351"/>
            <w:shd w:val="clear" w:color="auto" w:fill="002B5B"/>
          </w:tcPr>
          <w:p>
            <w:r>
              <w:rPr>
                <w:b/>
                <w:color w:val="FFFFFF"/>
                <w:sz w:val="18"/>
              </w:rPr>
              <w:t>Main inputs</w:t>
            </w:r>
          </w:p>
        </w:tc>
        <w:tc>
          <w:tcPr>
            <w:tcW w:type="dxa" w:w="2351"/>
            <w:shd w:val="clear" w:color="auto" w:fill="002B5B"/>
          </w:tcPr>
          <w:p>
            <w:r>
              <w:rPr>
                <w:b/>
                <w:color w:val="FFFFFF"/>
                <w:sz w:val="18"/>
              </w:rPr>
              <w:t>Output</w:t>
            </w:r>
          </w:p>
        </w:tc>
      </w:tr>
      <w:tr>
        <w:tc>
          <w:tcPr>
            <w:tcW w:type="dxa" w:w="2351"/>
            <w:shd w:val="clear" w:color="auto" w:fill="EEF3F9"/>
          </w:tcPr>
          <w:p>
            <w:r>
              <w:rPr>
                <w:sz w:val="18"/>
              </w:rPr>
              <w:t>I</w:t>
            </w:r>
          </w:p>
        </w:tc>
        <w:tc>
          <w:tcPr>
            <w:tcW w:type="dxa" w:w="2351"/>
            <w:shd w:val="clear" w:color="auto" w:fill="EEF3F9"/>
          </w:tcPr>
          <w:p>
            <w:r>
              <w:rPr>
                <w:sz w:val="18"/>
              </w:rPr>
              <w:t>Mining &amp; concentration</w:t>
            </w:r>
          </w:p>
        </w:tc>
        <w:tc>
          <w:tcPr>
            <w:tcW w:type="dxa" w:w="2351"/>
            <w:shd w:val="clear" w:color="auto" w:fill="EEF3F9"/>
          </w:tcPr>
          <w:p>
            <w:r>
              <w:rPr>
                <w:sz w:val="18"/>
              </w:rPr>
              <w:t>Copper ore (+ cobalt)</w:t>
            </w:r>
          </w:p>
        </w:tc>
        <w:tc>
          <w:tcPr>
            <w:tcW w:type="dxa" w:w="2351"/>
            <w:shd w:val="clear" w:color="auto" w:fill="EEF3F9"/>
          </w:tcPr>
          <w:p>
            <w:r>
              <w:rPr>
                <w:sz w:val="18"/>
              </w:rPr>
              <w:t>Copper concentrate</w:t>
            </w:r>
          </w:p>
        </w:tc>
      </w:tr>
      <w:tr>
        <w:tc>
          <w:tcPr>
            <w:tcW w:type="dxa" w:w="2351"/>
            <w:shd w:val="clear" w:color="auto" w:fill="FFFFFF"/>
          </w:tcPr>
          <w:p>
            <w:r>
              <w:rPr>
                <w:sz w:val="18"/>
              </w:rPr>
              <w:t>II</w:t>
            </w:r>
          </w:p>
        </w:tc>
        <w:tc>
          <w:tcPr>
            <w:tcW w:type="dxa" w:w="2351"/>
            <w:shd w:val="clear" w:color="auto" w:fill="FFFFFF"/>
          </w:tcPr>
          <w:p>
            <w:r>
              <w:rPr>
                <w:sz w:val="18"/>
              </w:rPr>
              <w:t>Smelting</w:t>
            </w:r>
          </w:p>
        </w:tc>
        <w:tc>
          <w:tcPr>
            <w:tcW w:type="dxa" w:w="2351"/>
            <w:shd w:val="clear" w:color="auto" w:fill="FFFFFF"/>
          </w:tcPr>
          <w:p>
            <w:r>
              <w:rPr>
                <w:sz w:val="18"/>
              </w:rPr>
              <w:t>Concentrate</w:t>
            </w:r>
          </w:p>
        </w:tc>
        <w:tc>
          <w:tcPr>
            <w:tcW w:type="dxa" w:w="2351"/>
            <w:shd w:val="clear" w:color="auto" w:fill="FFFFFF"/>
          </w:tcPr>
          <w:p>
            <w:r>
              <w:rPr>
                <w:sz w:val="18"/>
              </w:rPr>
              <w:t>Blister/anode copper</w:t>
            </w:r>
          </w:p>
        </w:tc>
      </w:tr>
      <w:tr>
        <w:tc>
          <w:tcPr>
            <w:tcW w:type="dxa" w:w="2351"/>
            <w:shd w:val="clear" w:color="auto" w:fill="EEF3F9"/>
          </w:tcPr>
          <w:p>
            <w:r>
              <w:rPr>
                <w:sz w:val="18"/>
              </w:rPr>
              <w:t>III</w:t>
            </w:r>
          </w:p>
        </w:tc>
        <w:tc>
          <w:tcPr>
            <w:tcW w:type="dxa" w:w="2351"/>
            <w:shd w:val="clear" w:color="auto" w:fill="EEF3F9"/>
          </w:tcPr>
          <w:p>
            <w:r>
              <w:rPr>
                <w:sz w:val="18"/>
              </w:rPr>
              <w:t>Refining</w:t>
            </w:r>
          </w:p>
        </w:tc>
        <w:tc>
          <w:tcPr>
            <w:tcW w:type="dxa" w:w="2351"/>
            <w:shd w:val="clear" w:color="auto" w:fill="EEF3F9"/>
          </w:tcPr>
          <w:p>
            <w:r>
              <w:rPr>
                <w:sz w:val="18"/>
              </w:rPr>
              <w:t>Blister copper</w:t>
            </w:r>
          </w:p>
        </w:tc>
        <w:tc>
          <w:tcPr>
            <w:tcW w:type="dxa" w:w="2351"/>
            <w:shd w:val="clear" w:color="auto" w:fill="EEF3F9"/>
          </w:tcPr>
          <w:p>
            <w:r>
              <w:rPr>
                <w:sz w:val="18"/>
              </w:rPr>
              <w:t>Refined cathode (HS 7403)</w:t>
            </w:r>
          </w:p>
        </w:tc>
      </w:tr>
      <w:tr>
        <w:tc>
          <w:tcPr>
            <w:tcW w:type="dxa" w:w="2351"/>
            <w:shd w:val="clear" w:color="auto" w:fill="FFFFFF"/>
          </w:tcPr>
          <w:p>
            <w:r>
              <w:rPr>
                <w:sz w:val="18"/>
              </w:rPr>
              <w:t>IV</w:t>
            </w:r>
          </w:p>
        </w:tc>
        <w:tc>
          <w:tcPr>
            <w:tcW w:type="dxa" w:w="2351"/>
            <w:shd w:val="clear" w:color="auto" w:fill="FFFFFF"/>
          </w:tcPr>
          <w:p>
            <w:r>
              <w:rPr>
                <w:sz w:val="18"/>
              </w:rPr>
              <w:t>Semi-fabrication</w:t>
            </w:r>
          </w:p>
        </w:tc>
        <w:tc>
          <w:tcPr>
            <w:tcW w:type="dxa" w:w="2351"/>
            <w:shd w:val="clear" w:color="auto" w:fill="FFFFFF"/>
          </w:tcPr>
          <w:p>
            <w:r>
              <w:rPr>
                <w:sz w:val="18"/>
              </w:rPr>
              <w:t>Cathode</w:t>
            </w:r>
          </w:p>
        </w:tc>
        <w:tc>
          <w:tcPr>
            <w:tcW w:type="dxa" w:w="2351"/>
            <w:shd w:val="clear" w:color="auto" w:fill="FFFFFF"/>
          </w:tcPr>
          <w:p>
            <w:r>
              <w:rPr>
                <w:sz w:val="18"/>
              </w:rPr>
              <w:t>Wire rod, bars, profiles (HS 7407/7408)</w:t>
            </w:r>
          </w:p>
        </w:tc>
      </w:tr>
      <w:tr>
        <w:tc>
          <w:tcPr>
            <w:tcW w:type="dxa" w:w="2351"/>
            <w:shd w:val="clear" w:color="auto" w:fill="EEF3F9"/>
          </w:tcPr>
          <w:p>
            <w:r>
              <w:rPr>
                <w:sz w:val="18"/>
              </w:rPr>
              <w:t>V</w:t>
            </w:r>
          </w:p>
        </w:tc>
        <w:tc>
          <w:tcPr>
            <w:tcW w:type="dxa" w:w="2351"/>
            <w:shd w:val="clear" w:color="auto" w:fill="EEF3F9"/>
          </w:tcPr>
          <w:p>
            <w:r>
              <w:rPr>
                <w:sz w:val="18"/>
              </w:rPr>
              <w:t>Fabrication</w:t>
            </w:r>
          </w:p>
        </w:tc>
        <w:tc>
          <w:tcPr>
            <w:tcW w:type="dxa" w:w="2351"/>
            <w:shd w:val="clear" w:color="auto" w:fill="EEF3F9"/>
          </w:tcPr>
          <w:p>
            <w:r>
              <w:rPr>
                <w:sz w:val="18"/>
              </w:rPr>
              <w:t>Wire rod / cathode</w:t>
            </w:r>
          </w:p>
        </w:tc>
        <w:tc>
          <w:tcPr>
            <w:tcW w:type="dxa" w:w="2351"/>
            <w:shd w:val="clear" w:color="auto" w:fill="EEF3F9"/>
          </w:tcPr>
          <w:p>
            <w:r>
              <w:rPr>
                <w:sz w:val="18"/>
              </w:rPr>
              <w:t>Insulated wire &amp; cable, brass/alloy goods (HS 8544/7409–7419)</w:t>
            </w:r>
          </w:p>
        </w:tc>
      </w:tr>
      <w:tr>
        <w:tc>
          <w:tcPr>
            <w:tcW w:type="dxa" w:w="2351"/>
            <w:shd w:val="clear" w:color="auto" w:fill="FFFFFF"/>
          </w:tcPr>
          <w:p>
            <w:r>
              <w:rPr>
                <w:sz w:val="18"/>
              </w:rPr>
              <w:t>VI</w:t>
            </w:r>
          </w:p>
        </w:tc>
        <w:tc>
          <w:tcPr>
            <w:tcW w:type="dxa" w:w="2351"/>
            <w:shd w:val="clear" w:color="auto" w:fill="FFFFFF"/>
          </w:tcPr>
          <w:p>
            <w:r>
              <w:rPr>
                <w:sz w:val="18"/>
              </w:rPr>
              <w:t>Market</w:t>
            </w:r>
          </w:p>
        </w:tc>
        <w:tc>
          <w:tcPr>
            <w:tcW w:type="dxa" w:w="2351"/>
            <w:shd w:val="clear" w:color="auto" w:fill="FFFFFF"/>
          </w:tcPr>
          <w:p>
            <w:r>
              <w:rPr>
                <w:sz w:val="18"/>
              </w:rPr>
              <w:t>Finished products</w:t>
            </w:r>
          </w:p>
        </w:tc>
        <w:tc>
          <w:tcPr>
            <w:tcW w:type="dxa" w:w="2351"/>
            <w:shd w:val="clear" w:color="auto" w:fill="FFFFFF"/>
          </w:tcPr>
          <w:p>
            <w:r>
              <w:rPr>
                <w:sz w:val="18"/>
              </w:rPr>
              <w:t>Domestic &amp; regional sales</w:t>
            </w:r>
          </w:p>
        </w:tc>
      </w:tr>
    </w:tbl>
    <w:p/>
    <w:p>
      <w:r>
        <w:rPr>
          <w:b/>
        </w:rPr>
        <w:t>Where value is captured and lost.</w:t>
      </w:r>
      <w:r>
        <w:t xml:space="preserve"> The Kilembe mine (Phase I–III) has been </w:t>
      </w:r>
      <w:r>
        <w:rPr>
          <w:b/>
        </w:rPr>
        <w:t>dormant for decades</w:t>
      </w:r>
      <w:r>
        <w:t xml:space="preserve">, so Uganda's cable industry (Phase IV–V) runs on </w:t>
      </w:r>
      <w:r>
        <w:rPr>
          <w:b/>
        </w:rPr>
        <w:t>imported copper rod and cathode</w:t>
      </w:r>
      <w:r>
        <w:t xml:space="preserve">, while the country imports the bulk of its </w:t>
      </w:r>
      <w:r>
        <w:rPr>
          <w:b/>
        </w:rPr>
        <w:t>insulated wire and cable</w:t>
      </w:r>
      <w:r>
        <w:t xml:space="preserve"> as finished goods. The trade data quantifies this: Uganda imported </w:t>
      </w:r>
      <w:r>
        <w:rPr>
          <w:b/>
        </w:rPr>
        <w:t>USD 57.7 million of insulated wire and cable (HS 8544) in 2024</w:t>
      </w:r>
      <w:r>
        <w:t xml:space="preserve"> — its single largest copper-related import line and rising fast (from USD 48.3m in 2023) — alongside </w:t>
      </w:r>
      <w:r>
        <w:rPr>
          <w:b/>
        </w:rPr>
        <w:t>USD 6.9m of refined copper/cathode (HS 7403)</w:t>
      </w:r>
      <w:r>
        <w:t xml:space="preserve"> and </w:t>
      </w:r>
      <w:r>
        <w:rPr>
          <w:b/>
        </w:rPr>
        <w:t>USD 3.1m of copper wire (HS 7408)</w:t>
      </w:r>
      <w:r>
        <w:t xml:space="preserve"> (ITC TradeMap, 2024). The midstream gap means almost all upstream value is forgone.</w:t>
      </w:r>
    </w:p>
    <w:p>
      <w:pPr>
        <w:pStyle w:val="Heading2"/>
      </w:pPr>
      <w:r>
        <w:t>5.B Current State Assessment</w:t>
      </w:r>
    </w:p>
    <w:p>
      <w:r>
        <w:rPr>
          <w:b/>
        </w:rPr>
        <w:t>Resource base.</w:t>
      </w:r>
      <w:r>
        <w:t xml:space="preserve"> The </w:t>
      </w:r>
      <w:r>
        <w:rPr>
          <w:b/>
        </w:rPr>
        <w:t>Kilembe mine</w:t>
      </w:r>
      <w:r>
        <w:t xml:space="preserve"> in Kasese District holds estimated deposits </w:t>
      </w:r>
      <w:r>
        <w:rPr>
          <w:b/>
        </w:rPr>
        <w:t>in excess of 6.5 million tonnes of copper ore at 1.77% copper grade, together with about 5.5 million tonnes at 0.17% cobalt grade</w:t>
      </w:r>
      <w:r>
        <w:t xml:space="preserve"> (DGSM). This is a significant endowment — cobalt in particular is a high-value battery mineral — but it has not been in commercial production since the 1980s.</w:t>
      </w:r>
    </w:p>
    <w:p>
      <w:r>
        <w:rPr>
          <w:b/>
        </w:rPr>
        <w:t>Mine redevelopment (2025).</w:t>
      </w:r>
      <w:r>
        <w:t xml:space="preserve"> In a major development, on </w:t>
      </w:r>
      <w:r>
        <w:rPr>
          <w:b/>
        </w:rPr>
        <w:t>3 March 2025 the Government of Uganda signed its first-ever mineral production-sharing agreement</w:t>
      </w:r>
      <w:r>
        <w:t xml:space="preserve">, awarding the redevelopment of Kilembe to </w:t>
      </w:r>
      <w:r>
        <w:rPr>
          <w:b/>
        </w:rPr>
        <w:t>Sarrai Group and Nile Fibreboard Limited</w:t>
      </w:r>
      <w:r>
        <w:t xml:space="preserve">, selected from 14 competing bidders. The plan targets production of </w:t>
      </w:r>
      <w:r>
        <w:rPr>
          <w:b/>
        </w:rPr>
        <w:t>copper cathodes and cobalt metal</w:t>
      </w:r>
      <w:r>
        <w:t xml:space="preserve"> (DGSM; Mining Weekly, 2025). This has the potential to re-open the midstream of the chain for the first time in a generation.</w:t>
      </w:r>
    </w:p>
    <w:p>
      <w:r>
        <w:rPr>
          <w:b/>
        </w:rPr>
        <w:t>Downstream industry.</w:t>
      </w:r>
      <w:r>
        <w:t xml:space="preserve"> Uganda has a real, established copper-using manufacturing base:</w:t>
      </w:r>
    </w:p>
    <w:p>
      <w:pPr>
        <w:pStyle w:val="ListBullet"/>
      </w:pPr>
      <w:r>
        <w:rPr>
          <w:b/>
        </w:rPr>
        <w:t>Cable Corporation Limited</w:t>
      </w:r>
      <w:r>
        <w:t xml:space="preserve"> (Mehta Group) — Uganda's </w:t>
      </w:r>
      <w:r>
        <w:rPr>
          <w:b/>
        </w:rPr>
        <w:t>first electrical cable factory (est. 1968)</w:t>
      </w:r>
      <w:r>
        <w:t xml:space="preserve">, supplying cables and conductors to the national utilities (UMEME/UEDCL/UETCL) and holding an estimated </w:t>
      </w:r>
      <w:r>
        <w:rPr>
          <w:b/>
        </w:rPr>
        <w:t>~65% of the domestic market</w:t>
      </w:r>
      <w:r>
        <w:t xml:space="preserve"> (Cable Corporation Uganda; Mehta Group).</w:t>
      </w:r>
    </w:p>
    <w:p>
      <w:pPr>
        <w:pStyle w:val="ListBullet"/>
      </w:pPr>
      <w:r>
        <w:rPr>
          <w:b/>
        </w:rPr>
        <w:t>East African Cables</w:t>
      </w:r>
      <w:r>
        <w:t xml:space="preserve"> and other regional suppliers serve the balance of the market.</w:t>
      </w:r>
    </w:p>
    <w:p>
      <w:r>
        <w:t>These firms convert imported copper rod and aluminium into building wire, power cables, and conductors — genuine value addition, but dependent on imported metal.</w:t>
      </w:r>
    </w:p>
    <w:p>
      <w:r>
        <w:rPr>
          <w:b/>
        </w:rPr>
        <w:t>Trade position (ITC TradeMap, 2024).</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Segment (HS)</w:t>
            </w:r>
          </w:p>
        </w:tc>
        <w:tc>
          <w:tcPr>
            <w:tcW w:type="dxa" w:w="3135"/>
            <w:shd w:val="clear" w:color="auto" w:fill="002B5B"/>
          </w:tcPr>
          <w:p>
            <w:r>
              <w:rPr>
                <w:b/>
                <w:color w:val="FFFFFF"/>
                <w:sz w:val="18"/>
              </w:rPr>
              <w:t>Imports 2024</w:t>
            </w:r>
          </w:p>
        </w:tc>
        <w:tc>
          <w:tcPr>
            <w:tcW w:type="dxa" w:w="3135"/>
            <w:shd w:val="clear" w:color="auto" w:fill="002B5B"/>
          </w:tcPr>
          <w:p>
            <w:r>
              <w:rPr>
                <w:b/>
                <w:color w:val="FFFFFF"/>
                <w:sz w:val="18"/>
              </w:rPr>
              <w:t>Reading</w:t>
            </w:r>
          </w:p>
        </w:tc>
      </w:tr>
      <w:tr>
        <w:tc>
          <w:tcPr>
            <w:tcW w:type="dxa" w:w="3135"/>
            <w:shd w:val="clear" w:color="auto" w:fill="EEF3F9"/>
          </w:tcPr>
          <w:p>
            <w:r>
              <w:rPr>
                <w:sz w:val="18"/>
              </w:rPr>
              <w:t>Insulated wire &amp; cable (8544)</w:t>
            </w:r>
          </w:p>
        </w:tc>
        <w:tc>
          <w:tcPr>
            <w:tcW w:type="dxa" w:w="3135"/>
            <w:shd w:val="clear" w:color="auto" w:fill="EEF3F9"/>
          </w:tcPr>
          <w:p>
            <w:r>
              <w:rPr>
                <w:b/>
                <w:sz w:val="18"/>
              </w:rPr>
              <w:t>USD 57.7m</w:t>
            </w:r>
            <w:r>
              <w:rPr>
                <w:sz w:val="18"/>
              </w:rPr>
              <w:t xml:space="preserve"> (China, India)</w:t>
            </w:r>
          </w:p>
        </w:tc>
        <w:tc>
          <w:tcPr>
            <w:tcW w:type="dxa" w:w="3135"/>
            <w:shd w:val="clear" w:color="auto" w:fill="EEF3F9"/>
          </w:tcPr>
          <w:p>
            <w:r>
              <w:rPr>
                <w:sz w:val="18"/>
              </w:rPr>
              <w:t>Largest line; finished-goods import dependence</w:t>
            </w:r>
          </w:p>
        </w:tc>
      </w:tr>
      <w:tr>
        <w:tc>
          <w:tcPr>
            <w:tcW w:type="dxa" w:w="3135"/>
            <w:shd w:val="clear" w:color="auto" w:fill="FFFFFF"/>
          </w:tcPr>
          <w:p>
            <w:r>
              <w:rPr>
                <w:sz w:val="18"/>
              </w:rPr>
              <w:t>Refined copper / cathode (7403)</w:t>
            </w:r>
          </w:p>
        </w:tc>
        <w:tc>
          <w:tcPr>
            <w:tcW w:type="dxa" w:w="3135"/>
            <w:shd w:val="clear" w:color="auto" w:fill="FFFFFF"/>
          </w:tcPr>
          <w:p>
            <w:r>
              <w:rPr>
                <w:sz w:val="18"/>
              </w:rPr>
              <w:t>USD 6.9m (DRC, China)</w:t>
            </w:r>
          </w:p>
        </w:tc>
        <w:tc>
          <w:tcPr>
            <w:tcW w:type="dxa" w:w="3135"/>
            <w:shd w:val="clear" w:color="auto" w:fill="FFFFFF"/>
          </w:tcPr>
          <w:p>
            <w:r>
              <w:rPr>
                <w:sz w:val="18"/>
              </w:rPr>
              <w:t>Imported feedstock for fabrication</w:t>
            </w:r>
          </w:p>
        </w:tc>
      </w:tr>
      <w:tr>
        <w:tc>
          <w:tcPr>
            <w:tcW w:type="dxa" w:w="3135"/>
            <w:shd w:val="clear" w:color="auto" w:fill="EEF3F9"/>
          </w:tcPr>
          <w:p>
            <w:r>
              <w:rPr>
                <w:sz w:val="18"/>
              </w:rPr>
              <w:t>Copper wire (7408)</w:t>
            </w:r>
          </w:p>
        </w:tc>
        <w:tc>
          <w:tcPr>
            <w:tcW w:type="dxa" w:w="3135"/>
            <w:shd w:val="clear" w:color="auto" w:fill="EEF3F9"/>
          </w:tcPr>
          <w:p>
            <w:r>
              <w:rPr>
                <w:sz w:val="18"/>
              </w:rPr>
              <w:t>USD 3.1m (China, UAE)</w:t>
            </w:r>
          </w:p>
        </w:tc>
        <w:tc>
          <w:tcPr>
            <w:tcW w:type="dxa" w:w="3135"/>
            <w:shd w:val="clear" w:color="auto" w:fill="EEF3F9"/>
          </w:tcPr>
          <w:p>
            <w:r>
              <w:rPr>
                <w:sz w:val="18"/>
              </w:rPr>
              <w:t>Imported semi-fabricate</w:t>
            </w:r>
          </w:p>
        </w:tc>
      </w:tr>
    </w:tbl>
    <w:p/>
    <w:p>
      <w:r>
        <w:t xml:space="preserve">Exports across all copper lines are negligible — Uganda is a </w:t>
      </w:r>
      <w:r>
        <w:rPr>
          <w:b/>
        </w:rPr>
        <w:t>net importer at every stage</w:t>
      </w:r>
      <w:r>
        <w:t xml:space="preserve"> of the copper chain.</w:t>
      </w:r>
    </w:p>
    <w:p>
      <w:r>
        <w:rPr>
          <w:b/>
        </w:rPr>
        <w:t>Global context.</w:t>
      </w:r>
      <w:r>
        <w:t xml:space="preserve"> Global refined-copper production was ~27.5 million tonnes in 2024, and demand is structurally rising with electrification and the energy transition; cobalt is a critical battery input (ICSG, </w:t>
      </w:r>
      <w:r>
        <w:rPr>
          <w:i/>
        </w:rPr>
        <w:t>World Copper Factbook 2025</w:t>
      </w:r>
      <w:r>
        <w:t>). This strengthens the long-term case for reviving Kilembe — but global cathode markets are scale-driven and Uganda's tonnage is modest.</w:t>
      </w:r>
    </w:p>
    <w:p>
      <w:pPr>
        <w:pStyle w:val="Heading2"/>
      </w:pPr>
      <w:r>
        <w:t>5.C Binding Constraints Analysis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Assessment for Copper &amp; Allied Metals</w:t>
            </w:r>
          </w:p>
        </w:tc>
      </w:tr>
      <w:tr>
        <w:tc>
          <w:tcPr>
            <w:tcW w:type="dxa" w:w="4703"/>
            <w:shd w:val="clear" w:color="auto" w:fill="EEF3F9"/>
          </w:tcPr>
          <w:p>
            <w:r>
              <w:rPr>
                <w:b/>
                <w:sz w:val="18"/>
              </w:rPr>
              <w:t>Inputs / raw materials</w:t>
            </w:r>
          </w:p>
        </w:tc>
        <w:tc>
          <w:tcPr>
            <w:tcW w:type="dxa" w:w="4703"/>
            <w:shd w:val="clear" w:color="auto" w:fill="EEF3F9"/>
          </w:tcPr>
          <w:p>
            <w:r>
              <w:rPr>
                <w:sz w:val="18"/>
              </w:rPr>
              <w:t>Kilembe ore is dormant; fabricators import all copper rod/cathode. Reviving mining is the central input constraint.</w:t>
            </w:r>
          </w:p>
        </w:tc>
      </w:tr>
      <w:tr>
        <w:tc>
          <w:tcPr>
            <w:tcW w:type="dxa" w:w="4703"/>
            <w:shd w:val="clear" w:color="auto" w:fill="FFFFFF"/>
          </w:tcPr>
          <w:p>
            <w:r>
              <w:rPr>
                <w:b/>
                <w:sz w:val="18"/>
              </w:rPr>
              <w:t>Technology &amp; productivity</w:t>
            </w:r>
          </w:p>
        </w:tc>
        <w:tc>
          <w:tcPr>
            <w:tcW w:type="dxa" w:w="4703"/>
            <w:shd w:val="clear" w:color="auto" w:fill="FFFFFF"/>
          </w:tcPr>
          <w:p>
            <w:r>
              <w:rPr>
                <w:sz w:val="18"/>
              </w:rPr>
              <w:t>Smelting/refining technology absent domestically; cable fabrication technology is established and competitive.</w:t>
            </w:r>
          </w:p>
        </w:tc>
      </w:tr>
      <w:tr>
        <w:tc>
          <w:tcPr>
            <w:tcW w:type="dxa" w:w="4703"/>
            <w:shd w:val="clear" w:color="auto" w:fill="EEF3F9"/>
          </w:tcPr>
          <w:p>
            <w:r>
              <w:rPr>
                <w:b/>
                <w:sz w:val="18"/>
              </w:rPr>
              <w:t>Energy</w:t>
            </w:r>
          </w:p>
        </w:tc>
        <w:tc>
          <w:tcPr>
            <w:tcW w:type="dxa" w:w="4703"/>
            <w:shd w:val="clear" w:color="auto" w:fill="EEF3F9"/>
          </w:tcPr>
          <w:p>
            <w:r>
              <w:rPr>
                <w:sz w:val="18"/>
              </w:rPr>
              <w:t>Smelting/refining is energy-intensive; tariff ~5.5 US¢/kWh (ERA 2025) is workable but reliability matters for electro-refining.</w:t>
            </w:r>
          </w:p>
        </w:tc>
      </w:tr>
      <w:tr>
        <w:tc>
          <w:tcPr>
            <w:tcW w:type="dxa" w:w="4703"/>
            <w:shd w:val="clear" w:color="auto" w:fill="FFFFFF"/>
          </w:tcPr>
          <w:p>
            <w:r>
              <w:rPr>
                <w:b/>
                <w:sz w:val="18"/>
              </w:rPr>
              <w:t>Water</w:t>
            </w:r>
          </w:p>
        </w:tc>
        <w:tc>
          <w:tcPr>
            <w:tcW w:type="dxa" w:w="4703"/>
            <w:shd w:val="clear" w:color="auto" w:fill="FFFFFF"/>
          </w:tcPr>
          <w:p>
            <w:r>
              <w:rPr>
                <w:sz w:val="18"/>
              </w:rPr>
              <w:t>Needed for processing; not the binding constraint.</w:t>
            </w:r>
          </w:p>
        </w:tc>
      </w:tr>
      <w:tr>
        <w:tc>
          <w:tcPr>
            <w:tcW w:type="dxa" w:w="4703"/>
            <w:shd w:val="clear" w:color="auto" w:fill="EEF3F9"/>
          </w:tcPr>
          <w:p>
            <w:r>
              <w:rPr>
                <w:b/>
                <w:sz w:val="18"/>
              </w:rPr>
              <w:t>Logistics</w:t>
            </w:r>
          </w:p>
        </w:tc>
        <w:tc>
          <w:tcPr>
            <w:tcW w:type="dxa" w:w="4703"/>
            <w:shd w:val="clear" w:color="auto" w:fill="EEF3F9"/>
          </w:tcPr>
          <w:p>
            <w:r>
              <w:rPr>
                <w:sz w:val="18"/>
              </w:rPr>
              <w:t>Landlocked cost penalty (~18–20% of sale price) affects both imported feedstock and any future cathode export. Kilembe–Kasese rail/road links need upgrading.</w:t>
            </w:r>
          </w:p>
        </w:tc>
      </w:tr>
      <w:tr>
        <w:tc>
          <w:tcPr>
            <w:tcW w:type="dxa" w:w="4703"/>
            <w:shd w:val="clear" w:color="auto" w:fill="FFFFFF"/>
          </w:tcPr>
          <w:p>
            <w:r>
              <w:rPr>
                <w:b/>
                <w:sz w:val="18"/>
              </w:rPr>
              <w:t>Waste &amp; effluent</w:t>
            </w:r>
          </w:p>
        </w:tc>
        <w:tc>
          <w:tcPr>
            <w:tcW w:type="dxa" w:w="4703"/>
            <w:shd w:val="clear" w:color="auto" w:fill="FFFFFF"/>
          </w:tcPr>
          <w:p>
            <w:r>
              <w:rPr>
                <w:sz w:val="18"/>
              </w:rPr>
              <w:t xml:space="preserve">Historic Kilembe tailings (with cobalt/pyrite) are an environmental liability </w:t>
            </w:r>
            <w:r>
              <w:rPr>
                <w:b/>
                <w:sz w:val="18"/>
              </w:rPr>
              <w:t>and</w:t>
            </w:r>
            <w:r>
              <w:rPr>
                <w:sz w:val="18"/>
              </w:rPr>
              <w:t xml:space="preserve"> a potential resource; managed under NEMA. Acid-mine drainage risk requires careful handling.</w:t>
            </w:r>
          </w:p>
        </w:tc>
      </w:tr>
      <w:tr>
        <w:tc>
          <w:tcPr>
            <w:tcW w:type="dxa" w:w="4703"/>
            <w:shd w:val="clear" w:color="auto" w:fill="EEF3F9"/>
          </w:tcPr>
          <w:p>
            <w:r>
              <w:rPr>
                <w:b/>
                <w:sz w:val="18"/>
              </w:rPr>
              <w:t>Finance &amp; investment</w:t>
            </w:r>
          </w:p>
        </w:tc>
        <w:tc>
          <w:tcPr>
            <w:tcW w:type="dxa" w:w="4703"/>
            <w:shd w:val="clear" w:color="auto" w:fill="EEF3F9"/>
          </w:tcPr>
          <w:p>
            <w:r>
              <w:rPr>
                <w:sz w:val="18"/>
              </w:rPr>
              <w:t>Mine redevelopment is highly capital-intensive and long-lead; the production-sharing model is designed to mobilize private capital.</w:t>
            </w:r>
          </w:p>
        </w:tc>
      </w:tr>
      <w:tr>
        <w:tc>
          <w:tcPr>
            <w:tcW w:type="dxa" w:w="4703"/>
            <w:shd w:val="clear" w:color="auto" w:fill="FFFFFF"/>
          </w:tcPr>
          <w:p>
            <w:r>
              <w:rPr>
                <w:b/>
                <w:sz w:val="18"/>
              </w:rPr>
              <w:t>Skills &amp; workforce</w:t>
            </w:r>
          </w:p>
        </w:tc>
        <w:tc>
          <w:tcPr>
            <w:tcW w:type="dxa" w:w="4703"/>
            <w:shd w:val="clear" w:color="auto" w:fill="FFFFFF"/>
          </w:tcPr>
          <w:p>
            <w:r>
              <w:rPr>
                <w:sz w:val="18"/>
              </w:rPr>
              <w:t>Mining and metallurgical skills are scarce after decades of dormancy; the cable industry has a skilled base.</w:t>
            </w:r>
          </w:p>
        </w:tc>
      </w:tr>
      <w:tr>
        <w:tc>
          <w:tcPr>
            <w:tcW w:type="dxa" w:w="4703"/>
            <w:shd w:val="clear" w:color="auto" w:fill="EEF3F9"/>
          </w:tcPr>
          <w:p>
            <w:r>
              <w:rPr>
                <w:b/>
                <w:sz w:val="18"/>
              </w:rPr>
              <w:t>Standards &amp; quality</w:t>
            </w:r>
          </w:p>
        </w:tc>
        <w:tc>
          <w:tcPr>
            <w:tcW w:type="dxa" w:w="4703"/>
            <w:shd w:val="clear" w:color="auto" w:fill="EEF3F9"/>
          </w:tcPr>
          <w:p>
            <w:r>
              <w:rPr>
                <w:sz w:val="18"/>
              </w:rPr>
              <w:t>UNBS standards for electrical cable are critical for safety; substandard cable imports are a market and safety problem.</w:t>
            </w:r>
          </w:p>
        </w:tc>
      </w:tr>
      <w:tr>
        <w:tc>
          <w:tcPr>
            <w:tcW w:type="dxa" w:w="4703"/>
            <w:shd w:val="clear" w:color="auto" w:fill="FFFFFF"/>
          </w:tcPr>
          <w:p>
            <w:r>
              <w:rPr>
                <w:b/>
                <w:sz w:val="18"/>
              </w:rPr>
              <w:t>Policy &amp; regulatory</w:t>
            </w:r>
          </w:p>
        </w:tc>
        <w:tc>
          <w:tcPr>
            <w:tcW w:type="dxa" w:w="4703"/>
            <w:shd w:val="clear" w:color="auto" w:fill="FFFFFF"/>
          </w:tcPr>
          <w:p>
            <w:r>
              <w:rPr>
                <w:sz w:val="18"/>
              </w:rPr>
              <w:t>The 2025 production-sharing agreement is a major enabling step; mining licensing, tailings rights, and feedstock policy remain to be operationalized.</w:t>
            </w:r>
          </w:p>
        </w:tc>
      </w:tr>
    </w:tbl>
    <w:p/>
    <w:p>
      <w:pPr>
        <w:pStyle w:val="Heading2"/>
      </w:pPr>
      <w:r>
        <w:t>5.D Market Assessment</w:t>
      </w:r>
    </w:p>
    <w:p>
      <w:r>
        <w:rPr>
          <w:b/>
        </w:rPr>
        <w:t>Domestic.</w:t>
      </w:r>
      <w:r>
        <w:t xml:space="preserve"> Strong and growing demand for electrical cable, conductors, and building wire driven by electrification, construction, and grid expansion — currently met substantially by imports (USD 57.7m of HS 8544 in 2024).</w:t>
      </w:r>
    </w:p>
    <w:p>
      <w:r>
        <w:rPr>
          <w:b/>
        </w:rPr>
        <w:t>Regional (EAC/COMESA).</w:t>
      </w:r>
      <w:r>
        <w:t xml:space="preserve"> Cable Corporation already supplies regional utilities; the regional market for cable and conductors is growing with electrification across East Africa. This is Uganda's most accessible export opportunity in the chain — built on existing competitive fabrication.</w:t>
      </w:r>
    </w:p>
    <w:p>
      <w:r>
        <w:rPr>
          <w:b/>
        </w:rPr>
        <w:t>Global.</w:t>
      </w:r>
      <w:r>
        <w:t xml:space="preserve"> If Kilembe is revived, </w:t>
      </w:r>
      <w:r>
        <w:rPr>
          <w:b/>
        </w:rPr>
        <w:t>copper cathode and cobalt</w:t>
      </w:r>
      <w:r>
        <w:t xml:space="preserve"> could in principle reach global markets, but Uganda's tonnage is modest against global scale; cobalt offers a better value-per-tonne export prospect than copper cathode. Realistically, mine output should first </w:t>
      </w:r>
      <w:r>
        <w:rPr>
          <w:b/>
        </w:rPr>
        <w:t>substitute imported feedstock</w:t>
      </w:r>
      <w:r>
        <w:t xml:space="preserve"> for the domestic cable industry before targeting global cathode export.</w:t>
      </w:r>
    </w:p>
    <w:p>
      <w:pPr>
        <w:pStyle w:val="Heading2"/>
      </w:pPr>
      <w:r>
        <w:t>5.E Prioritized Products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002B5B"/>
          </w:tcPr>
          <w:p>
            <w:r>
              <w:rPr>
                <w:b/>
                <w:color w:val="FFFFFF"/>
                <w:sz w:val="18"/>
              </w:rPr>
              <w:t>Product / sub-sector</w:t>
            </w:r>
          </w:p>
        </w:tc>
        <w:tc>
          <w:tcPr>
            <w:tcW w:type="dxa" w:w="1344"/>
            <w:shd w:val="clear" w:color="auto" w:fill="002B5B"/>
          </w:tcPr>
          <w:p>
            <w:r>
              <w:rPr>
                <w:b/>
                <w:color w:val="FFFFFF"/>
                <w:sz w:val="18"/>
              </w:rPr>
              <w:t>Market</w:t>
            </w:r>
          </w:p>
        </w:tc>
        <w:tc>
          <w:tcPr>
            <w:tcW w:type="dxa" w:w="1344"/>
            <w:shd w:val="clear" w:color="auto" w:fill="002B5B"/>
          </w:tcPr>
          <w:p>
            <w:r>
              <w:rPr>
                <w:b/>
                <w:color w:val="FFFFFF"/>
                <w:sz w:val="18"/>
              </w:rPr>
              <w:t>Comp. adv.</w:t>
            </w:r>
          </w:p>
        </w:tc>
        <w:tc>
          <w:tcPr>
            <w:tcW w:type="dxa" w:w="1344"/>
            <w:shd w:val="clear" w:color="auto" w:fill="002B5B"/>
          </w:tcPr>
          <w:p>
            <w:r>
              <w:rPr>
                <w:b/>
                <w:color w:val="FFFFFF"/>
                <w:sz w:val="18"/>
              </w:rPr>
              <w:t>Feasibility</w:t>
            </w:r>
          </w:p>
        </w:tc>
        <w:tc>
          <w:tcPr>
            <w:tcW w:type="dxa" w:w="1344"/>
            <w:shd w:val="clear" w:color="auto" w:fill="002B5B"/>
          </w:tcPr>
          <w:p>
            <w:r>
              <w:rPr>
                <w:b/>
                <w:color w:val="FFFFFF"/>
                <w:sz w:val="18"/>
              </w:rPr>
              <w:t>Jobs</w:t>
            </w:r>
          </w:p>
        </w:tc>
        <w:tc>
          <w:tcPr>
            <w:tcW w:type="dxa" w:w="1344"/>
            <w:shd w:val="clear" w:color="auto" w:fill="002B5B"/>
          </w:tcPr>
          <w:p>
            <w:r>
              <w:rPr>
                <w:b/>
                <w:color w:val="FFFFFF"/>
                <w:sz w:val="18"/>
              </w:rPr>
              <w:t>Import subst.</w:t>
            </w:r>
          </w:p>
        </w:tc>
        <w:tc>
          <w:tcPr>
            <w:tcW w:type="dxa" w:w="1344"/>
            <w:shd w:val="clear" w:color="auto" w:fill="002B5B"/>
          </w:tcPr>
          <w:p>
            <w:r>
              <w:rPr>
                <w:b/>
                <w:color w:val="FFFFFF"/>
                <w:sz w:val="18"/>
              </w:rPr>
              <w:t>Priority</w:t>
            </w:r>
          </w:p>
        </w:tc>
      </w:tr>
      <w:tr>
        <w:tc>
          <w:tcPr>
            <w:tcW w:type="dxa" w:w="1344"/>
            <w:shd w:val="clear" w:color="auto" w:fill="EEF3F9"/>
          </w:tcPr>
          <w:p>
            <w:r>
              <w:rPr>
                <w:b/>
                <w:sz w:val="18"/>
              </w:rPr>
              <w:t>Insulated wire &amp; cable</w:t>
            </w:r>
          </w:p>
        </w:tc>
        <w:tc>
          <w:tcPr>
            <w:tcW w:type="dxa" w:w="1344"/>
            <w:shd w:val="clear" w:color="auto" w:fill="EEF3F9"/>
          </w:tcPr>
          <w:p>
            <w:r>
              <w:rPr>
                <w:sz w:val="18"/>
              </w:rPr>
              <w:t>High (USD 57.7m imports)</w:t>
            </w:r>
          </w:p>
        </w:tc>
        <w:tc>
          <w:tcPr>
            <w:tcW w:type="dxa" w:w="1344"/>
            <w:shd w:val="clear" w:color="auto" w:fill="EEF3F9"/>
          </w:tcPr>
          <w:p>
            <w:r>
              <w:rPr>
                <w:sz w:val="18"/>
              </w:rPr>
              <w:t>High (Cable Corp base)</w:t>
            </w:r>
          </w:p>
        </w:tc>
        <w:tc>
          <w:tcPr>
            <w:tcW w:type="dxa" w:w="1344"/>
            <w:shd w:val="clear" w:color="auto" w:fill="EEF3F9"/>
          </w:tcPr>
          <w:p>
            <w:r>
              <w:rPr>
                <w:sz w:val="18"/>
              </w:rPr>
              <w:t>High</w:t>
            </w:r>
          </w:p>
        </w:tc>
        <w:tc>
          <w:tcPr>
            <w:tcW w:type="dxa" w:w="1344"/>
            <w:shd w:val="clear" w:color="auto" w:fill="EEF3F9"/>
          </w:tcPr>
          <w:p>
            <w:r>
              <w:rPr>
                <w:sz w:val="18"/>
              </w:rPr>
              <w:t>High</w:t>
            </w:r>
          </w:p>
        </w:tc>
        <w:tc>
          <w:tcPr>
            <w:tcW w:type="dxa" w:w="1344"/>
            <w:shd w:val="clear" w:color="auto" w:fill="EEF3F9"/>
          </w:tcPr>
          <w:p>
            <w:r>
              <w:rPr>
                <w:sz w:val="18"/>
              </w:rPr>
              <w:t>Very high</w:t>
            </w:r>
          </w:p>
        </w:tc>
        <w:tc>
          <w:tcPr>
            <w:tcW w:type="dxa" w:w="1344"/>
            <w:shd w:val="clear" w:color="auto" w:fill="EEF3F9"/>
          </w:tcPr>
          <w:p>
            <w:r>
              <w:rPr>
                <w:b/>
                <w:sz w:val="18"/>
              </w:rPr>
              <w:t>Priority</w:t>
            </w:r>
          </w:p>
        </w:tc>
      </w:tr>
      <w:tr>
        <w:tc>
          <w:tcPr>
            <w:tcW w:type="dxa" w:w="1344"/>
            <w:shd w:val="clear" w:color="auto" w:fill="FFFFFF"/>
          </w:tcPr>
          <w:p>
            <w:r>
              <w:rPr>
                <w:b/>
                <w:sz w:val="18"/>
              </w:rPr>
              <w:t>Copper cathode &amp; cobalt (Kilembe revival)</w:t>
            </w:r>
          </w:p>
        </w:tc>
        <w:tc>
          <w:tcPr>
            <w:tcW w:type="dxa" w:w="1344"/>
            <w:shd w:val="clear" w:color="auto" w:fill="FFFFFF"/>
          </w:tcPr>
          <w:p>
            <w:r>
              <w:rPr>
                <w:sz w:val="18"/>
              </w:rPr>
              <w:t>Medium–High</w:t>
            </w:r>
          </w:p>
        </w:tc>
        <w:tc>
          <w:tcPr>
            <w:tcW w:type="dxa" w:w="1344"/>
            <w:shd w:val="clear" w:color="auto" w:fill="FFFFFF"/>
          </w:tcPr>
          <w:p>
            <w:r>
              <w:rPr>
                <w:sz w:val="18"/>
              </w:rPr>
              <w:t>High (reserves)</w:t>
            </w:r>
          </w:p>
        </w:tc>
        <w:tc>
          <w:tcPr>
            <w:tcW w:type="dxa" w:w="1344"/>
            <w:shd w:val="clear" w:color="auto" w:fill="FFFFFF"/>
          </w:tcPr>
          <w:p>
            <w:r>
              <w:rPr>
                <w:sz w:val="18"/>
              </w:rPr>
              <w:t>Medium (long lead)</w:t>
            </w:r>
          </w:p>
        </w:tc>
        <w:tc>
          <w:tcPr>
            <w:tcW w:type="dxa" w:w="1344"/>
            <w:shd w:val="clear" w:color="auto" w:fill="FFFFFF"/>
          </w:tcPr>
          <w:p>
            <w:r>
              <w:rPr>
                <w:sz w:val="18"/>
              </w:rPr>
              <w:t>High</w:t>
            </w:r>
          </w:p>
        </w:tc>
        <w:tc>
          <w:tcPr>
            <w:tcW w:type="dxa" w:w="1344"/>
            <w:shd w:val="clear" w:color="auto" w:fill="FFFFFF"/>
          </w:tcPr>
          <w:p>
            <w:r>
              <w:rPr>
                <w:sz w:val="18"/>
              </w:rPr>
              <w:t>High (feedstock)</w:t>
            </w:r>
          </w:p>
        </w:tc>
        <w:tc>
          <w:tcPr>
            <w:tcW w:type="dxa" w:w="1344"/>
            <w:shd w:val="clear" w:color="auto" w:fill="FFFFFF"/>
          </w:tcPr>
          <w:p>
            <w:r>
              <w:rPr>
                <w:b/>
                <w:sz w:val="18"/>
              </w:rPr>
              <w:t>Priority (enabler)</w:t>
            </w:r>
          </w:p>
        </w:tc>
      </w:tr>
      <w:tr>
        <w:tc>
          <w:tcPr>
            <w:tcW w:type="dxa" w:w="1344"/>
            <w:shd w:val="clear" w:color="auto" w:fill="EEF3F9"/>
          </w:tcPr>
          <w:p>
            <w:r>
              <w:rPr>
                <w:b/>
                <w:sz w:val="18"/>
              </w:rPr>
              <w:t>Copper wire rod / semi-fabricates</w:t>
            </w:r>
          </w:p>
        </w:tc>
        <w:tc>
          <w:tcPr>
            <w:tcW w:type="dxa" w:w="1344"/>
            <w:shd w:val="clear" w:color="auto" w:fill="EEF3F9"/>
          </w:tcPr>
          <w:p>
            <w:r>
              <w:rPr>
                <w:sz w:val="18"/>
              </w:rPr>
              <w:t>Medium</w:t>
            </w:r>
          </w:p>
        </w:tc>
        <w:tc>
          <w:tcPr>
            <w:tcW w:type="dxa" w:w="1344"/>
            <w:shd w:val="clear" w:color="auto" w:fill="EEF3F9"/>
          </w:tcPr>
          <w:p>
            <w:r>
              <w:rPr>
                <w:sz w:val="18"/>
              </w:rPr>
              <w:t>Medium</w:t>
            </w:r>
          </w:p>
        </w:tc>
        <w:tc>
          <w:tcPr>
            <w:tcW w:type="dxa" w:w="1344"/>
            <w:shd w:val="clear" w:color="auto" w:fill="EEF3F9"/>
          </w:tcPr>
          <w:p>
            <w:r>
              <w:rPr>
                <w:sz w:val="18"/>
              </w:rPr>
              <w:t>Medium</w:t>
            </w:r>
          </w:p>
        </w:tc>
        <w:tc>
          <w:tcPr>
            <w:tcW w:type="dxa" w:w="1344"/>
            <w:shd w:val="clear" w:color="auto" w:fill="EEF3F9"/>
          </w:tcPr>
          <w:p>
            <w:r>
              <w:rPr>
                <w:sz w:val="18"/>
              </w:rPr>
              <w:t>Medium</w:t>
            </w:r>
          </w:p>
        </w:tc>
        <w:tc>
          <w:tcPr>
            <w:tcW w:type="dxa" w:w="1344"/>
            <w:shd w:val="clear" w:color="auto" w:fill="EEF3F9"/>
          </w:tcPr>
          <w:p>
            <w:r>
              <w:rPr>
                <w:sz w:val="18"/>
              </w:rPr>
              <w:t>High</w:t>
            </w:r>
          </w:p>
        </w:tc>
        <w:tc>
          <w:tcPr>
            <w:tcW w:type="dxa" w:w="1344"/>
            <w:shd w:val="clear" w:color="auto" w:fill="EEF3F9"/>
          </w:tcPr>
          <w:p>
            <w:r>
              <w:rPr>
                <w:b/>
                <w:sz w:val="18"/>
              </w:rPr>
              <w:t>Priority</w:t>
            </w:r>
          </w:p>
        </w:tc>
      </w:tr>
      <w:tr>
        <w:tc>
          <w:tcPr>
            <w:tcW w:type="dxa" w:w="1344"/>
            <w:shd w:val="clear" w:color="auto" w:fill="FFFFFF"/>
          </w:tcPr>
          <w:p>
            <w:r>
              <w:rPr>
                <w:sz w:val="18"/>
              </w:rPr>
              <w:t>Brass / alloy fabricated goods</w:t>
            </w:r>
          </w:p>
        </w:tc>
        <w:tc>
          <w:tcPr>
            <w:tcW w:type="dxa" w:w="1344"/>
            <w:shd w:val="clear" w:color="auto" w:fill="FFFFFF"/>
          </w:tcPr>
          <w:p>
            <w:r>
              <w:rPr>
                <w:sz w:val="18"/>
              </w:rPr>
              <w:t>Low–Med</w:t>
            </w:r>
          </w:p>
        </w:tc>
        <w:tc>
          <w:tcPr>
            <w:tcW w:type="dxa" w:w="1344"/>
            <w:shd w:val="clear" w:color="auto" w:fill="FFFFFF"/>
          </w:tcPr>
          <w:p>
            <w:r>
              <w:rPr>
                <w:sz w:val="18"/>
              </w:rPr>
              <w:t>Low</w:t>
            </w:r>
          </w:p>
        </w:tc>
        <w:tc>
          <w:tcPr>
            <w:tcW w:type="dxa" w:w="1344"/>
            <w:shd w:val="clear" w:color="auto" w:fill="FFFFFF"/>
          </w:tcPr>
          <w:p>
            <w:r>
              <w:rPr>
                <w:sz w:val="18"/>
              </w:rPr>
              <w:t>Medium</w:t>
            </w:r>
          </w:p>
        </w:tc>
        <w:tc>
          <w:tcPr>
            <w:tcW w:type="dxa" w:w="1344"/>
            <w:shd w:val="clear" w:color="auto" w:fill="FFFFFF"/>
          </w:tcPr>
          <w:p>
            <w:r>
              <w:rPr>
                <w:sz w:val="18"/>
              </w:rPr>
              <w:t>Low</w:t>
            </w:r>
          </w:p>
        </w:tc>
        <w:tc>
          <w:tcPr>
            <w:tcW w:type="dxa" w:w="1344"/>
            <w:shd w:val="clear" w:color="auto" w:fill="FFFFFF"/>
          </w:tcPr>
          <w:p>
            <w:r>
              <w:rPr>
                <w:sz w:val="18"/>
              </w:rPr>
              <w:t>Medium</w:t>
            </w:r>
          </w:p>
        </w:tc>
        <w:tc>
          <w:tcPr>
            <w:tcW w:type="dxa" w:w="1344"/>
            <w:shd w:val="clear" w:color="auto" w:fill="FFFFFF"/>
          </w:tcPr>
          <w:p>
            <w:r>
              <w:rPr>
                <w:sz w:val="18"/>
              </w:rPr>
              <w:t>Conditional</w:t>
            </w:r>
          </w:p>
        </w:tc>
      </w:tr>
      <w:tr>
        <w:tc>
          <w:tcPr>
            <w:tcW w:type="dxa" w:w="1344"/>
            <w:shd w:val="clear" w:color="auto" w:fill="EEF3F9"/>
          </w:tcPr>
          <w:p>
            <w:r>
              <w:rPr>
                <w:sz w:val="18"/>
              </w:rPr>
              <w:t>Primary copper smelting for export</w:t>
            </w:r>
          </w:p>
        </w:tc>
        <w:tc>
          <w:tcPr>
            <w:tcW w:type="dxa" w:w="1344"/>
            <w:shd w:val="clear" w:color="auto" w:fill="EEF3F9"/>
          </w:tcPr>
          <w:p>
            <w:r>
              <w:rPr>
                <w:sz w:val="18"/>
              </w:rPr>
              <w:t>Low (scale)</w:t>
            </w:r>
          </w:p>
        </w:tc>
        <w:tc>
          <w:tcPr>
            <w:tcW w:type="dxa" w:w="1344"/>
            <w:shd w:val="clear" w:color="auto" w:fill="EEF3F9"/>
          </w:tcPr>
          <w:p>
            <w:r>
              <w:rPr>
                <w:sz w:val="18"/>
              </w:rPr>
              <w:t>Low</w:t>
            </w:r>
          </w:p>
        </w:tc>
        <w:tc>
          <w:tcPr>
            <w:tcW w:type="dxa" w:w="1344"/>
            <w:shd w:val="clear" w:color="auto" w:fill="EEF3F9"/>
          </w:tcPr>
          <w:p>
            <w:r>
              <w:rPr>
                <w:sz w:val="18"/>
              </w:rPr>
              <w:t>Low</w:t>
            </w:r>
          </w:p>
        </w:tc>
        <w:tc>
          <w:tcPr>
            <w:tcW w:type="dxa" w:w="1344"/>
            <w:shd w:val="clear" w:color="auto" w:fill="EEF3F9"/>
          </w:tcPr>
          <w:p>
            <w:r>
              <w:rPr>
                <w:sz w:val="18"/>
              </w:rPr>
              <w:t>Medium</w:t>
            </w:r>
          </w:p>
        </w:tc>
        <w:tc>
          <w:tcPr>
            <w:tcW w:type="dxa" w:w="1344"/>
            <w:shd w:val="clear" w:color="auto" w:fill="EEF3F9"/>
          </w:tcPr>
          <w:p>
            <w:r>
              <w:rPr>
                <w:sz w:val="18"/>
              </w:rPr>
              <w:t>Low</w:t>
            </w:r>
          </w:p>
        </w:tc>
        <w:tc>
          <w:tcPr>
            <w:tcW w:type="dxa" w:w="1344"/>
            <w:shd w:val="clear" w:color="auto" w:fill="EEF3F9"/>
          </w:tcPr>
          <w:p>
            <w:r>
              <w:rPr>
                <w:sz w:val="18"/>
              </w:rPr>
              <w:t>Deprioritize</w:t>
            </w:r>
          </w:p>
        </w:tc>
      </w:tr>
    </w:tbl>
    <w:p/>
    <w:p>
      <w:r>
        <w:rPr>
          <w:b/>
        </w:rPr>
        <w:t>The three priorities for Copper &amp; Allied Metals:</w:t>
      </w:r>
    </w:p>
    <w:p>
      <w:pPr>
        <w:pStyle w:val="ListNumber"/>
      </w:pPr>
      <w:r>
        <w:rPr>
          <w:b/>
        </w:rPr>
        <w:t>Insulated wire &amp; cable</w:t>
      </w:r>
      <w:r>
        <w:t xml:space="preserve"> — expand the existing, competitive Cable Corporation–led industry to capture the USD 57.7m import market and grow regional exports. The fastest, lowest-risk win.</w:t>
      </w:r>
    </w:p>
    <w:p>
      <w:pPr>
        <w:pStyle w:val="ListNumber"/>
      </w:pPr>
      <w:r>
        <w:rPr>
          <w:b/>
        </w:rPr>
        <w:t>Kilembe copper cathode &amp; cobalt</w:t>
      </w:r>
      <w:r>
        <w:t xml:space="preserve"> — execute the 2025 production-sharing redevelopment to revive midstream supply, prioritizing </w:t>
      </w:r>
      <w:r>
        <w:rPr>
          <w:b/>
        </w:rPr>
        <w:t>feedstock for the domestic cable industry</w:t>
      </w:r>
      <w:r>
        <w:t xml:space="preserve"> and </w:t>
      </w:r>
      <w:r>
        <w:rPr>
          <w:b/>
        </w:rPr>
        <w:t>cobalt</w:t>
      </w:r>
      <w:r>
        <w:t xml:space="preserve"> as the high-value export.</w:t>
      </w:r>
    </w:p>
    <w:p>
      <w:pPr>
        <w:pStyle w:val="ListNumber"/>
      </w:pPr>
      <w:r>
        <w:rPr>
          <w:b/>
        </w:rPr>
        <w:t>Copper wire rod / semi-fabrication</w:t>
      </w:r>
      <w:r>
        <w:t xml:space="preserve"> — the connecting midstream step between cathode and cable, to integrate the chain domestically.</w:t>
      </w:r>
    </w:p>
    <w:p>
      <w:r>
        <w:rPr>
          <w:b/>
        </w:rPr>
        <w:t>Explicit deprioritization.</w:t>
      </w:r>
      <w:r>
        <w:t xml:space="preserve"> Uganda should </w:t>
      </w:r>
      <w:r>
        <w:rPr>
          <w:b/>
        </w:rPr>
        <w:t>not</w:t>
      </w:r>
      <w:r>
        <w:t xml:space="preserve"> target greenfield primary copper smelting for global cathode export as a first move — global cathode is scale-driven and Uganda's tonnage is modest. The value is in </w:t>
      </w:r>
      <w:r>
        <w:rPr>
          <w:b/>
        </w:rPr>
        <w:t>integrating cathode→rod→cable for domestic and regional markets</w:t>
      </w:r>
      <w:r>
        <w:t xml:space="preserve">, and in </w:t>
      </w:r>
      <w:r>
        <w:rPr>
          <w:b/>
        </w:rPr>
        <w:t>cobalt</w:t>
      </w:r>
      <w:r>
        <w:t xml:space="preserve"> as the premium export.</w:t>
      </w:r>
    </w:p>
    <w:p>
      <w:pPr>
        <w:pStyle w:val="Heading2"/>
      </w:pPr>
      <w:r>
        <w:t>5.F Priority Action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Timeframe</w:t>
            </w:r>
          </w:p>
        </w:tc>
        <w:tc>
          <w:tcPr>
            <w:tcW w:type="dxa" w:w="2351"/>
            <w:shd w:val="clear" w:color="auto" w:fill="002B5B"/>
          </w:tcPr>
          <w:p>
            <w:r>
              <w:rPr>
                <w:b/>
                <w:color w:val="FFFFFF"/>
                <w:sz w:val="18"/>
              </w:rPr>
              <w:t>Action</w:t>
            </w:r>
          </w:p>
        </w:tc>
        <w:tc>
          <w:tcPr>
            <w:tcW w:type="dxa" w:w="2351"/>
            <w:shd w:val="clear" w:color="auto" w:fill="002B5B"/>
          </w:tcPr>
          <w:p>
            <w:r>
              <w:rPr>
                <w:b/>
                <w:color w:val="FFFFFF"/>
                <w:sz w:val="18"/>
              </w:rPr>
              <w:t>Lead</w:t>
            </w:r>
          </w:p>
        </w:tc>
        <w:tc>
          <w:tcPr>
            <w:tcW w:type="dxa" w:w="2351"/>
            <w:shd w:val="clear" w:color="auto" w:fill="002B5B"/>
          </w:tcPr>
          <w:p>
            <w:r>
              <w:rPr>
                <w:b/>
                <w:color w:val="FFFFFF"/>
                <w:sz w:val="18"/>
              </w:rPr>
              <w:t>Indicative cost</w:t>
            </w:r>
          </w:p>
        </w:tc>
      </w:tr>
      <w:tr>
        <w:tc>
          <w:tcPr>
            <w:tcW w:type="dxa" w:w="2351"/>
            <w:shd w:val="clear" w:color="auto" w:fill="EEF3F9"/>
          </w:tcPr>
          <w:p>
            <w:r>
              <w:rPr>
                <w:b/>
                <w:sz w:val="18"/>
              </w:rPr>
              <w:t>Quick win (0–12m)</w:t>
            </w:r>
          </w:p>
        </w:tc>
        <w:tc>
          <w:tcPr>
            <w:tcW w:type="dxa" w:w="2351"/>
            <w:shd w:val="clear" w:color="auto" w:fill="EEF3F9"/>
          </w:tcPr>
          <w:p>
            <w:r>
              <w:rPr>
                <w:sz w:val="18"/>
              </w:rPr>
              <w:t>Enforce UNBS cable standards against substandard imports (safety + market for compliant firms)</w:t>
            </w:r>
          </w:p>
        </w:tc>
        <w:tc>
          <w:tcPr>
            <w:tcW w:type="dxa" w:w="2351"/>
            <w:shd w:val="clear" w:color="auto" w:fill="EEF3F9"/>
          </w:tcPr>
          <w:p>
            <w:r>
              <w:rPr>
                <w:sz w:val="18"/>
              </w:rPr>
              <w:t>UNBS, MTIC, URA</w:t>
            </w:r>
          </w:p>
        </w:tc>
        <w:tc>
          <w:tcPr>
            <w:tcW w:type="dxa" w:w="2351"/>
            <w:shd w:val="clear" w:color="auto" w:fill="EEF3F9"/>
          </w:tcPr>
          <w:p>
            <w:r>
              <w:rPr>
                <w:sz w:val="18"/>
              </w:rPr>
              <w:t>Low</w:t>
            </w:r>
          </w:p>
        </w:tc>
      </w:tr>
      <w:tr>
        <w:tc>
          <w:tcPr>
            <w:tcW w:type="dxa" w:w="2351"/>
            <w:shd w:val="clear" w:color="auto" w:fill="FFFFFF"/>
          </w:tcPr>
          <w:p>
            <w:r>
              <w:rPr>
                <w:sz w:val="18"/>
              </w:rPr>
              <w:t>Quick win (0–12m)</w:t>
            </w:r>
          </w:p>
        </w:tc>
        <w:tc>
          <w:tcPr>
            <w:tcW w:type="dxa" w:w="2351"/>
            <w:shd w:val="clear" w:color="auto" w:fill="FFFFFF"/>
          </w:tcPr>
          <w:p>
            <w:r>
              <w:rPr>
                <w:sz w:val="18"/>
              </w:rPr>
              <w:t>Finalize Kilembe redevelopment workplan and milestones under the production-sharing agreement</w:t>
            </w:r>
          </w:p>
        </w:tc>
        <w:tc>
          <w:tcPr>
            <w:tcW w:type="dxa" w:w="2351"/>
            <w:shd w:val="clear" w:color="auto" w:fill="FFFFFF"/>
          </w:tcPr>
          <w:p>
            <w:r>
              <w:rPr>
                <w:sz w:val="18"/>
              </w:rPr>
              <w:t>MEMD/DGSM, investor</w:t>
            </w:r>
          </w:p>
        </w:tc>
        <w:tc>
          <w:tcPr>
            <w:tcW w:type="dxa" w:w="2351"/>
            <w:shd w:val="clear" w:color="auto" w:fill="FFFFFF"/>
          </w:tcPr>
          <w:p>
            <w:r>
              <w:rPr>
                <w:sz w:val="18"/>
              </w:rPr>
              <w:t>Low (admin)</w:t>
            </w:r>
          </w:p>
        </w:tc>
      </w:tr>
      <w:tr>
        <w:tc>
          <w:tcPr>
            <w:tcW w:type="dxa" w:w="2351"/>
            <w:shd w:val="clear" w:color="auto" w:fill="EEF3F9"/>
          </w:tcPr>
          <w:p>
            <w:r>
              <w:rPr>
                <w:b/>
                <w:sz w:val="18"/>
              </w:rPr>
              <w:t>Reform (1–3y)</w:t>
            </w:r>
          </w:p>
        </w:tc>
        <w:tc>
          <w:tcPr>
            <w:tcW w:type="dxa" w:w="2351"/>
            <w:shd w:val="clear" w:color="auto" w:fill="EEF3F9"/>
          </w:tcPr>
          <w:p>
            <w:r>
              <w:rPr>
                <w:sz w:val="18"/>
              </w:rPr>
              <w:t>Develop a cobalt strategy (battery-minerals positioning, off-take, value addition)</w:t>
            </w:r>
          </w:p>
        </w:tc>
        <w:tc>
          <w:tcPr>
            <w:tcW w:type="dxa" w:w="2351"/>
            <w:shd w:val="clear" w:color="auto" w:fill="EEF3F9"/>
          </w:tcPr>
          <w:p>
            <w:r>
              <w:rPr>
                <w:sz w:val="18"/>
              </w:rPr>
              <w:t>MEMD, MTIC</w:t>
            </w:r>
          </w:p>
        </w:tc>
        <w:tc>
          <w:tcPr>
            <w:tcW w:type="dxa" w:w="2351"/>
            <w:shd w:val="clear" w:color="auto" w:fill="EEF3F9"/>
          </w:tcPr>
          <w:p>
            <w:r>
              <w:rPr>
                <w:sz w:val="18"/>
              </w:rPr>
              <w:t>Medium</w:t>
            </w:r>
          </w:p>
        </w:tc>
      </w:tr>
      <w:tr>
        <w:tc>
          <w:tcPr>
            <w:tcW w:type="dxa" w:w="2351"/>
            <w:shd w:val="clear" w:color="auto" w:fill="FFFFFF"/>
          </w:tcPr>
          <w:p>
            <w:r>
              <w:rPr>
                <w:sz w:val="18"/>
              </w:rPr>
              <w:t>Reform (1–3y)</w:t>
            </w:r>
          </w:p>
        </w:tc>
        <w:tc>
          <w:tcPr>
            <w:tcW w:type="dxa" w:w="2351"/>
            <w:shd w:val="clear" w:color="auto" w:fill="FFFFFF"/>
          </w:tcPr>
          <w:p>
            <w:r>
              <w:rPr>
                <w:sz w:val="18"/>
              </w:rPr>
              <w:t>Tailings management and reprocessing framework at Kilembe (liability + resource)</w:t>
            </w:r>
          </w:p>
        </w:tc>
        <w:tc>
          <w:tcPr>
            <w:tcW w:type="dxa" w:w="2351"/>
            <w:shd w:val="clear" w:color="auto" w:fill="FFFFFF"/>
          </w:tcPr>
          <w:p>
            <w:r>
              <w:rPr>
                <w:sz w:val="18"/>
              </w:rPr>
              <w:t>NEMA, MEMD</w:t>
            </w:r>
          </w:p>
        </w:tc>
        <w:tc>
          <w:tcPr>
            <w:tcW w:type="dxa" w:w="2351"/>
            <w:shd w:val="clear" w:color="auto" w:fill="FFFFFF"/>
          </w:tcPr>
          <w:p>
            <w:r>
              <w:rPr>
                <w:sz w:val="18"/>
              </w:rPr>
              <w:t>Medium</w:t>
            </w:r>
          </w:p>
        </w:tc>
      </w:tr>
      <w:tr>
        <w:tc>
          <w:tcPr>
            <w:tcW w:type="dxa" w:w="2351"/>
            <w:shd w:val="clear" w:color="auto" w:fill="EEF3F9"/>
          </w:tcPr>
          <w:p>
            <w:r>
              <w:rPr>
                <w:sz w:val="18"/>
              </w:rPr>
              <w:t>Reform (1–3y)</w:t>
            </w:r>
          </w:p>
        </w:tc>
        <w:tc>
          <w:tcPr>
            <w:tcW w:type="dxa" w:w="2351"/>
            <w:shd w:val="clear" w:color="auto" w:fill="EEF3F9"/>
          </w:tcPr>
          <w:p>
            <w:r>
              <w:rPr>
                <w:sz w:val="18"/>
              </w:rPr>
              <w:t>Power and transport upgrades for Kasese/Kilembe</w:t>
            </w:r>
          </w:p>
        </w:tc>
        <w:tc>
          <w:tcPr>
            <w:tcW w:type="dxa" w:w="2351"/>
            <w:shd w:val="clear" w:color="auto" w:fill="EEF3F9"/>
          </w:tcPr>
          <w:p>
            <w:r>
              <w:rPr>
                <w:sz w:val="18"/>
              </w:rPr>
              <w:t>ERA, Uganda National Roads Authority (UNRA), MEMD</w:t>
            </w:r>
          </w:p>
        </w:tc>
        <w:tc>
          <w:tcPr>
            <w:tcW w:type="dxa" w:w="2351"/>
            <w:shd w:val="clear" w:color="auto" w:fill="EEF3F9"/>
          </w:tcPr>
          <w:p>
            <w:r>
              <w:rPr>
                <w:sz w:val="18"/>
              </w:rPr>
              <w:t>Medium–High</w:t>
            </w:r>
          </w:p>
        </w:tc>
      </w:tr>
      <w:tr>
        <w:tc>
          <w:tcPr>
            <w:tcW w:type="dxa" w:w="2351"/>
            <w:shd w:val="clear" w:color="auto" w:fill="FFFFFF"/>
          </w:tcPr>
          <w:p>
            <w:r>
              <w:rPr>
                <w:b/>
                <w:sz w:val="18"/>
              </w:rPr>
              <w:t>Investment (3–5y)</w:t>
            </w:r>
          </w:p>
        </w:tc>
        <w:tc>
          <w:tcPr>
            <w:tcW w:type="dxa" w:w="2351"/>
            <w:shd w:val="clear" w:color="auto" w:fill="FFFFFF"/>
          </w:tcPr>
          <w:p>
            <w:r>
              <w:rPr>
                <w:sz w:val="18"/>
              </w:rPr>
              <w:t>Kilembe mine + cathode/cobalt processing (production-sharing)</w:t>
            </w:r>
          </w:p>
        </w:tc>
        <w:tc>
          <w:tcPr>
            <w:tcW w:type="dxa" w:w="2351"/>
            <w:shd w:val="clear" w:color="auto" w:fill="FFFFFF"/>
          </w:tcPr>
          <w:p>
            <w:r>
              <w:rPr>
                <w:sz w:val="18"/>
              </w:rPr>
              <w:t>Private-led / PPP</w:t>
            </w:r>
          </w:p>
        </w:tc>
        <w:tc>
          <w:tcPr>
            <w:tcW w:type="dxa" w:w="2351"/>
            <w:shd w:val="clear" w:color="auto" w:fill="FFFFFF"/>
          </w:tcPr>
          <w:p>
            <w:r>
              <w:rPr>
                <w:sz w:val="18"/>
              </w:rPr>
              <w:t>Indicative (see Ch.8)</w:t>
            </w:r>
          </w:p>
        </w:tc>
      </w:tr>
      <w:tr>
        <w:tc>
          <w:tcPr>
            <w:tcW w:type="dxa" w:w="2351"/>
            <w:shd w:val="clear" w:color="auto" w:fill="EEF3F9"/>
          </w:tcPr>
          <w:p>
            <w:r>
              <w:rPr>
                <w:sz w:val="18"/>
              </w:rPr>
              <w:t>Investment (3–5y)</w:t>
            </w:r>
          </w:p>
        </w:tc>
        <w:tc>
          <w:tcPr>
            <w:tcW w:type="dxa" w:w="2351"/>
            <w:shd w:val="clear" w:color="auto" w:fill="EEF3F9"/>
          </w:tcPr>
          <w:p>
            <w:r>
              <w:rPr>
                <w:sz w:val="18"/>
              </w:rPr>
              <w:t>Expansion of cable &amp; conductor manufacturing capacity</w:t>
            </w:r>
          </w:p>
        </w:tc>
        <w:tc>
          <w:tcPr>
            <w:tcW w:type="dxa" w:w="2351"/>
            <w:shd w:val="clear" w:color="auto" w:fill="EEF3F9"/>
          </w:tcPr>
          <w:p>
            <w:r>
              <w:rPr>
                <w:sz w:val="18"/>
              </w:rPr>
              <w:t>Private-led</w:t>
            </w:r>
          </w:p>
        </w:tc>
        <w:tc>
          <w:tcPr>
            <w:tcW w:type="dxa" w:w="2351"/>
            <w:shd w:val="clear" w:color="auto" w:fill="EEF3F9"/>
          </w:tcPr>
          <w:p>
            <w:r>
              <w:rPr>
                <w:sz w:val="18"/>
              </w:rPr>
              <w:t>Indicative (see Ch.8)</w:t>
            </w:r>
          </w:p>
        </w:tc>
      </w:tr>
    </w:tbl>
    <w:p/>
    <w:p>
      <w:pPr>
        <w:pStyle w:val="Heading2"/>
      </w:pPr>
      <w:r>
        <w:t>References</w:t>
      </w:r>
    </w:p>
    <w:p>
      <w:pPr>
        <w:pStyle w:val="ListBullet"/>
      </w:pPr>
      <w:r>
        <w:t>Directorate of Geological Survey and Mines, "Redevelopment of Kilembe Mines." https://dgsm.go.ug/redevelopment-of-kilembe-mines/</w:t>
      </w:r>
    </w:p>
    <w:p>
      <w:pPr>
        <w:pStyle w:val="ListBullet"/>
      </w:pPr>
      <w:r>
        <w:t>Mining Weekly, "Uganda signs maiden production-sharing deal to revive copper mine" (4 March 2025). https://www.miningweekly.com/article/uganda-signs-maiden-production-sharing-deal-to-revive-copper-mine-2025-03-04</w:t>
      </w:r>
    </w:p>
    <w:p>
      <w:pPr>
        <w:pStyle w:val="ListBullet"/>
      </w:pPr>
      <w:r>
        <w:t>Cable Corporation (Uganda), "About us." https://cablecorp-uganda.com/pages/about-us</w:t>
      </w:r>
    </w:p>
    <w:p>
      <w:pPr>
        <w:pStyle w:val="ListBullet"/>
      </w:pPr>
      <w:r>
        <w:t>Mehta Group, "Electric Cables." https://www.mehtagroup.com/electric_cables.html</w:t>
      </w:r>
    </w:p>
    <w:p>
      <w:pPr>
        <w:pStyle w:val="ListBullet"/>
      </w:pPr>
      <w:r>
        <w:t xml:space="preserve">International Copper Study Group, </w:t>
      </w:r>
      <w:r>
        <w:rPr>
          <w:i/>
        </w:rPr>
        <w:t>World Copper Factbook 2025</w:t>
      </w:r>
      <w:r>
        <w:t>. https://icsg.org/copper-factbook/</w:t>
      </w:r>
    </w:p>
    <w:p>
      <w:pPr>
        <w:pStyle w:val="ListBullet"/>
      </w:pPr>
      <w:r>
        <w:t>ITC TradeMap, trade statistics — HS 8544, 7403, 7408, Uganda, 2024. https://www.trademap.org</w:t>
      </w:r>
    </w:p>
    <w:p>
      <w:pPr>
        <w:pStyle w:val="ListBullet"/>
      </w:pPr>
      <w:r>
        <w:t>Electricity Regulatory Authority, end-user tariffs 2025. https://www.era.go.ug/</w:t>
      </w:r>
    </w:p>
    <w:p>
      <w:pPr>
        <w:pStyle w:val="ListBullet"/>
      </w:pPr>
      <w:r>
        <w:t xml:space="preserve">NEMA, </w:t>
      </w:r>
      <w:r>
        <w:rPr>
          <w:i/>
        </w:rPr>
        <w:t>Effluent Discharge Regulations 2020</w:t>
      </w:r>
      <w:r>
        <w:t>. https://www.nema.go.ug/</w:t>
      </w:r>
    </w:p>
    <w:p>
      <w:r>
        <w:br w:type="page"/>
      </w:r>
    </w:p>
    <w:p>
      <w:pPr>
        <w:pStyle w:val="Heading1"/>
      </w:pPr>
      <w:r>
        <w:t>Chapter 6: Automotive Value Chain</w:t>
      </w:r>
    </w:p>
    <w:p>
      <w:r>
        <w:rPr>
          <w:b/>
        </w:rPr>
        <w:t>Report:</w:t>
      </w:r>
      <w:r>
        <w:t xml:space="preserve"> Report 1 — Iron &amp; Steel, Copper &amp; Allied Metals, and Automotive Value Chains</w:t>
      </w:r>
    </w:p>
    <w:p>
      <w:r>
        <w:rPr>
          <w:b/>
        </w:rPr>
        <w:t>Status:</w:t>
      </w:r>
      <w:r>
        <w:t xml:space="preserve"> Draft for validation</w:t>
      </w:r>
    </w:p>
    <w:p>
      <w:r>
        <w:rPr>
          <w:b/>
        </w:rPr>
        <w:t>Primary sources:</w:t>
      </w:r>
      <w:r>
        <w:t xml:space="preserve"> Kiira Motors Corporation; Uganda Broadcasting Corporation (2025); ITC TradeMap (2024); Mobility Foresights, </w:t>
      </w:r>
      <w:r>
        <w:rPr>
          <w:i/>
        </w:rPr>
        <w:t>Uganda Used Car Market</w:t>
      </w:r>
      <w:r>
        <w:t>.</w:t>
      </w:r>
    </w:p>
    <w:p>
      <w:pPr>
        <w:pStyle w:val="Heading2"/>
      </w:pPr>
      <w:r>
        <w:t>6.A Value Chain Map</w:t>
      </w:r>
    </w:p>
    <w:p>
      <w:r>
        <w:t xml:space="preserve">The automotive value chain spans inputs (steel, copper, plastics, glass, rubber, electronics), component manufacture, assembly, and after-market parts and service. Uganda is at an </w:t>
      </w:r>
      <w:r>
        <w:rPr>
          <w:b/>
        </w:rPr>
        <w:t>early, deliberately state-anchored stage</w:t>
      </w:r>
      <w:r>
        <w:t xml:space="preserve">: it has a new flagship assembly capability (Kiira Motors) and an active motorcycle-assembly and body-fabrication base, but the market is overwhelmingly served by </w:t>
      </w:r>
      <w:r>
        <w:rPr>
          <w:b/>
        </w:rPr>
        <w:t>imported used vehicles</w:t>
      </w:r>
      <w:r>
        <w: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Phase</w:t>
            </w:r>
          </w:p>
        </w:tc>
        <w:tc>
          <w:tcPr>
            <w:tcW w:type="dxa" w:w="2351"/>
            <w:shd w:val="clear" w:color="auto" w:fill="002B5B"/>
          </w:tcPr>
          <w:p>
            <w:r>
              <w:rPr>
                <w:b/>
                <w:color w:val="FFFFFF"/>
                <w:sz w:val="18"/>
              </w:rPr>
              <w:t>Activity</w:t>
            </w:r>
          </w:p>
        </w:tc>
        <w:tc>
          <w:tcPr>
            <w:tcW w:type="dxa" w:w="2351"/>
            <w:shd w:val="clear" w:color="auto" w:fill="002B5B"/>
          </w:tcPr>
          <w:p>
            <w:r>
              <w:rPr>
                <w:b/>
                <w:color w:val="FFFFFF"/>
                <w:sz w:val="18"/>
              </w:rPr>
              <w:t>Main inputs</w:t>
            </w:r>
          </w:p>
        </w:tc>
        <w:tc>
          <w:tcPr>
            <w:tcW w:type="dxa" w:w="2351"/>
            <w:shd w:val="clear" w:color="auto" w:fill="002B5B"/>
          </w:tcPr>
          <w:p>
            <w:r>
              <w:rPr>
                <w:b/>
                <w:color w:val="FFFFFF"/>
                <w:sz w:val="18"/>
              </w:rPr>
              <w:t>Output</w:t>
            </w:r>
          </w:p>
        </w:tc>
      </w:tr>
      <w:tr>
        <w:tc>
          <w:tcPr>
            <w:tcW w:type="dxa" w:w="2351"/>
            <w:shd w:val="clear" w:color="auto" w:fill="EEF3F9"/>
          </w:tcPr>
          <w:p>
            <w:r>
              <w:rPr>
                <w:sz w:val="18"/>
              </w:rPr>
              <w:t>I</w:t>
            </w:r>
          </w:p>
        </w:tc>
        <w:tc>
          <w:tcPr>
            <w:tcW w:type="dxa" w:w="2351"/>
            <w:shd w:val="clear" w:color="auto" w:fill="EEF3F9"/>
          </w:tcPr>
          <w:p>
            <w:r>
              <w:rPr>
                <w:sz w:val="18"/>
              </w:rPr>
              <w:t>Raw materials</w:t>
            </w:r>
          </w:p>
        </w:tc>
        <w:tc>
          <w:tcPr>
            <w:tcW w:type="dxa" w:w="2351"/>
            <w:shd w:val="clear" w:color="auto" w:fill="EEF3F9"/>
          </w:tcPr>
          <w:p>
            <w:r>
              <w:rPr>
                <w:sz w:val="18"/>
              </w:rPr>
              <w:t>Steel, copper, aluminium, plastics, glass, rubber</w:t>
            </w:r>
          </w:p>
        </w:tc>
        <w:tc>
          <w:tcPr>
            <w:tcW w:type="dxa" w:w="2351"/>
            <w:shd w:val="clear" w:color="auto" w:fill="EEF3F9"/>
          </w:tcPr>
          <w:p>
            <w:r>
              <w:rPr>
                <w:sz w:val="18"/>
              </w:rPr>
              <w:t>Material inputs</w:t>
            </w:r>
          </w:p>
        </w:tc>
      </w:tr>
      <w:tr>
        <w:tc>
          <w:tcPr>
            <w:tcW w:type="dxa" w:w="2351"/>
            <w:shd w:val="clear" w:color="auto" w:fill="FFFFFF"/>
          </w:tcPr>
          <w:p>
            <w:r>
              <w:rPr>
                <w:sz w:val="18"/>
              </w:rPr>
              <w:t>II</w:t>
            </w:r>
          </w:p>
        </w:tc>
        <w:tc>
          <w:tcPr>
            <w:tcW w:type="dxa" w:w="2351"/>
            <w:shd w:val="clear" w:color="auto" w:fill="FFFFFF"/>
          </w:tcPr>
          <w:p>
            <w:r>
              <w:rPr>
                <w:sz w:val="18"/>
              </w:rPr>
              <w:t>Components</w:t>
            </w:r>
          </w:p>
        </w:tc>
        <w:tc>
          <w:tcPr>
            <w:tcW w:type="dxa" w:w="2351"/>
            <w:shd w:val="clear" w:color="auto" w:fill="FFFFFF"/>
          </w:tcPr>
          <w:p>
            <w:r>
              <w:rPr>
                <w:sz w:val="18"/>
              </w:rPr>
              <w:t>Materials</w:t>
            </w:r>
          </w:p>
        </w:tc>
        <w:tc>
          <w:tcPr>
            <w:tcW w:type="dxa" w:w="2351"/>
            <w:shd w:val="clear" w:color="auto" w:fill="FFFFFF"/>
          </w:tcPr>
          <w:p>
            <w:r>
              <w:rPr>
                <w:sz w:val="18"/>
              </w:rPr>
              <w:t>Body panels, frames, seats, wiring, batteries, tyres</w:t>
            </w:r>
          </w:p>
        </w:tc>
      </w:tr>
      <w:tr>
        <w:tc>
          <w:tcPr>
            <w:tcW w:type="dxa" w:w="2351"/>
            <w:shd w:val="clear" w:color="auto" w:fill="EEF3F9"/>
          </w:tcPr>
          <w:p>
            <w:r>
              <w:rPr>
                <w:sz w:val="18"/>
              </w:rPr>
              <w:t>III</w:t>
            </w:r>
          </w:p>
        </w:tc>
        <w:tc>
          <w:tcPr>
            <w:tcW w:type="dxa" w:w="2351"/>
            <w:shd w:val="clear" w:color="auto" w:fill="EEF3F9"/>
          </w:tcPr>
          <w:p>
            <w:r>
              <w:rPr>
                <w:sz w:val="18"/>
              </w:rPr>
              <w:t>Assembly</w:t>
            </w:r>
          </w:p>
        </w:tc>
        <w:tc>
          <w:tcPr>
            <w:tcW w:type="dxa" w:w="2351"/>
            <w:shd w:val="clear" w:color="auto" w:fill="EEF3F9"/>
          </w:tcPr>
          <w:p>
            <w:r>
              <w:rPr>
                <w:sz w:val="18"/>
              </w:rPr>
              <w:t>Components / CKD-SKD kits</w:t>
            </w:r>
          </w:p>
        </w:tc>
        <w:tc>
          <w:tcPr>
            <w:tcW w:type="dxa" w:w="2351"/>
            <w:shd w:val="clear" w:color="auto" w:fill="EEF3F9"/>
          </w:tcPr>
          <w:p>
            <w:r>
              <w:rPr>
                <w:sz w:val="18"/>
              </w:rPr>
              <w:t>Vehicles, buses, motorcycles</w:t>
            </w:r>
          </w:p>
        </w:tc>
      </w:tr>
      <w:tr>
        <w:tc>
          <w:tcPr>
            <w:tcW w:type="dxa" w:w="2351"/>
            <w:shd w:val="clear" w:color="auto" w:fill="FFFFFF"/>
          </w:tcPr>
          <w:p>
            <w:r>
              <w:rPr>
                <w:sz w:val="18"/>
              </w:rPr>
              <w:t>IV</w:t>
            </w:r>
          </w:p>
        </w:tc>
        <w:tc>
          <w:tcPr>
            <w:tcW w:type="dxa" w:w="2351"/>
            <w:shd w:val="clear" w:color="auto" w:fill="FFFFFF"/>
          </w:tcPr>
          <w:p>
            <w:r>
              <w:rPr>
                <w:sz w:val="18"/>
              </w:rPr>
              <w:t>Distribution &amp; sales</w:t>
            </w:r>
          </w:p>
        </w:tc>
        <w:tc>
          <w:tcPr>
            <w:tcW w:type="dxa" w:w="2351"/>
            <w:shd w:val="clear" w:color="auto" w:fill="FFFFFF"/>
          </w:tcPr>
          <w:p>
            <w:r>
              <w:rPr>
                <w:sz w:val="18"/>
              </w:rPr>
              <w:t>Vehicles</w:t>
            </w:r>
          </w:p>
        </w:tc>
        <w:tc>
          <w:tcPr>
            <w:tcW w:type="dxa" w:w="2351"/>
            <w:shd w:val="clear" w:color="auto" w:fill="FFFFFF"/>
          </w:tcPr>
          <w:p>
            <w:r>
              <w:rPr>
                <w:sz w:val="18"/>
              </w:rPr>
              <w:t>New &amp; used vehicle sales</w:t>
            </w:r>
          </w:p>
        </w:tc>
      </w:tr>
      <w:tr>
        <w:tc>
          <w:tcPr>
            <w:tcW w:type="dxa" w:w="2351"/>
            <w:shd w:val="clear" w:color="auto" w:fill="EEF3F9"/>
          </w:tcPr>
          <w:p>
            <w:r>
              <w:rPr>
                <w:sz w:val="18"/>
              </w:rPr>
              <w:t>V</w:t>
            </w:r>
          </w:p>
        </w:tc>
        <w:tc>
          <w:tcPr>
            <w:tcW w:type="dxa" w:w="2351"/>
            <w:shd w:val="clear" w:color="auto" w:fill="EEF3F9"/>
          </w:tcPr>
          <w:p>
            <w:r>
              <w:rPr>
                <w:sz w:val="18"/>
              </w:rPr>
              <w:t>After-market</w:t>
            </w:r>
          </w:p>
        </w:tc>
        <w:tc>
          <w:tcPr>
            <w:tcW w:type="dxa" w:w="2351"/>
            <w:shd w:val="clear" w:color="auto" w:fill="EEF3F9"/>
          </w:tcPr>
          <w:p>
            <w:r>
              <w:rPr>
                <w:sz w:val="18"/>
              </w:rPr>
              <w:t>Spare parts</w:t>
            </w:r>
          </w:p>
        </w:tc>
        <w:tc>
          <w:tcPr>
            <w:tcW w:type="dxa" w:w="2351"/>
            <w:shd w:val="clear" w:color="auto" w:fill="EEF3F9"/>
          </w:tcPr>
          <w:p>
            <w:r>
              <w:rPr>
                <w:sz w:val="18"/>
              </w:rPr>
              <w:t>Parts, service, repair</w:t>
            </w:r>
          </w:p>
        </w:tc>
      </w:tr>
    </w:tbl>
    <w:p/>
    <w:p>
      <w:r>
        <w:rPr>
          <w:b/>
        </w:rPr>
        <w:t>Cross-chain linkage.</w:t>
      </w:r>
      <w:r>
        <w:t xml:space="preserve"> This chapter is where Report 1's three chains connect: </w:t>
      </w:r>
      <w:r>
        <w:rPr>
          <w:b/>
        </w:rPr>
        <w:t>steel</w:t>
      </w:r>
      <w:r>
        <w:t xml:space="preserve"> (Chapter 4) and </w:t>
      </w:r>
      <w:r>
        <w:rPr>
          <w:b/>
        </w:rPr>
        <w:t>copper/wiring</w:t>
      </w:r>
      <w:r>
        <w:t xml:space="preserve"> (Chapter 5) are direct inputs to vehicle manufacture. A domestic automotive anchor pulls demand through the metals chains — the integrated industrial logic behind grouping these three.</w:t>
      </w:r>
    </w:p>
    <w:p>
      <w:r>
        <w:rPr>
          <w:b/>
        </w:rPr>
        <w:t>Where value is captured and lost.</w:t>
      </w:r>
      <w:r>
        <w:t xml:space="preserve"> The market is met mainly by </w:t>
      </w:r>
      <w:r>
        <w:rPr>
          <w:b/>
        </w:rPr>
        <w:t>imported used vehicles</w:t>
      </w:r>
      <w:r>
        <w:t xml:space="preserve">: Uganda imported </w:t>
      </w:r>
      <w:r>
        <w:rPr>
          <w:b/>
        </w:rPr>
        <w:t>USD 298.4 million of motor cars (HS 8703), USD 169.9 million of goods vehicles (HS 8704), and USD 157.1 million of motorcycles (HS 8711) in 2024</w:t>
      </w:r>
      <w:r>
        <w:t xml:space="preserve">, plus </w:t>
      </w:r>
      <w:r>
        <w:rPr>
          <w:b/>
        </w:rPr>
        <w:t>USD 31.7 million of parts and accessories (HS 8708)</w:t>
      </w:r>
      <w:r>
        <w:t xml:space="preserve"> (ITC TradeMap, 2024). Total vehicle and parts imports thus exceed </w:t>
      </w:r>
      <w:r>
        <w:rPr>
          <w:b/>
        </w:rPr>
        <w:t>USD 650 million a year</w:t>
      </w:r>
      <w:r>
        <w:t xml:space="preserve">. By volume, Uganda imports roughly </w:t>
      </w:r>
      <w:r>
        <w:rPr>
          <w:b/>
        </w:rPr>
        <w:t>48,700 used vehicles annually</w:t>
      </w:r>
      <w:r>
        <w:t xml:space="preserve"> (Mobility Foresights). Almost all value is captured offshore.</w:t>
      </w:r>
    </w:p>
    <w:p>
      <w:pPr>
        <w:pStyle w:val="Heading2"/>
      </w:pPr>
      <w:r>
        <w:t>6.B Current State Assessment</w:t>
      </w:r>
    </w:p>
    <w:p>
      <w:r>
        <w:rPr>
          <w:b/>
        </w:rPr>
        <w:t>Kiira Motors Corporation (KMC) — the anchor.</w:t>
      </w:r>
      <w:r>
        <w:t xml:space="preserve"> Uganda's flagship automotive investment reached a milestone on </w:t>
      </w:r>
      <w:r>
        <w:rPr>
          <w:b/>
        </w:rPr>
        <w:t>27 September 2025, when the Kiira Vehicle Plant at Jinja was commissioned</w:t>
      </w:r>
      <w:r>
        <w:t xml:space="preserve"> — described at launch as one of Africa's most advanced vehicle plants. Key facts (Uganda Broadcasting Corporation, 2025; Kiira Motors Corporation):</w:t>
      </w:r>
    </w:p>
    <w:p>
      <w:pPr>
        <w:pStyle w:val="ListBullet"/>
      </w:pPr>
      <w:r>
        <w:rPr>
          <w:b/>
        </w:rPr>
        <w:t>Installed capacity ~2,500 vehicles/year</w:t>
      </w:r>
      <w:r>
        <w:t xml:space="preserve">, targeting </w:t>
      </w:r>
      <w:r>
        <w:rPr>
          <w:b/>
        </w:rPr>
        <w:t>10,000 in the medium term</w:t>
      </w:r>
      <w:r>
        <w:t>.</w:t>
      </w:r>
    </w:p>
    <w:p>
      <w:pPr>
        <w:pStyle w:val="ListBullet"/>
      </w:pPr>
      <w:r>
        <w:t xml:space="preserve">At commissioning, KMC had built </w:t>
      </w:r>
      <w:r>
        <w:rPr>
          <w:b/>
        </w:rPr>
        <w:t>37 electric vehicles and 27 diesel buses</w:t>
      </w:r>
      <w:r>
        <w:t>.</w:t>
      </w:r>
    </w:p>
    <w:p>
      <w:pPr>
        <w:pStyle w:val="ListBullet"/>
      </w:pPr>
      <w:r>
        <w:t xml:space="preserve">Flagship products include the </w:t>
      </w:r>
      <w:r>
        <w:rPr>
          <w:b/>
        </w:rPr>
        <w:t>Kayoola electric buses</w:t>
      </w:r>
      <w:r>
        <w:t>; KMC is positioning for public-transport and institutional fleets.</w:t>
      </w:r>
    </w:p>
    <w:p>
      <w:pPr>
        <w:pStyle w:val="ListBullet"/>
      </w:pPr>
      <w:r>
        <w:t>KMC reported a financing gap (~UGX 50bn) for FY2025/26 scale-up — capital is the binding constraint on ramp-up.</w:t>
      </w:r>
    </w:p>
    <w:p>
      <w:r>
        <w:rPr>
          <w:b/>
        </w:rPr>
        <w:t>Motorcycle and bus-body assembly.</w:t>
      </w:r>
      <w:r>
        <w:t xml:space="preserve"> Beyond KMC, Uganda has an established base in:</w:t>
      </w:r>
    </w:p>
    <w:p>
      <w:pPr>
        <w:pStyle w:val="ListBullet"/>
      </w:pPr>
      <w:r>
        <w:rPr>
          <w:b/>
        </w:rPr>
        <w:t>Motorcycle assembly</w:t>
      </w:r>
      <w:r>
        <w:t xml:space="preserve"> — firms assemble Indian-brand motorcycles (Bajaj, TVS) from kits for the dominant boda-boda market.</w:t>
      </w:r>
    </w:p>
    <w:p>
      <w:pPr>
        <w:pStyle w:val="ListBullet"/>
      </w:pPr>
      <w:r>
        <w:rPr>
          <w:b/>
        </w:rPr>
        <w:t>Bus and truck body fabrication</w:t>
      </w:r>
      <w:r>
        <w:t xml:space="preserve"> — local fabricators build bodies on imported chassis for buses, trucks, and trailers.</w:t>
      </w:r>
    </w:p>
    <w:p>
      <w:pPr>
        <w:pStyle w:val="ListBullet"/>
      </w:pPr>
      <w:r>
        <w:rPr>
          <w:b/>
        </w:rPr>
        <w:t>Spare parts trade</w:t>
      </w:r>
      <w:r>
        <w:t xml:space="preserve"> — a large after-market parts sector (e.g. the Ndeeba and Kisekka cluster), currently import-based.</w:t>
      </w:r>
    </w:p>
    <w:p>
      <w:r>
        <w:rPr>
          <w:b/>
        </w:rPr>
        <w:t>Trade position (ITC TradeMap, 2024).</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Segment (HS)</w:t>
            </w:r>
          </w:p>
        </w:tc>
        <w:tc>
          <w:tcPr>
            <w:tcW w:type="dxa" w:w="2351"/>
            <w:shd w:val="clear" w:color="auto" w:fill="002B5B"/>
          </w:tcPr>
          <w:p>
            <w:r>
              <w:rPr>
                <w:b/>
                <w:color w:val="FFFFFF"/>
                <w:sz w:val="18"/>
              </w:rPr>
              <w:t>Imports 2024</w:t>
            </w:r>
          </w:p>
        </w:tc>
        <w:tc>
          <w:tcPr>
            <w:tcW w:type="dxa" w:w="2351"/>
            <w:shd w:val="clear" w:color="auto" w:fill="002B5B"/>
          </w:tcPr>
          <w:p>
            <w:r>
              <w:rPr>
                <w:b/>
                <w:color w:val="FFFFFF"/>
                <w:sz w:val="18"/>
              </w:rPr>
              <w:t>Trend</w:t>
            </w:r>
          </w:p>
        </w:tc>
        <w:tc>
          <w:tcPr>
            <w:tcW w:type="dxa" w:w="2351"/>
            <w:shd w:val="clear" w:color="auto" w:fill="002B5B"/>
          </w:tcPr>
          <w:p>
            <w:r>
              <w:rPr>
                <w:b/>
                <w:color w:val="FFFFFF"/>
                <w:sz w:val="18"/>
              </w:rPr>
              <w:t>Reading</w:t>
            </w:r>
          </w:p>
        </w:tc>
      </w:tr>
      <w:tr>
        <w:tc>
          <w:tcPr>
            <w:tcW w:type="dxa" w:w="2351"/>
            <w:shd w:val="clear" w:color="auto" w:fill="EEF3F9"/>
          </w:tcPr>
          <w:p>
            <w:r>
              <w:rPr>
                <w:sz w:val="18"/>
              </w:rPr>
              <w:t>Motor cars (8703)</w:t>
            </w:r>
          </w:p>
        </w:tc>
        <w:tc>
          <w:tcPr>
            <w:tcW w:type="dxa" w:w="2351"/>
            <w:shd w:val="clear" w:color="auto" w:fill="EEF3F9"/>
          </w:tcPr>
          <w:p>
            <w:r>
              <w:rPr>
                <w:sz w:val="18"/>
              </w:rPr>
              <w:t>USD 298.4m</w:t>
            </w:r>
          </w:p>
        </w:tc>
        <w:tc>
          <w:tcPr>
            <w:tcW w:type="dxa" w:w="2351"/>
            <w:shd w:val="clear" w:color="auto" w:fill="EEF3F9"/>
          </w:tcPr>
          <w:p>
            <w:r>
              <w:rPr>
                <w:sz w:val="18"/>
              </w:rPr>
              <w:t>Rising (USD 281m in 2023)</w:t>
            </w:r>
          </w:p>
        </w:tc>
        <w:tc>
          <w:tcPr>
            <w:tcW w:type="dxa" w:w="2351"/>
            <w:shd w:val="clear" w:color="auto" w:fill="EEF3F9"/>
          </w:tcPr>
          <w:p>
            <w:r>
              <w:rPr>
                <w:sz w:val="18"/>
              </w:rPr>
              <w:t>Dominated by used imports</w:t>
            </w:r>
          </w:p>
        </w:tc>
      </w:tr>
      <w:tr>
        <w:tc>
          <w:tcPr>
            <w:tcW w:type="dxa" w:w="2351"/>
            <w:shd w:val="clear" w:color="auto" w:fill="FFFFFF"/>
          </w:tcPr>
          <w:p>
            <w:r>
              <w:rPr>
                <w:sz w:val="18"/>
              </w:rPr>
              <w:t>Goods vehicles (8704)</w:t>
            </w:r>
          </w:p>
        </w:tc>
        <w:tc>
          <w:tcPr>
            <w:tcW w:type="dxa" w:w="2351"/>
            <w:shd w:val="clear" w:color="auto" w:fill="FFFFFF"/>
          </w:tcPr>
          <w:p>
            <w:r>
              <w:rPr>
                <w:sz w:val="18"/>
              </w:rPr>
              <w:t>USD 169.9m</w:t>
            </w:r>
          </w:p>
        </w:tc>
        <w:tc>
          <w:tcPr>
            <w:tcW w:type="dxa" w:w="2351"/>
            <w:shd w:val="clear" w:color="auto" w:fill="FFFFFF"/>
          </w:tcPr>
          <w:p>
            <w:r>
              <w:rPr>
                <w:sz w:val="18"/>
              </w:rPr>
              <w:t>High</w:t>
            </w:r>
          </w:p>
        </w:tc>
        <w:tc>
          <w:tcPr>
            <w:tcW w:type="dxa" w:w="2351"/>
            <w:shd w:val="clear" w:color="auto" w:fill="FFFFFF"/>
          </w:tcPr>
          <w:p>
            <w:r>
              <w:rPr>
                <w:sz w:val="18"/>
              </w:rPr>
              <w:t>Trucks/pickups, largely used</w:t>
            </w:r>
          </w:p>
        </w:tc>
      </w:tr>
      <w:tr>
        <w:tc>
          <w:tcPr>
            <w:tcW w:type="dxa" w:w="2351"/>
            <w:shd w:val="clear" w:color="auto" w:fill="EEF3F9"/>
          </w:tcPr>
          <w:p>
            <w:r>
              <w:rPr>
                <w:sz w:val="18"/>
              </w:rPr>
              <w:t>Motorcycles (8711)</w:t>
            </w:r>
          </w:p>
        </w:tc>
        <w:tc>
          <w:tcPr>
            <w:tcW w:type="dxa" w:w="2351"/>
            <w:shd w:val="clear" w:color="auto" w:fill="EEF3F9"/>
          </w:tcPr>
          <w:p>
            <w:r>
              <w:rPr>
                <w:sz w:val="18"/>
              </w:rPr>
              <w:t>USD 157.1m</w:t>
            </w:r>
          </w:p>
        </w:tc>
        <w:tc>
          <w:tcPr>
            <w:tcW w:type="dxa" w:w="2351"/>
            <w:shd w:val="clear" w:color="auto" w:fill="EEF3F9"/>
          </w:tcPr>
          <w:p>
            <w:r>
              <w:rPr>
                <w:sz w:val="18"/>
              </w:rPr>
              <w:t>Rising</w:t>
            </w:r>
          </w:p>
        </w:tc>
        <w:tc>
          <w:tcPr>
            <w:tcW w:type="dxa" w:w="2351"/>
            <w:shd w:val="clear" w:color="auto" w:fill="EEF3F9"/>
          </w:tcPr>
          <w:p>
            <w:r>
              <w:rPr>
                <w:sz w:val="18"/>
              </w:rPr>
              <w:t>Boda-boda market; CKD assembly opportunity</w:t>
            </w:r>
          </w:p>
        </w:tc>
      </w:tr>
      <w:tr>
        <w:tc>
          <w:tcPr>
            <w:tcW w:type="dxa" w:w="2351"/>
            <w:shd w:val="clear" w:color="auto" w:fill="FFFFFF"/>
          </w:tcPr>
          <w:p>
            <w:r>
              <w:rPr>
                <w:sz w:val="18"/>
              </w:rPr>
              <w:t>Parts &amp; accessories (8708)</w:t>
            </w:r>
          </w:p>
        </w:tc>
        <w:tc>
          <w:tcPr>
            <w:tcW w:type="dxa" w:w="2351"/>
            <w:shd w:val="clear" w:color="auto" w:fill="FFFFFF"/>
          </w:tcPr>
          <w:p>
            <w:r>
              <w:rPr>
                <w:sz w:val="18"/>
              </w:rPr>
              <w:t>USD 31.7m</w:t>
            </w:r>
          </w:p>
        </w:tc>
        <w:tc>
          <w:tcPr>
            <w:tcW w:type="dxa" w:w="2351"/>
            <w:shd w:val="clear" w:color="auto" w:fill="FFFFFF"/>
          </w:tcPr>
          <w:p>
            <w:r>
              <w:rPr>
                <w:sz w:val="18"/>
              </w:rPr>
              <w:t>Rising</w:t>
            </w:r>
          </w:p>
        </w:tc>
        <w:tc>
          <w:tcPr>
            <w:tcW w:type="dxa" w:w="2351"/>
            <w:shd w:val="clear" w:color="auto" w:fill="FFFFFF"/>
          </w:tcPr>
          <w:p>
            <w:r>
              <w:rPr>
                <w:sz w:val="18"/>
              </w:rPr>
              <w:t>After-market; localisation opportunity</w:t>
            </w:r>
          </w:p>
        </w:tc>
      </w:tr>
    </w:tbl>
    <w:p/>
    <w:p>
      <w:r>
        <w:t xml:space="preserve">Exports are negligible — Uganda is overwhelmingly a </w:t>
      </w:r>
      <w:r>
        <w:rPr>
          <w:b/>
        </w:rPr>
        <w:t>vehicle-importing market</w:t>
      </w:r>
      <w:r>
        <w:t>, which is precisely the substitution and assembly opportunity KMC and motorcycle assemblers target.</w:t>
      </w:r>
    </w:p>
    <w:p>
      <w:pPr>
        <w:pStyle w:val="Heading2"/>
      </w:pPr>
      <w:r>
        <w:t>6.C Binding Constraints Analysis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Assessment for Automotive</w:t>
            </w:r>
          </w:p>
        </w:tc>
      </w:tr>
      <w:tr>
        <w:tc>
          <w:tcPr>
            <w:tcW w:type="dxa" w:w="4703"/>
            <w:shd w:val="clear" w:color="auto" w:fill="EEF3F9"/>
          </w:tcPr>
          <w:p>
            <w:r>
              <w:rPr>
                <w:b/>
                <w:sz w:val="18"/>
              </w:rPr>
              <w:t>Inputs / raw materials</w:t>
            </w:r>
          </w:p>
        </w:tc>
        <w:tc>
          <w:tcPr>
            <w:tcW w:type="dxa" w:w="4703"/>
            <w:shd w:val="clear" w:color="auto" w:fill="EEF3F9"/>
          </w:tcPr>
          <w:p>
            <w:r>
              <w:rPr>
                <w:sz w:val="18"/>
              </w:rPr>
              <w:t>Depends on domestic steel/copper (Chapters 4–5, still maturing) and imported components/CKD kits. Local content is currently low.</w:t>
            </w:r>
          </w:p>
        </w:tc>
      </w:tr>
      <w:tr>
        <w:tc>
          <w:tcPr>
            <w:tcW w:type="dxa" w:w="4703"/>
            <w:shd w:val="clear" w:color="auto" w:fill="FFFFFF"/>
          </w:tcPr>
          <w:p>
            <w:r>
              <w:rPr>
                <w:b/>
                <w:sz w:val="18"/>
              </w:rPr>
              <w:t>Technology &amp; productivity</w:t>
            </w:r>
          </w:p>
        </w:tc>
        <w:tc>
          <w:tcPr>
            <w:tcW w:type="dxa" w:w="4703"/>
            <w:shd w:val="clear" w:color="auto" w:fill="FFFFFF"/>
          </w:tcPr>
          <w:p>
            <w:r>
              <w:rPr>
                <w:sz w:val="18"/>
              </w:rPr>
              <w:t>KMC brings modern assembly technology; component manufacture and tooling remain shallow. Electric Vehicle (EV) capability (Kayoola) is a genuine differentiator.</w:t>
            </w:r>
          </w:p>
        </w:tc>
      </w:tr>
      <w:tr>
        <w:tc>
          <w:tcPr>
            <w:tcW w:type="dxa" w:w="4703"/>
            <w:shd w:val="clear" w:color="auto" w:fill="EEF3F9"/>
          </w:tcPr>
          <w:p>
            <w:r>
              <w:rPr>
                <w:b/>
                <w:sz w:val="18"/>
              </w:rPr>
              <w:t>Energy</w:t>
            </w:r>
          </w:p>
        </w:tc>
        <w:tc>
          <w:tcPr>
            <w:tcW w:type="dxa" w:w="4703"/>
            <w:shd w:val="clear" w:color="auto" w:fill="EEF3F9"/>
          </w:tcPr>
          <w:p>
            <w:r>
              <w:rPr>
                <w:sz w:val="18"/>
              </w:rPr>
              <w:t>Assembly is less energy-intensive than metals; reliable power needed for plant operations; EV strategy aligns with Uganda's hydro-based grid.</w:t>
            </w:r>
          </w:p>
        </w:tc>
      </w:tr>
      <w:tr>
        <w:tc>
          <w:tcPr>
            <w:tcW w:type="dxa" w:w="4703"/>
            <w:shd w:val="clear" w:color="auto" w:fill="FFFFFF"/>
          </w:tcPr>
          <w:p>
            <w:r>
              <w:rPr>
                <w:b/>
                <w:sz w:val="18"/>
              </w:rPr>
              <w:t>Water</w:t>
            </w:r>
          </w:p>
        </w:tc>
        <w:tc>
          <w:tcPr>
            <w:tcW w:type="dxa" w:w="4703"/>
            <w:shd w:val="clear" w:color="auto" w:fill="FFFFFF"/>
          </w:tcPr>
          <w:p>
            <w:r>
              <w:rPr>
                <w:sz w:val="18"/>
              </w:rPr>
              <w:t>Not a binding constraint.</w:t>
            </w:r>
          </w:p>
        </w:tc>
      </w:tr>
      <w:tr>
        <w:tc>
          <w:tcPr>
            <w:tcW w:type="dxa" w:w="4703"/>
            <w:shd w:val="clear" w:color="auto" w:fill="EEF3F9"/>
          </w:tcPr>
          <w:p>
            <w:r>
              <w:rPr>
                <w:b/>
                <w:sz w:val="18"/>
              </w:rPr>
              <w:t>Logistics</w:t>
            </w:r>
          </w:p>
        </w:tc>
        <w:tc>
          <w:tcPr>
            <w:tcW w:type="dxa" w:w="4703"/>
            <w:shd w:val="clear" w:color="auto" w:fill="EEF3F9"/>
          </w:tcPr>
          <w:p>
            <w:r>
              <w:rPr>
                <w:sz w:val="18"/>
              </w:rPr>
              <w:t>Landlocked import costs raise CKD-kit and component costs; export of finished vehicles faces the same penalty (~18–20% of sale price).</w:t>
            </w:r>
          </w:p>
        </w:tc>
      </w:tr>
      <w:tr>
        <w:tc>
          <w:tcPr>
            <w:tcW w:type="dxa" w:w="4703"/>
            <w:shd w:val="clear" w:color="auto" w:fill="FFFFFF"/>
          </w:tcPr>
          <w:p>
            <w:r>
              <w:rPr>
                <w:b/>
                <w:sz w:val="18"/>
              </w:rPr>
              <w:t>Waste &amp; effluent</w:t>
            </w:r>
          </w:p>
        </w:tc>
        <w:tc>
          <w:tcPr>
            <w:tcW w:type="dxa" w:w="4703"/>
            <w:shd w:val="clear" w:color="auto" w:fill="FFFFFF"/>
          </w:tcPr>
          <w:p>
            <w:r>
              <w:rPr>
                <w:sz w:val="18"/>
              </w:rPr>
              <w:t>Paint, solvents, batteries — managed under NEMA; end-of-life vehicle and battery recycling is an emerging issue.</w:t>
            </w:r>
          </w:p>
        </w:tc>
      </w:tr>
      <w:tr>
        <w:tc>
          <w:tcPr>
            <w:tcW w:type="dxa" w:w="4703"/>
            <w:shd w:val="clear" w:color="auto" w:fill="EEF3F9"/>
          </w:tcPr>
          <w:p>
            <w:r>
              <w:rPr>
                <w:b/>
                <w:sz w:val="18"/>
              </w:rPr>
              <w:t>Finance &amp; investment</w:t>
            </w:r>
          </w:p>
        </w:tc>
        <w:tc>
          <w:tcPr>
            <w:tcW w:type="dxa" w:w="4703"/>
            <w:shd w:val="clear" w:color="auto" w:fill="EEF3F9"/>
          </w:tcPr>
          <w:p>
            <w:r>
              <w:rPr>
                <w:sz w:val="18"/>
              </w:rPr>
              <w:t>The binding constraint for scale-up: KMC's ~Uganda Shilling (UGX) 50bn FY25/26 gap; long-term capital for tooling and working capital is scarce.</w:t>
            </w:r>
          </w:p>
        </w:tc>
      </w:tr>
      <w:tr>
        <w:tc>
          <w:tcPr>
            <w:tcW w:type="dxa" w:w="4703"/>
            <w:shd w:val="clear" w:color="auto" w:fill="FFFFFF"/>
          </w:tcPr>
          <w:p>
            <w:r>
              <w:rPr>
                <w:b/>
                <w:sz w:val="18"/>
              </w:rPr>
              <w:t>Skills &amp; workforce</w:t>
            </w:r>
          </w:p>
        </w:tc>
        <w:tc>
          <w:tcPr>
            <w:tcW w:type="dxa" w:w="4703"/>
            <w:shd w:val="clear" w:color="auto" w:fill="FFFFFF"/>
          </w:tcPr>
          <w:p>
            <w:r>
              <w:rPr>
                <w:sz w:val="18"/>
              </w:rPr>
              <w:t>Automotive/mechatronics and EV skills are scarce; KMC and Makerere/Nakawa Vocational Training Institute (VTI) partnerships are building them.</w:t>
            </w:r>
          </w:p>
        </w:tc>
      </w:tr>
      <w:tr>
        <w:tc>
          <w:tcPr>
            <w:tcW w:type="dxa" w:w="4703"/>
            <w:shd w:val="clear" w:color="auto" w:fill="EEF3F9"/>
          </w:tcPr>
          <w:p>
            <w:r>
              <w:rPr>
                <w:b/>
                <w:sz w:val="18"/>
              </w:rPr>
              <w:t>Standards &amp; quality</w:t>
            </w:r>
          </w:p>
        </w:tc>
        <w:tc>
          <w:tcPr>
            <w:tcW w:type="dxa" w:w="4703"/>
            <w:shd w:val="clear" w:color="auto" w:fill="EEF3F9"/>
          </w:tcPr>
          <w:p>
            <w:r>
              <w:rPr>
                <w:sz w:val="18"/>
              </w:rPr>
              <w:t>Vehicle standards, homologation, and used-import age limits shape the market; UNBS and Ministry of Works and Transport (MoWT) regulation matter.</w:t>
            </w:r>
          </w:p>
        </w:tc>
      </w:tr>
      <w:tr>
        <w:tc>
          <w:tcPr>
            <w:tcW w:type="dxa" w:w="4703"/>
            <w:shd w:val="clear" w:color="auto" w:fill="FFFFFF"/>
          </w:tcPr>
          <w:p>
            <w:r>
              <w:rPr>
                <w:b/>
                <w:sz w:val="18"/>
              </w:rPr>
              <w:t>Policy &amp; regulatory</w:t>
            </w:r>
          </w:p>
        </w:tc>
        <w:tc>
          <w:tcPr>
            <w:tcW w:type="dxa" w:w="4703"/>
            <w:shd w:val="clear" w:color="auto" w:fill="FFFFFF"/>
          </w:tcPr>
          <w:p>
            <w:r>
              <w:rPr>
                <w:sz w:val="18"/>
              </w:rPr>
              <w:t>Decisive lever: used-vehicle age limits and taxation, public-fleet procurement, and local-content/assembly incentives can pivot demand toward domestic assembly. The 2025 plant gives policy something real to support.</w:t>
            </w:r>
          </w:p>
        </w:tc>
      </w:tr>
    </w:tbl>
    <w:p/>
    <w:p>
      <w:pPr>
        <w:pStyle w:val="Heading2"/>
      </w:pPr>
      <w:r>
        <w:t>6.D Market Assessment</w:t>
      </w:r>
    </w:p>
    <w:p>
      <w:r>
        <w:rPr>
          <w:b/>
        </w:rPr>
        <w:t>Domestic.</w:t>
      </w:r>
      <w:r>
        <w:t xml:space="preserve"> Large and growing — over USD 650m/year in vehicle and parts imports, plus ~48,700 used vehicles imported annually. Public-transport electrification (buses) and institutional fleets are an addressable anchor market KMC can serve directly, supported by government procurement.</w:t>
      </w:r>
    </w:p>
    <w:p>
      <w:r>
        <w:rPr>
          <w:b/>
        </w:rPr>
        <w:t>Regional (EAC/COMESA).</w:t>
      </w:r>
      <w:r>
        <w:t xml:space="preserve"> KMC has signalled regional ambition, including reported interest in </w:t>
      </w:r>
      <w:r>
        <w:rPr>
          <w:b/>
        </w:rPr>
        <w:t>electric-bus exports to West Africa</w:t>
      </w:r>
      <w:r>
        <w:t>; the EAC market for buses and commercial vehicles is real, and a "made-in-Uganda" EV bus is a differentiated regional product. Motorcycle assembly can also serve regional demand.</w:t>
      </w:r>
    </w:p>
    <w:p>
      <w:r>
        <w:rPr>
          <w:b/>
        </w:rPr>
        <w:t>Global.</w:t>
      </w:r>
      <w:r>
        <w:t xml:space="preserve"> Not accessible for finished vehicles in the medium term. The realistic horizon is </w:t>
      </w:r>
      <w:r>
        <w:rPr>
          <w:b/>
        </w:rPr>
        <w:t>domestic substitution (assembly, buses, motorcycles, parts)</w:t>
      </w:r>
      <w:r>
        <w:t xml:space="preserve"> plus </w:t>
      </w:r>
      <w:r>
        <w:rPr>
          <w:b/>
        </w:rPr>
        <w:t>regional bus/EV export</w:t>
      </w:r>
      <w:r>
        <w:t>.</w:t>
      </w:r>
    </w:p>
    <w:p>
      <w:r>
        <w:rPr>
          <w:b/>
        </w:rPr>
        <w:t>Accessible market conclusion.</w:t>
      </w:r>
      <w:r>
        <w:t xml:space="preserve"> Prioritize (1) </w:t>
      </w:r>
      <w:r>
        <w:rPr>
          <w:b/>
        </w:rPr>
        <w:t>public-transport and institutional EV/bus assembly</w:t>
      </w:r>
      <w:r>
        <w:t xml:space="preserve"> (KMC anchor), (2) </w:t>
      </w:r>
      <w:r>
        <w:rPr>
          <w:b/>
        </w:rPr>
        <w:t>motorcycle CKD assembly</w:t>
      </w:r>
      <w:r>
        <w:t xml:space="preserve"> for the mass boda market, and (3) </w:t>
      </w:r>
      <w:r>
        <w:rPr>
          <w:b/>
        </w:rPr>
        <w:t>selective spare-parts localisation</w:t>
      </w:r>
      <w:r>
        <w:t>.</w:t>
      </w:r>
    </w:p>
    <w:p>
      <w:pPr>
        <w:pStyle w:val="Heading2"/>
      </w:pPr>
      <w:r>
        <w:t>6.E Prioritized Products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002B5B"/>
          </w:tcPr>
          <w:p>
            <w:r>
              <w:rPr>
                <w:b/>
                <w:color w:val="FFFFFF"/>
                <w:sz w:val="18"/>
              </w:rPr>
              <w:t>Product / sub-sector</w:t>
            </w:r>
          </w:p>
        </w:tc>
        <w:tc>
          <w:tcPr>
            <w:tcW w:type="dxa" w:w="1344"/>
            <w:shd w:val="clear" w:color="auto" w:fill="002B5B"/>
          </w:tcPr>
          <w:p>
            <w:r>
              <w:rPr>
                <w:b/>
                <w:color w:val="FFFFFF"/>
                <w:sz w:val="18"/>
              </w:rPr>
              <w:t>Market</w:t>
            </w:r>
          </w:p>
        </w:tc>
        <w:tc>
          <w:tcPr>
            <w:tcW w:type="dxa" w:w="1344"/>
            <w:shd w:val="clear" w:color="auto" w:fill="002B5B"/>
          </w:tcPr>
          <w:p>
            <w:r>
              <w:rPr>
                <w:b/>
                <w:color w:val="FFFFFF"/>
                <w:sz w:val="18"/>
              </w:rPr>
              <w:t>Comp. adv.</w:t>
            </w:r>
          </w:p>
        </w:tc>
        <w:tc>
          <w:tcPr>
            <w:tcW w:type="dxa" w:w="1344"/>
            <w:shd w:val="clear" w:color="auto" w:fill="002B5B"/>
          </w:tcPr>
          <w:p>
            <w:r>
              <w:rPr>
                <w:b/>
                <w:color w:val="FFFFFF"/>
                <w:sz w:val="18"/>
              </w:rPr>
              <w:t>Feasibility</w:t>
            </w:r>
          </w:p>
        </w:tc>
        <w:tc>
          <w:tcPr>
            <w:tcW w:type="dxa" w:w="1344"/>
            <w:shd w:val="clear" w:color="auto" w:fill="002B5B"/>
          </w:tcPr>
          <w:p>
            <w:r>
              <w:rPr>
                <w:b/>
                <w:color w:val="FFFFFF"/>
                <w:sz w:val="18"/>
              </w:rPr>
              <w:t>Jobs</w:t>
            </w:r>
          </w:p>
        </w:tc>
        <w:tc>
          <w:tcPr>
            <w:tcW w:type="dxa" w:w="1344"/>
            <w:shd w:val="clear" w:color="auto" w:fill="002B5B"/>
          </w:tcPr>
          <w:p>
            <w:r>
              <w:rPr>
                <w:b/>
                <w:color w:val="FFFFFF"/>
                <w:sz w:val="18"/>
              </w:rPr>
              <w:t>Import subst.</w:t>
            </w:r>
          </w:p>
        </w:tc>
        <w:tc>
          <w:tcPr>
            <w:tcW w:type="dxa" w:w="1344"/>
            <w:shd w:val="clear" w:color="auto" w:fill="002B5B"/>
          </w:tcPr>
          <w:p>
            <w:r>
              <w:rPr>
                <w:b/>
                <w:color w:val="FFFFFF"/>
                <w:sz w:val="18"/>
              </w:rPr>
              <w:t>Priority</w:t>
            </w:r>
          </w:p>
        </w:tc>
      </w:tr>
      <w:tr>
        <w:tc>
          <w:tcPr>
            <w:tcW w:type="dxa" w:w="1344"/>
            <w:shd w:val="clear" w:color="auto" w:fill="EEF3F9"/>
          </w:tcPr>
          <w:p>
            <w:r>
              <w:rPr>
                <w:b/>
                <w:sz w:val="18"/>
              </w:rPr>
              <w:t>Buses / EV buses (KMC anchor)</w:t>
            </w:r>
          </w:p>
        </w:tc>
        <w:tc>
          <w:tcPr>
            <w:tcW w:type="dxa" w:w="1344"/>
            <w:shd w:val="clear" w:color="auto" w:fill="EEF3F9"/>
          </w:tcPr>
          <w:p>
            <w:r>
              <w:rPr>
                <w:sz w:val="18"/>
              </w:rPr>
              <w:t>High (public fleets)</w:t>
            </w:r>
          </w:p>
        </w:tc>
        <w:tc>
          <w:tcPr>
            <w:tcW w:type="dxa" w:w="1344"/>
            <w:shd w:val="clear" w:color="auto" w:fill="EEF3F9"/>
          </w:tcPr>
          <w:p>
            <w:r>
              <w:rPr>
                <w:sz w:val="18"/>
              </w:rPr>
              <w:t>High (KMC, hydro grid)</w:t>
            </w:r>
          </w:p>
        </w:tc>
        <w:tc>
          <w:tcPr>
            <w:tcW w:type="dxa" w:w="1344"/>
            <w:shd w:val="clear" w:color="auto" w:fill="EEF3F9"/>
          </w:tcPr>
          <w:p>
            <w:r>
              <w:rPr>
                <w:sz w:val="18"/>
              </w:rPr>
              <w:t>Medium</w:t>
            </w:r>
          </w:p>
        </w:tc>
        <w:tc>
          <w:tcPr>
            <w:tcW w:type="dxa" w:w="1344"/>
            <w:shd w:val="clear" w:color="auto" w:fill="EEF3F9"/>
          </w:tcPr>
          <w:p>
            <w:r>
              <w:rPr>
                <w:sz w:val="18"/>
              </w:rPr>
              <w:t>High</w:t>
            </w:r>
          </w:p>
        </w:tc>
        <w:tc>
          <w:tcPr>
            <w:tcW w:type="dxa" w:w="1344"/>
            <w:shd w:val="clear" w:color="auto" w:fill="EEF3F9"/>
          </w:tcPr>
          <w:p>
            <w:r>
              <w:rPr>
                <w:sz w:val="18"/>
              </w:rPr>
              <w:t>High</w:t>
            </w:r>
          </w:p>
        </w:tc>
        <w:tc>
          <w:tcPr>
            <w:tcW w:type="dxa" w:w="1344"/>
            <w:shd w:val="clear" w:color="auto" w:fill="EEF3F9"/>
          </w:tcPr>
          <w:p>
            <w:r>
              <w:rPr>
                <w:b/>
                <w:sz w:val="18"/>
              </w:rPr>
              <w:t>Priority</w:t>
            </w:r>
          </w:p>
        </w:tc>
      </w:tr>
      <w:tr>
        <w:tc>
          <w:tcPr>
            <w:tcW w:type="dxa" w:w="1344"/>
            <w:shd w:val="clear" w:color="auto" w:fill="FFFFFF"/>
          </w:tcPr>
          <w:p>
            <w:r>
              <w:rPr>
                <w:b/>
                <w:sz w:val="18"/>
              </w:rPr>
              <w:t>Motorcycle assembly (CKD)</w:t>
            </w:r>
          </w:p>
        </w:tc>
        <w:tc>
          <w:tcPr>
            <w:tcW w:type="dxa" w:w="1344"/>
            <w:shd w:val="clear" w:color="auto" w:fill="FFFFFF"/>
          </w:tcPr>
          <w:p>
            <w:r>
              <w:rPr>
                <w:sz w:val="18"/>
              </w:rPr>
              <w:t>Very high (USD 157m)</w:t>
            </w:r>
          </w:p>
        </w:tc>
        <w:tc>
          <w:tcPr>
            <w:tcW w:type="dxa" w:w="1344"/>
            <w:shd w:val="clear" w:color="auto" w:fill="FFFFFF"/>
          </w:tcPr>
          <w:p>
            <w:r>
              <w:rPr>
                <w:sz w:val="18"/>
              </w:rPr>
              <w:t>Medium</w:t>
            </w:r>
          </w:p>
        </w:tc>
        <w:tc>
          <w:tcPr>
            <w:tcW w:type="dxa" w:w="1344"/>
            <w:shd w:val="clear" w:color="auto" w:fill="FFFFFF"/>
          </w:tcPr>
          <w:p>
            <w:r>
              <w:rPr>
                <w:sz w:val="18"/>
              </w:rPr>
              <w:t>High</w:t>
            </w:r>
          </w:p>
        </w:tc>
        <w:tc>
          <w:tcPr>
            <w:tcW w:type="dxa" w:w="1344"/>
            <w:shd w:val="clear" w:color="auto" w:fill="FFFFFF"/>
          </w:tcPr>
          <w:p>
            <w:r>
              <w:rPr>
                <w:sz w:val="18"/>
              </w:rPr>
              <w:t>Very high</w:t>
            </w:r>
          </w:p>
        </w:tc>
        <w:tc>
          <w:tcPr>
            <w:tcW w:type="dxa" w:w="1344"/>
            <w:shd w:val="clear" w:color="auto" w:fill="FFFFFF"/>
          </w:tcPr>
          <w:p>
            <w:r>
              <w:rPr>
                <w:sz w:val="18"/>
              </w:rPr>
              <w:t>High</w:t>
            </w:r>
          </w:p>
        </w:tc>
        <w:tc>
          <w:tcPr>
            <w:tcW w:type="dxa" w:w="1344"/>
            <w:shd w:val="clear" w:color="auto" w:fill="FFFFFF"/>
          </w:tcPr>
          <w:p>
            <w:r>
              <w:rPr>
                <w:b/>
                <w:sz w:val="18"/>
              </w:rPr>
              <w:t>Priority</w:t>
            </w:r>
          </w:p>
        </w:tc>
      </w:tr>
      <w:tr>
        <w:tc>
          <w:tcPr>
            <w:tcW w:type="dxa" w:w="1344"/>
            <w:shd w:val="clear" w:color="auto" w:fill="EEF3F9"/>
          </w:tcPr>
          <w:p>
            <w:r>
              <w:rPr>
                <w:b/>
                <w:sz w:val="18"/>
              </w:rPr>
              <w:t>Spare parts &amp; components localisation</w:t>
            </w:r>
          </w:p>
        </w:tc>
        <w:tc>
          <w:tcPr>
            <w:tcW w:type="dxa" w:w="1344"/>
            <w:shd w:val="clear" w:color="auto" w:fill="EEF3F9"/>
          </w:tcPr>
          <w:p>
            <w:r>
              <w:rPr>
                <w:sz w:val="18"/>
              </w:rPr>
              <w:t>High (USD 32m+)</w:t>
            </w:r>
          </w:p>
        </w:tc>
        <w:tc>
          <w:tcPr>
            <w:tcW w:type="dxa" w:w="1344"/>
            <w:shd w:val="clear" w:color="auto" w:fill="EEF3F9"/>
          </w:tcPr>
          <w:p>
            <w:r>
              <w:rPr>
                <w:sz w:val="18"/>
              </w:rPr>
              <w:t>Medium</w:t>
            </w:r>
          </w:p>
        </w:tc>
        <w:tc>
          <w:tcPr>
            <w:tcW w:type="dxa" w:w="1344"/>
            <w:shd w:val="clear" w:color="auto" w:fill="EEF3F9"/>
          </w:tcPr>
          <w:p>
            <w:r>
              <w:rPr>
                <w:sz w:val="18"/>
              </w:rPr>
              <w:t>Medium</w:t>
            </w:r>
          </w:p>
        </w:tc>
        <w:tc>
          <w:tcPr>
            <w:tcW w:type="dxa" w:w="1344"/>
            <w:shd w:val="clear" w:color="auto" w:fill="EEF3F9"/>
          </w:tcPr>
          <w:p>
            <w:r>
              <w:rPr>
                <w:sz w:val="18"/>
              </w:rPr>
              <w:t>High</w:t>
            </w:r>
          </w:p>
        </w:tc>
        <w:tc>
          <w:tcPr>
            <w:tcW w:type="dxa" w:w="1344"/>
            <w:shd w:val="clear" w:color="auto" w:fill="EEF3F9"/>
          </w:tcPr>
          <w:p>
            <w:r>
              <w:rPr>
                <w:sz w:val="18"/>
              </w:rPr>
              <w:t>High</w:t>
            </w:r>
          </w:p>
        </w:tc>
        <w:tc>
          <w:tcPr>
            <w:tcW w:type="dxa" w:w="1344"/>
            <w:shd w:val="clear" w:color="auto" w:fill="EEF3F9"/>
          </w:tcPr>
          <w:p>
            <w:r>
              <w:rPr>
                <w:b/>
                <w:sz w:val="18"/>
              </w:rPr>
              <w:t>Priority</w:t>
            </w:r>
          </w:p>
        </w:tc>
      </w:tr>
      <w:tr>
        <w:tc>
          <w:tcPr>
            <w:tcW w:type="dxa" w:w="1344"/>
            <w:shd w:val="clear" w:color="auto" w:fill="FFFFFF"/>
          </w:tcPr>
          <w:p>
            <w:r>
              <w:rPr>
                <w:sz w:val="18"/>
              </w:rPr>
              <w:t>Passenger-car assembly (CKD)</w:t>
            </w:r>
          </w:p>
        </w:tc>
        <w:tc>
          <w:tcPr>
            <w:tcW w:type="dxa" w:w="1344"/>
            <w:shd w:val="clear" w:color="auto" w:fill="FFFFFF"/>
          </w:tcPr>
          <w:p>
            <w:r>
              <w:rPr>
                <w:sz w:val="18"/>
              </w:rPr>
              <w:t>High (USD 298m)</w:t>
            </w:r>
          </w:p>
        </w:tc>
        <w:tc>
          <w:tcPr>
            <w:tcW w:type="dxa" w:w="1344"/>
            <w:shd w:val="clear" w:color="auto" w:fill="FFFFFF"/>
          </w:tcPr>
          <w:p>
            <w:r>
              <w:rPr>
                <w:sz w:val="18"/>
              </w:rPr>
              <w:t>Low–Med</w:t>
            </w:r>
          </w:p>
        </w:tc>
        <w:tc>
          <w:tcPr>
            <w:tcW w:type="dxa" w:w="1344"/>
            <w:shd w:val="clear" w:color="auto" w:fill="FFFFFF"/>
          </w:tcPr>
          <w:p>
            <w:r>
              <w:rPr>
                <w:sz w:val="18"/>
              </w:rPr>
              <w:t>Medium</w:t>
            </w:r>
          </w:p>
        </w:tc>
        <w:tc>
          <w:tcPr>
            <w:tcW w:type="dxa" w:w="1344"/>
            <w:shd w:val="clear" w:color="auto" w:fill="FFFFFF"/>
          </w:tcPr>
          <w:p>
            <w:r>
              <w:rPr>
                <w:sz w:val="18"/>
              </w:rPr>
              <w:t>Medium</w:t>
            </w:r>
          </w:p>
        </w:tc>
        <w:tc>
          <w:tcPr>
            <w:tcW w:type="dxa" w:w="1344"/>
            <w:shd w:val="clear" w:color="auto" w:fill="FFFFFF"/>
          </w:tcPr>
          <w:p>
            <w:r>
              <w:rPr>
                <w:sz w:val="18"/>
              </w:rPr>
              <w:t>Medium</w:t>
            </w:r>
          </w:p>
        </w:tc>
        <w:tc>
          <w:tcPr>
            <w:tcW w:type="dxa" w:w="1344"/>
            <w:shd w:val="clear" w:color="auto" w:fill="FFFFFF"/>
          </w:tcPr>
          <w:p>
            <w:r>
              <w:rPr>
                <w:sz w:val="18"/>
              </w:rPr>
              <w:t>Conditional</w:t>
            </w:r>
          </w:p>
        </w:tc>
      </w:tr>
      <w:tr>
        <w:tc>
          <w:tcPr>
            <w:tcW w:type="dxa" w:w="1344"/>
            <w:shd w:val="clear" w:color="auto" w:fill="EEF3F9"/>
          </w:tcPr>
          <w:p>
            <w:r>
              <w:rPr>
                <w:sz w:val="18"/>
              </w:rPr>
              <w:t>Full domestic car manufacture</w:t>
            </w:r>
          </w:p>
        </w:tc>
        <w:tc>
          <w:tcPr>
            <w:tcW w:type="dxa" w:w="1344"/>
            <w:shd w:val="clear" w:color="auto" w:fill="EEF3F9"/>
          </w:tcPr>
          <w:p>
            <w:r>
              <w:rPr>
                <w:sz w:val="18"/>
              </w:rPr>
              <w:t>High</w:t>
            </w:r>
          </w:p>
        </w:tc>
        <w:tc>
          <w:tcPr>
            <w:tcW w:type="dxa" w:w="1344"/>
            <w:shd w:val="clear" w:color="auto" w:fill="EEF3F9"/>
          </w:tcPr>
          <w:p>
            <w:r>
              <w:rPr>
                <w:sz w:val="18"/>
              </w:rPr>
              <w:t>Low</w:t>
            </w:r>
          </w:p>
        </w:tc>
        <w:tc>
          <w:tcPr>
            <w:tcW w:type="dxa" w:w="1344"/>
            <w:shd w:val="clear" w:color="auto" w:fill="EEF3F9"/>
          </w:tcPr>
          <w:p>
            <w:r>
              <w:rPr>
                <w:sz w:val="18"/>
              </w:rPr>
              <w:t>Low</w:t>
            </w:r>
          </w:p>
        </w:tc>
        <w:tc>
          <w:tcPr>
            <w:tcW w:type="dxa" w:w="1344"/>
            <w:shd w:val="clear" w:color="auto" w:fill="EEF3F9"/>
          </w:tcPr>
          <w:p>
            <w:r>
              <w:rPr>
                <w:sz w:val="18"/>
              </w:rPr>
              <w:t>Medium</w:t>
            </w:r>
          </w:p>
        </w:tc>
        <w:tc>
          <w:tcPr>
            <w:tcW w:type="dxa" w:w="1344"/>
            <w:shd w:val="clear" w:color="auto" w:fill="EEF3F9"/>
          </w:tcPr>
          <w:p>
            <w:r>
              <w:rPr>
                <w:sz w:val="18"/>
              </w:rPr>
              <w:t>Low</w:t>
            </w:r>
          </w:p>
        </w:tc>
        <w:tc>
          <w:tcPr>
            <w:tcW w:type="dxa" w:w="1344"/>
            <w:shd w:val="clear" w:color="auto" w:fill="EEF3F9"/>
          </w:tcPr>
          <w:p>
            <w:r>
              <w:rPr>
                <w:sz w:val="18"/>
              </w:rPr>
              <w:t>Deprioritize</w:t>
            </w:r>
          </w:p>
        </w:tc>
      </w:tr>
    </w:tbl>
    <w:p/>
    <w:p>
      <w:r>
        <w:rPr>
          <w:b/>
        </w:rPr>
        <w:t>The three priorities for Automotive:</w:t>
      </w:r>
    </w:p>
    <w:p>
      <w:pPr>
        <w:pStyle w:val="ListNumber"/>
      </w:pPr>
      <w:r>
        <w:rPr>
          <w:b/>
        </w:rPr>
        <w:t>Buses and electric buses (KMC anchor)</w:t>
      </w:r>
      <w:r>
        <w:t xml:space="preserve"> — leverage the new plant, the EV differentiator, and government fleet procurement; the clearest state-backed industrial anchor in Report 1.</w:t>
      </w:r>
    </w:p>
    <w:p>
      <w:pPr>
        <w:pStyle w:val="ListNumber"/>
      </w:pPr>
      <w:r>
        <w:rPr>
          <w:b/>
        </w:rPr>
        <w:t>Motorcycle assembly (CKD)</w:t>
      </w:r>
      <w:r>
        <w:t xml:space="preserve"> — the largest-volume mobility market (USD 157m imports); assembly is feasible and job-rich for the boda economy.</w:t>
      </w:r>
    </w:p>
    <w:p>
      <w:pPr>
        <w:pStyle w:val="ListNumber"/>
      </w:pPr>
      <w:r>
        <w:rPr>
          <w:b/>
        </w:rPr>
        <w:t>Spare-parts and component localisation</w:t>
      </w:r>
      <w:r>
        <w:t xml:space="preserve"> — convert part of the USD 32m+ parts import bill and the after-market into domestic manufacture, building forward linkages to steel/copper.</w:t>
      </w:r>
    </w:p>
    <w:p>
      <w:r>
        <w:rPr>
          <w:b/>
        </w:rPr>
        <w:t>Explicit deprioritization.</w:t>
      </w:r>
      <w:r>
        <w:t xml:space="preserve"> Uganda should </w:t>
      </w:r>
      <w:r>
        <w:rPr>
          <w:b/>
        </w:rPr>
        <w:t>not</w:t>
      </w:r>
      <w:r>
        <w:t xml:space="preserve"> pursue full domestic manufacture of passenger cars from the ground up at this stage — global car manufacture is scale- and capital-intensive beyond Uganda's near-term reach. Passenger-car </w:t>
      </w:r>
      <w:r>
        <w:rPr>
          <w:b/>
        </w:rPr>
        <w:t>CKD assembly</w:t>
      </w:r>
      <w:r>
        <w:t xml:space="preserve"> is conditional (it can follow once component and supplier ecosystems mature). Focus belongs on </w:t>
      </w:r>
      <w:r>
        <w:rPr>
          <w:b/>
        </w:rPr>
        <w:t>buses/EVs, motorcycles, and parts</w:t>
      </w:r>
      <w:r>
        <w:t>, which match Uganda's anchor assets and market.</w:t>
      </w:r>
    </w:p>
    <w:p>
      <w:pPr>
        <w:pStyle w:val="Heading2"/>
      </w:pPr>
      <w:r>
        <w:t>6.F Priority Action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Timeframe</w:t>
            </w:r>
          </w:p>
        </w:tc>
        <w:tc>
          <w:tcPr>
            <w:tcW w:type="dxa" w:w="2351"/>
            <w:shd w:val="clear" w:color="auto" w:fill="002B5B"/>
          </w:tcPr>
          <w:p>
            <w:r>
              <w:rPr>
                <w:b/>
                <w:color w:val="FFFFFF"/>
                <w:sz w:val="18"/>
              </w:rPr>
              <w:t>Action</w:t>
            </w:r>
          </w:p>
        </w:tc>
        <w:tc>
          <w:tcPr>
            <w:tcW w:type="dxa" w:w="2351"/>
            <w:shd w:val="clear" w:color="auto" w:fill="002B5B"/>
          </w:tcPr>
          <w:p>
            <w:r>
              <w:rPr>
                <w:b/>
                <w:color w:val="FFFFFF"/>
                <w:sz w:val="18"/>
              </w:rPr>
              <w:t>Lead</w:t>
            </w:r>
          </w:p>
        </w:tc>
        <w:tc>
          <w:tcPr>
            <w:tcW w:type="dxa" w:w="2351"/>
            <w:shd w:val="clear" w:color="auto" w:fill="002B5B"/>
          </w:tcPr>
          <w:p>
            <w:r>
              <w:rPr>
                <w:b/>
                <w:color w:val="FFFFFF"/>
                <w:sz w:val="18"/>
              </w:rPr>
              <w:t>Indicative cost</w:t>
            </w:r>
          </w:p>
        </w:tc>
      </w:tr>
      <w:tr>
        <w:tc>
          <w:tcPr>
            <w:tcW w:type="dxa" w:w="2351"/>
            <w:shd w:val="clear" w:color="auto" w:fill="EEF3F9"/>
          </w:tcPr>
          <w:p>
            <w:r>
              <w:rPr>
                <w:b/>
                <w:sz w:val="18"/>
              </w:rPr>
              <w:t>Quick win (0–12m)</w:t>
            </w:r>
          </w:p>
        </w:tc>
        <w:tc>
          <w:tcPr>
            <w:tcW w:type="dxa" w:w="2351"/>
            <w:shd w:val="clear" w:color="auto" w:fill="EEF3F9"/>
          </w:tcPr>
          <w:p>
            <w:r>
              <w:rPr>
                <w:sz w:val="18"/>
              </w:rPr>
              <w:t>Public-fleet procurement of KMC buses (schools, hospitals, BRT, MDAs)</w:t>
            </w:r>
          </w:p>
        </w:tc>
        <w:tc>
          <w:tcPr>
            <w:tcW w:type="dxa" w:w="2351"/>
            <w:shd w:val="clear" w:color="auto" w:fill="EEF3F9"/>
          </w:tcPr>
          <w:p>
            <w:r>
              <w:rPr>
                <w:sz w:val="18"/>
              </w:rPr>
              <w:t>MoFPED, MoWT, MDAs</w:t>
            </w:r>
          </w:p>
        </w:tc>
        <w:tc>
          <w:tcPr>
            <w:tcW w:type="dxa" w:w="2351"/>
            <w:shd w:val="clear" w:color="auto" w:fill="EEF3F9"/>
          </w:tcPr>
          <w:p>
            <w:r>
              <w:rPr>
                <w:sz w:val="18"/>
              </w:rPr>
              <w:t>Procurement budget</w:t>
            </w:r>
          </w:p>
        </w:tc>
      </w:tr>
      <w:tr>
        <w:tc>
          <w:tcPr>
            <w:tcW w:type="dxa" w:w="2351"/>
            <w:shd w:val="clear" w:color="auto" w:fill="FFFFFF"/>
          </w:tcPr>
          <w:p>
            <w:r>
              <w:rPr>
                <w:sz w:val="18"/>
              </w:rPr>
              <w:t>Quick win (0–12m)</w:t>
            </w:r>
          </w:p>
        </w:tc>
        <w:tc>
          <w:tcPr>
            <w:tcW w:type="dxa" w:w="2351"/>
            <w:shd w:val="clear" w:color="auto" w:fill="FFFFFF"/>
          </w:tcPr>
          <w:p>
            <w:r>
              <w:rPr>
                <w:sz w:val="18"/>
              </w:rPr>
              <w:t>Close KMC's FY25/26 financing gap to enable production ramp-up</w:t>
            </w:r>
          </w:p>
        </w:tc>
        <w:tc>
          <w:tcPr>
            <w:tcW w:type="dxa" w:w="2351"/>
            <w:shd w:val="clear" w:color="auto" w:fill="FFFFFF"/>
          </w:tcPr>
          <w:p>
            <w:r>
              <w:rPr>
                <w:sz w:val="18"/>
              </w:rPr>
              <w:t>MoFPED, UDB</w:t>
            </w:r>
          </w:p>
        </w:tc>
        <w:tc>
          <w:tcPr>
            <w:tcW w:type="dxa" w:w="2351"/>
            <w:shd w:val="clear" w:color="auto" w:fill="FFFFFF"/>
          </w:tcPr>
          <w:p>
            <w:r>
              <w:rPr>
                <w:sz w:val="18"/>
              </w:rPr>
              <w:t>~UGX 50bn</w:t>
            </w:r>
          </w:p>
        </w:tc>
      </w:tr>
      <w:tr>
        <w:tc>
          <w:tcPr>
            <w:tcW w:type="dxa" w:w="2351"/>
            <w:shd w:val="clear" w:color="auto" w:fill="EEF3F9"/>
          </w:tcPr>
          <w:p>
            <w:r>
              <w:rPr>
                <w:b/>
                <w:sz w:val="18"/>
              </w:rPr>
              <w:t>Reform (1–3y)</w:t>
            </w:r>
          </w:p>
        </w:tc>
        <w:tc>
          <w:tcPr>
            <w:tcW w:type="dxa" w:w="2351"/>
            <w:shd w:val="clear" w:color="auto" w:fill="EEF3F9"/>
          </w:tcPr>
          <w:p>
            <w:r>
              <w:rPr>
                <w:sz w:val="18"/>
              </w:rPr>
              <w:t>Local-content and CKD-assembly incentive framework; review used-vehicle age/tax policy to favour assembly</w:t>
            </w:r>
          </w:p>
        </w:tc>
        <w:tc>
          <w:tcPr>
            <w:tcW w:type="dxa" w:w="2351"/>
            <w:shd w:val="clear" w:color="auto" w:fill="EEF3F9"/>
          </w:tcPr>
          <w:p>
            <w:r>
              <w:rPr>
                <w:sz w:val="18"/>
              </w:rPr>
              <w:t>MTIC, MoFPED, URA</w:t>
            </w:r>
          </w:p>
        </w:tc>
        <w:tc>
          <w:tcPr>
            <w:tcW w:type="dxa" w:w="2351"/>
            <w:shd w:val="clear" w:color="auto" w:fill="EEF3F9"/>
          </w:tcPr>
          <w:p>
            <w:r>
              <w:rPr>
                <w:sz w:val="18"/>
              </w:rPr>
              <w:t>Low (policy)</w:t>
            </w:r>
          </w:p>
        </w:tc>
      </w:tr>
      <w:tr>
        <w:tc>
          <w:tcPr>
            <w:tcW w:type="dxa" w:w="2351"/>
            <w:shd w:val="clear" w:color="auto" w:fill="FFFFFF"/>
          </w:tcPr>
          <w:p>
            <w:r>
              <w:rPr>
                <w:sz w:val="18"/>
              </w:rPr>
              <w:t>Reform (1–3y)</w:t>
            </w:r>
          </w:p>
        </w:tc>
        <w:tc>
          <w:tcPr>
            <w:tcW w:type="dxa" w:w="2351"/>
            <w:shd w:val="clear" w:color="auto" w:fill="FFFFFF"/>
          </w:tcPr>
          <w:p>
            <w:r>
              <w:rPr>
                <w:sz w:val="18"/>
              </w:rPr>
              <w:t>Automotive/mechatronics &amp; EV skills programme (KMC, Makerere, Nakawa VTI)</w:t>
            </w:r>
          </w:p>
        </w:tc>
        <w:tc>
          <w:tcPr>
            <w:tcW w:type="dxa" w:w="2351"/>
            <w:shd w:val="clear" w:color="auto" w:fill="FFFFFF"/>
          </w:tcPr>
          <w:p>
            <w:r>
              <w:rPr>
                <w:sz w:val="18"/>
              </w:rPr>
              <w:t>MoES, KMC</w:t>
            </w:r>
          </w:p>
        </w:tc>
        <w:tc>
          <w:tcPr>
            <w:tcW w:type="dxa" w:w="2351"/>
            <w:shd w:val="clear" w:color="auto" w:fill="FFFFFF"/>
          </w:tcPr>
          <w:p>
            <w:r>
              <w:rPr>
                <w:sz w:val="18"/>
              </w:rPr>
              <w:t>Medium</w:t>
            </w:r>
          </w:p>
        </w:tc>
      </w:tr>
      <w:tr>
        <w:tc>
          <w:tcPr>
            <w:tcW w:type="dxa" w:w="2351"/>
            <w:shd w:val="clear" w:color="auto" w:fill="EEF3F9"/>
          </w:tcPr>
          <w:p>
            <w:r>
              <w:rPr>
                <w:sz w:val="18"/>
              </w:rPr>
              <w:t>Reform (1–3y)</w:t>
            </w:r>
          </w:p>
        </w:tc>
        <w:tc>
          <w:tcPr>
            <w:tcW w:type="dxa" w:w="2351"/>
            <w:shd w:val="clear" w:color="auto" w:fill="EEF3F9"/>
          </w:tcPr>
          <w:p>
            <w:r>
              <w:rPr>
                <w:sz w:val="18"/>
              </w:rPr>
              <w:t>Supplier-development programme to localise parts (batteries, wiring, seats, panels)</w:t>
            </w:r>
          </w:p>
        </w:tc>
        <w:tc>
          <w:tcPr>
            <w:tcW w:type="dxa" w:w="2351"/>
            <w:shd w:val="clear" w:color="auto" w:fill="EEF3F9"/>
          </w:tcPr>
          <w:p>
            <w:r>
              <w:rPr>
                <w:sz w:val="18"/>
              </w:rPr>
              <w:t>MTIC, UIA</w:t>
            </w:r>
          </w:p>
        </w:tc>
        <w:tc>
          <w:tcPr>
            <w:tcW w:type="dxa" w:w="2351"/>
            <w:shd w:val="clear" w:color="auto" w:fill="EEF3F9"/>
          </w:tcPr>
          <w:p>
            <w:r>
              <w:rPr>
                <w:sz w:val="18"/>
              </w:rPr>
              <w:t>Medium</w:t>
            </w:r>
          </w:p>
        </w:tc>
      </w:tr>
      <w:tr>
        <w:tc>
          <w:tcPr>
            <w:tcW w:type="dxa" w:w="2351"/>
            <w:shd w:val="clear" w:color="auto" w:fill="FFFFFF"/>
          </w:tcPr>
          <w:p>
            <w:r>
              <w:rPr>
                <w:b/>
                <w:sz w:val="18"/>
              </w:rPr>
              <w:t>Investment (3–5y)</w:t>
            </w:r>
          </w:p>
        </w:tc>
        <w:tc>
          <w:tcPr>
            <w:tcW w:type="dxa" w:w="2351"/>
            <w:shd w:val="clear" w:color="auto" w:fill="FFFFFF"/>
          </w:tcPr>
          <w:p>
            <w:r>
              <w:rPr>
                <w:sz w:val="18"/>
              </w:rPr>
              <w:t>KMC capacity expansion toward 10,000 vehicles/yr; EV-bus line</w:t>
            </w:r>
          </w:p>
        </w:tc>
        <w:tc>
          <w:tcPr>
            <w:tcW w:type="dxa" w:w="2351"/>
            <w:shd w:val="clear" w:color="auto" w:fill="FFFFFF"/>
          </w:tcPr>
          <w:p>
            <w:r>
              <w:rPr>
                <w:sz w:val="18"/>
              </w:rPr>
              <w:t>Public + PPP</w:t>
            </w:r>
          </w:p>
        </w:tc>
        <w:tc>
          <w:tcPr>
            <w:tcW w:type="dxa" w:w="2351"/>
            <w:shd w:val="clear" w:color="auto" w:fill="FFFFFF"/>
          </w:tcPr>
          <w:p>
            <w:r>
              <w:rPr>
                <w:sz w:val="18"/>
              </w:rPr>
              <w:t>Indicative (see Ch.8)</w:t>
            </w:r>
          </w:p>
        </w:tc>
      </w:tr>
      <w:tr>
        <w:tc>
          <w:tcPr>
            <w:tcW w:type="dxa" w:w="2351"/>
            <w:shd w:val="clear" w:color="auto" w:fill="EEF3F9"/>
          </w:tcPr>
          <w:p>
            <w:r>
              <w:rPr>
                <w:sz w:val="18"/>
              </w:rPr>
              <w:t>Investment (3–5y)</w:t>
            </w:r>
          </w:p>
        </w:tc>
        <w:tc>
          <w:tcPr>
            <w:tcW w:type="dxa" w:w="2351"/>
            <w:shd w:val="clear" w:color="auto" w:fill="EEF3F9"/>
          </w:tcPr>
          <w:p>
            <w:r>
              <w:rPr>
                <w:sz w:val="18"/>
              </w:rPr>
              <w:t>Motorcycle CKD assembly plant(s)</w:t>
            </w:r>
          </w:p>
        </w:tc>
        <w:tc>
          <w:tcPr>
            <w:tcW w:type="dxa" w:w="2351"/>
            <w:shd w:val="clear" w:color="auto" w:fill="EEF3F9"/>
          </w:tcPr>
          <w:p>
            <w:r>
              <w:rPr>
                <w:sz w:val="18"/>
              </w:rPr>
              <w:t>Private-led</w:t>
            </w:r>
          </w:p>
        </w:tc>
        <w:tc>
          <w:tcPr>
            <w:tcW w:type="dxa" w:w="2351"/>
            <w:shd w:val="clear" w:color="auto" w:fill="EEF3F9"/>
          </w:tcPr>
          <w:p>
            <w:r>
              <w:rPr>
                <w:sz w:val="18"/>
              </w:rPr>
              <w:t>Indicative (see Ch.8)</w:t>
            </w:r>
          </w:p>
        </w:tc>
      </w:tr>
    </w:tbl>
    <w:p/>
    <w:p>
      <w:pPr>
        <w:pStyle w:val="Heading2"/>
      </w:pPr>
      <w:r>
        <w:t>References</w:t>
      </w:r>
    </w:p>
    <w:p>
      <w:pPr>
        <w:pStyle w:val="ListBullet"/>
      </w:pPr>
      <w:r>
        <w:t>Uganda Broadcasting Corporation, "Uganda Commissions Africa's Most Advanced Vehicle Plant" (27 September 2025). https://ubc.go.ug/2025/09/27/uganda-commissions-africas-most-advanced-vehicle-plant-a-historic-milestone-for-industrialization-and-innovation/</w:t>
      </w:r>
    </w:p>
    <w:p>
      <w:pPr>
        <w:pStyle w:val="ListBullet"/>
      </w:pPr>
      <w:r>
        <w:t>Kiira Motors Corporation. https://kiiramotors.com/ ; Wikipedia summary: https://en.wikipedia.org/wiki/Kiira_Motors_Corporation</w:t>
      </w:r>
    </w:p>
    <w:p>
      <w:pPr>
        <w:pStyle w:val="ListBullet"/>
      </w:pPr>
      <w:r>
        <w:t>AutoMag.ug, "Kiira Motors unveils Kayoola electric buses for public transport" (2025). https://automag.ug/2025/08/25/kiira-motors-unveils-kayoola-electric-buses-for-public-transport/</w:t>
      </w:r>
    </w:p>
    <w:p>
      <w:pPr>
        <w:pStyle w:val="ListBullet"/>
      </w:pPr>
      <w:r>
        <w:t xml:space="preserve">Mobility Foresights, </w:t>
      </w:r>
      <w:r>
        <w:rPr>
          <w:i/>
        </w:rPr>
        <w:t>Uganda Used Car Market 2024–2030</w:t>
      </w:r>
      <w:r>
        <w:t>. https://mobilityforesights.com/product/uganda-used-car-market</w:t>
      </w:r>
    </w:p>
    <w:p>
      <w:pPr>
        <w:pStyle w:val="ListBullet"/>
      </w:pPr>
      <w:r>
        <w:t>ITC TradeMap, trade statistics — HS 8703, 8704, 8711, 8708, Uganda, 2024. https://www.trademap.org</w:t>
      </w:r>
    </w:p>
    <w:p>
      <w:pPr>
        <w:pStyle w:val="ListBullet"/>
      </w:pPr>
      <w:r>
        <w:t>Electricity Regulatory Authority, end-user tariffs 2025. https://www.era.go.ug/</w:t>
      </w:r>
    </w:p>
    <w:p>
      <w:pPr>
        <w:pStyle w:val="ListBullet"/>
      </w:pPr>
      <w:r>
        <w:t>NEMA. https://www.nema.go.ug/</w:t>
      </w:r>
    </w:p>
    <w:p>
      <w:r>
        <w:br w:type="page"/>
      </w:r>
    </w:p>
    <w:p>
      <w:pPr>
        <w:pStyle w:val="Heading1"/>
      </w:pPr>
      <w:r>
        <w:t>Chapter 7: Cross-Cutting Priority Actions and Policy Recommendations</w:t>
      </w:r>
    </w:p>
    <w:p>
      <w:r>
        <w:rPr>
          <w:b/>
        </w:rPr>
        <w:t>Report:</w:t>
      </w:r>
      <w:r>
        <w:t xml:space="preserve"> Report 1 — Iron &amp; Steel, Copper &amp; Allied Metals, and Automotive Value Chains</w:t>
      </w:r>
    </w:p>
    <w:p>
      <w:r>
        <w:rPr>
          <w:b/>
        </w:rPr>
        <w:t>Status:</w:t>
      </w:r>
      <w:r>
        <w:t xml:space="preserve"> Draft for validation</w:t>
      </w:r>
    </w:p>
    <w:p>
      <w:pPr>
        <w:pStyle w:val="Heading2"/>
      </w:pPr>
      <w:r>
        <w:t>7.1 Introduction</w:t>
      </w:r>
    </w:p>
    <w:p>
      <w:r>
        <w:t>The three Report 1 value chains share a common set of binding constraints and a common industrial logic. This chapter consolidates the cross-cutting actions that would lift all three chains simultaneously, and maps them to the six priority areas of the Uganda–UNIDO Programme for Country Partnership (PCP). These recommendations complement — and should be read alongside — the chain-specific action matrices in Chapters 4–6.</w:t>
      </w:r>
    </w:p>
    <w:p>
      <w:r>
        <w:t xml:space="preserve">The integrating insight of Report 1 is that </w:t>
      </w:r>
      <w:r>
        <w:rPr>
          <w:b/>
        </w:rPr>
        <w:t>Iron &amp; Steel, Copper, and Automotive form a single industrial system</w:t>
      </w:r>
      <w:r>
        <w:t>: mined and processed metal feeds fabricated products that feed vehicle manufacture. Constraints that raise the cost of metal — energy, logistics, finance, feedstock policy — cascade through all three. Addressing them once benefits the whole system.</w:t>
      </w:r>
    </w:p>
    <w:p>
      <w:pPr>
        <w:pStyle w:val="Heading2"/>
      </w:pPr>
      <w:r>
        <w:t>7.2 The Shared Binding Constraints</w:t>
      </w:r>
    </w:p>
    <w:p>
      <w:r>
        <w:t>Across the three chains, five constraints recur as decisive (drawing on the chain analyses and on cross-cutting evidence):</w:t>
      </w:r>
    </w:p>
    <w:p>
      <w:r>
        <w:rPr>
          <w:b/>
        </w:rPr>
        <w:t>1. Energy cost and reliability.</w:t>
      </w:r>
      <w:r>
        <w:t xml:space="preserve"> Metals processing (DRI, electro-refining, rolling) is electricity-intensive. Uganda's extra-large industrial tariff is around </w:t>
      </w:r>
      <w:r>
        <w:rPr>
          <w:b/>
        </w:rPr>
        <w:t>5.5 US¢/kWh (5¢ off-peak) in 2025</w:t>
      </w:r>
      <w:r>
        <w:t xml:space="preserve"> (Electricity Regulatory Authority) — regionally competitive — but reliability and the cost of self-generation backup erode this advantage. The 2025 transition from UMEME to UEDCL as distributor is an opportunity to lock in industrial reliability commitments.</w:t>
      </w:r>
    </w:p>
    <w:p>
      <w:r>
        <w:rPr>
          <w:b/>
        </w:rPr>
        <w:t>2. Logistics and the landlocked penalty.</w:t>
      </w:r>
      <w:r>
        <w:t xml:space="preserve"> Logistics inefficiencies cost the economy an estimated </w:t>
      </w:r>
      <w:r>
        <w:rPr>
          <w:b/>
        </w:rPr>
        <w:t>USD 827 million a year</w:t>
      </w:r>
      <w:r>
        <w:t xml:space="preserve">, and logistics account for </w:t>
      </w:r>
      <w:r>
        <w:rPr>
          <w:b/>
        </w:rPr>
        <w:t>18–20% of the sale price</w:t>
      </w:r>
      <w:r>
        <w:t xml:space="preserve"> of goods (sector estimates). For bulk, low-value-density products like steel and ore, this is a first-order competitiveness drag and a reason to favour domestic processing over raw-material export.</w:t>
      </w:r>
    </w:p>
    <w:p>
      <w:r>
        <w:rPr>
          <w:b/>
        </w:rPr>
        <w:t>3. Access to long-term finance.</w:t>
      </w:r>
      <w:r>
        <w:t xml:space="preserve"> Integrated metals and automotive plants are highly capital-intensive with long pay-back. Long-term finance is scarce and costly, and </w:t>
      </w:r>
      <w:r>
        <w:rPr>
          <w:b/>
        </w:rPr>
        <w:t>2025 liquidity tightening — driven by government borrowing — has crowded out private credit</w:t>
      </w:r>
      <w:r>
        <w:t xml:space="preserve"> (KPMG, </w:t>
      </w:r>
      <w:r>
        <w:rPr>
          <w:i/>
        </w:rPr>
        <w:t>Uganda Budget Brief 2025/26</w:t>
      </w:r>
      <w:r>
        <w:t>). KMC's own FY25/26 financing gap illustrates the problem at the firm level.</w:t>
      </w:r>
    </w:p>
    <w:p>
      <w:r>
        <w:rPr>
          <w:b/>
        </w:rPr>
        <w:t>4. Skills.</w:t>
      </w:r>
      <w:r>
        <w:t xml:space="preserve"> Around </w:t>
      </w:r>
      <w:r>
        <w:rPr>
          <w:b/>
        </w:rPr>
        <w:t>68% of manufacturers report difficulty finding workers with the technical skills they need</w:t>
      </w:r>
      <w:r>
        <w:t xml:space="preserve"> (Uganda Manufacturers Association). Metallurgy, process engineering, mechatronics, and EV skills are particularly scarce.</w:t>
      </w:r>
    </w:p>
    <w:p>
      <w:r>
        <w:rPr>
          <w:b/>
        </w:rPr>
        <w:t>5. Standards and quality.</w:t>
      </w:r>
      <w:r>
        <w:t xml:space="preserve"> Sub-standard imported steel and electrical cable distort the market and endanger users, while uneven UNBS enforcement penalises compliant domestic firms. Quality infrastructure is both a safety issue and a competitiveness lever.</w:t>
      </w:r>
    </w:p>
    <w:p>
      <w:pPr>
        <w:pStyle w:val="Heading2"/>
      </w:pPr>
      <w:r>
        <w:t>7.3 Cross-Cutting Priority Actions</w:t>
      </w:r>
    </w:p>
    <w:p>
      <w:pPr>
        <w:pStyle w:val="Heading3"/>
      </w:pPr>
      <w:r>
        <w:t>A. Secure feedstock and stop raw-material leakage</w:t>
      </w:r>
    </w:p>
    <w:p>
      <w:r>
        <w:t xml:space="preserve">Uganda exports raw iron ore (USD 35.8m in 2024) and leaves copper ore unmined, then imports the processed metal back. </w:t>
      </w:r>
      <w:r>
        <w:rPr>
          <w:b/>
        </w:rPr>
        <w:t>Restrict or tax raw mineral-ore exports and prioritise domestic beneficiation</w:t>
      </w:r>
      <w:r>
        <w:t>, coordinated with the upstream investments in Chapters 4–5. This single policy shift underpins the import-substitution case across both metals chains.</w:t>
      </w:r>
    </w:p>
    <w:p>
      <w:pPr>
        <w:pStyle w:val="Heading3"/>
      </w:pPr>
      <w:r>
        <w:t>B. Industrial parks, power, and shared infrastructure</w:t>
      </w:r>
    </w:p>
    <w:p>
      <w:r>
        <w:t xml:space="preserve">Cluster metals and automotive activity in serviced industrial parks (Namanve, Jinja, and a mineral-processing zone near the resource base) with </w:t>
      </w:r>
      <w:r>
        <w:rPr>
          <w:b/>
        </w:rPr>
        <w:t>reliable dedicated power, water, effluent treatment, and logistics</w:t>
      </w:r>
      <w:r>
        <w:t>. Shared infrastructure reduces per-firm costs — directly addressing PCP Priority Area 3.</w:t>
      </w:r>
    </w:p>
    <w:p>
      <w:pPr>
        <w:pStyle w:val="Heading3"/>
      </w:pPr>
      <w:r>
        <w:t>C. An industrial-finance instrument</w:t>
      </w:r>
    </w:p>
    <w:p>
      <w:r>
        <w:t xml:space="preserve">Establish or scale a </w:t>
      </w:r>
      <w:r>
        <w:rPr>
          <w:b/>
        </w:rPr>
        <w:t>long-term industrial-finance facility</w:t>
      </w:r>
      <w:r>
        <w:t xml:space="preserve"> (through Uganda Development Bank and development partners) for capital-intensive metals and automotive investment, with blended/concessional terms to offset the crowding-out of private credit. Tie disbursement to the prioritized products in Chapters 4–6.</w:t>
      </w:r>
    </w:p>
    <w:p>
      <w:pPr>
        <w:pStyle w:val="Heading3"/>
      </w:pPr>
      <w:r>
        <w:t>D. Standards enforcement</w:t>
      </w:r>
    </w:p>
    <w:p>
      <w:r>
        <w:t xml:space="preserve">Resource UNBS to </w:t>
      </w:r>
      <w:r>
        <w:rPr>
          <w:b/>
        </w:rPr>
        <w:t>enforce standards on imported steel and electrical cable</w:t>
      </w:r>
      <w:r>
        <w:t>, levelling the field for compliant domestic producers and protecting consumers. A quick win requiring administrative rather than capital resources.</w:t>
      </w:r>
    </w:p>
    <w:p>
      <w:pPr>
        <w:pStyle w:val="Heading3"/>
      </w:pPr>
      <w:r>
        <w:t>E. Skills compact</w:t>
      </w:r>
    </w:p>
    <w:p>
      <w:r>
        <w:t xml:space="preserve">A targeted </w:t>
      </w:r>
      <w:r>
        <w:rPr>
          <w:b/>
        </w:rPr>
        <w:t>skills programme in metallurgy, process engineering, mechatronics, and EV technology</w:t>
      </w:r>
      <w:r>
        <w:t>, delivered through UIRI, Makerere, and TVET institutions in partnership with anchor firms (Tembo, Roofings, Cable Corporation, KMC).</w:t>
      </w:r>
    </w:p>
    <w:p>
      <w:pPr>
        <w:pStyle w:val="Heading3"/>
      </w:pPr>
      <w:r>
        <w:t>F. Demand-side anchors through public procurement</w:t>
      </w:r>
    </w:p>
    <w:p>
      <w:r>
        <w:t xml:space="preserve">Use </w:t>
      </w:r>
      <w:r>
        <w:rPr>
          <w:b/>
        </w:rPr>
        <w:t>government procurement</w:t>
      </w:r>
      <w:r>
        <w:t xml:space="preserve"> — infrastructure steel, electrical cable for grid expansion, and KMC buses for public fleets — as a guaranteed demand anchor that de-risks domestic investment.</w:t>
      </w:r>
    </w:p>
    <w:p>
      <w:pPr>
        <w:pStyle w:val="Heading2"/>
      </w:pPr>
      <w:r>
        <w:t>7.4 Alignment to PCP Priority Areas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PCP Priority Area</w:t>
            </w:r>
          </w:p>
        </w:tc>
        <w:tc>
          <w:tcPr>
            <w:tcW w:type="dxa" w:w="4703"/>
            <w:shd w:val="clear" w:color="auto" w:fill="002B5B"/>
          </w:tcPr>
          <w:p>
            <w:r>
              <w:rPr>
                <w:b/>
                <w:color w:val="FFFFFF"/>
                <w:sz w:val="18"/>
              </w:rPr>
              <w:t>Report 1 cross-cutting actions</w:t>
            </w:r>
          </w:p>
        </w:tc>
      </w:tr>
      <w:tr>
        <w:tc>
          <w:tcPr>
            <w:tcW w:type="dxa" w:w="4703"/>
            <w:shd w:val="clear" w:color="auto" w:fill="EEF3F9"/>
          </w:tcPr>
          <w:p>
            <w:r>
              <w:rPr>
                <w:sz w:val="18"/>
              </w:rPr>
              <w:t>1. Industrial policy implementation &amp; institutional coordination</w:t>
            </w:r>
          </w:p>
        </w:tc>
        <w:tc>
          <w:tcPr>
            <w:tcW w:type="dxa" w:w="4703"/>
            <w:shd w:val="clear" w:color="auto" w:fill="EEF3F9"/>
          </w:tcPr>
          <w:p>
            <w:r>
              <w:rPr>
                <w:sz w:val="18"/>
              </w:rPr>
              <w:t>Feedstock/ore-export policy (A); standards enforcement (D); coordinated MTIC–MEMD–MoFPED action</w:t>
            </w:r>
          </w:p>
        </w:tc>
      </w:tr>
      <w:tr>
        <w:tc>
          <w:tcPr>
            <w:tcW w:type="dxa" w:w="4703"/>
            <w:shd w:val="clear" w:color="auto" w:fill="FFFFFF"/>
          </w:tcPr>
          <w:p>
            <w:r>
              <w:rPr>
                <w:sz w:val="18"/>
              </w:rPr>
              <w:t>2. Mobilizing large-scale public &amp; private investment</w:t>
            </w:r>
          </w:p>
        </w:tc>
        <w:tc>
          <w:tcPr>
            <w:tcW w:type="dxa" w:w="4703"/>
            <w:shd w:val="clear" w:color="auto" w:fill="FFFFFF"/>
          </w:tcPr>
          <w:p>
            <w:r>
              <w:rPr>
                <w:sz w:val="18"/>
              </w:rPr>
              <w:t>Industrial-finance instrument (C); investment portfolio (Ch.8); production-sharing model (Kilembe)</w:t>
            </w:r>
          </w:p>
        </w:tc>
      </w:tr>
      <w:tr>
        <w:tc>
          <w:tcPr>
            <w:tcW w:type="dxa" w:w="4703"/>
            <w:shd w:val="clear" w:color="auto" w:fill="EEF3F9"/>
          </w:tcPr>
          <w:p>
            <w:r>
              <w:rPr>
                <w:sz w:val="18"/>
              </w:rPr>
              <w:t>3. Sustainable industrial parks &amp; free zones</w:t>
            </w:r>
          </w:p>
        </w:tc>
        <w:tc>
          <w:tcPr>
            <w:tcW w:type="dxa" w:w="4703"/>
            <w:shd w:val="clear" w:color="auto" w:fill="EEF3F9"/>
          </w:tcPr>
          <w:p>
            <w:r>
              <w:rPr>
                <w:sz w:val="18"/>
              </w:rPr>
              <w:t>Parks, power, shared infrastructure (B)</w:t>
            </w:r>
          </w:p>
        </w:tc>
      </w:tr>
      <w:tr>
        <w:tc>
          <w:tcPr>
            <w:tcW w:type="dxa" w:w="4703"/>
            <w:shd w:val="clear" w:color="auto" w:fill="FFFFFF"/>
          </w:tcPr>
          <w:p>
            <w:r>
              <w:rPr>
                <w:sz w:val="18"/>
              </w:rPr>
              <w:t>4. National standards, quality &amp; accreditation</w:t>
            </w:r>
          </w:p>
        </w:tc>
        <w:tc>
          <w:tcPr>
            <w:tcW w:type="dxa" w:w="4703"/>
            <w:shd w:val="clear" w:color="auto" w:fill="FFFFFF"/>
          </w:tcPr>
          <w:p>
            <w:r>
              <w:rPr>
                <w:sz w:val="18"/>
              </w:rPr>
              <w:t>UNBS enforcement and capacity (D)</w:t>
            </w:r>
          </w:p>
        </w:tc>
      </w:tr>
      <w:tr>
        <w:tc>
          <w:tcPr>
            <w:tcW w:type="dxa" w:w="4703"/>
            <w:shd w:val="clear" w:color="auto" w:fill="EEF3F9"/>
          </w:tcPr>
          <w:p>
            <w:r>
              <w:rPr>
                <w:sz w:val="18"/>
              </w:rPr>
              <w:t>5. Green industry, circular economy &amp; Industry 4.0</w:t>
            </w:r>
          </w:p>
        </w:tc>
        <w:tc>
          <w:tcPr>
            <w:tcW w:type="dxa" w:w="4703"/>
            <w:shd w:val="clear" w:color="auto" w:fill="EEF3F9"/>
          </w:tcPr>
          <w:p>
            <w:r>
              <w:rPr>
                <w:sz w:val="18"/>
              </w:rPr>
              <w:t>Slag/tailings reuse; EV manufacturing (KMC); scrap-based Electric Arc Furnace (EAF) steel</w:t>
            </w:r>
          </w:p>
        </w:tc>
      </w:tr>
      <w:tr>
        <w:tc>
          <w:tcPr>
            <w:tcW w:type="dxa" w:w="4703"/>
            <w:shd w:val="clear" w:color="auto" w:fill="FFFFFF"/>
          </w:tcPr>
          <w:p>
            <w:r>
              <w:rPr>
                <w:sz w:val="18"/>
              </w:rPr>
              <w:t>6. Productive use of renewable energy &amp; efficiency</w:t>
            </w:r>
          </w:p>
        </w:tc>
        <w:tc>
          <w:tcPr>
            <w:tcW w:type="dxa" w:w="4703"/>
            <w:shd w:val="clear" w:color="auto" w:fill="FFFFFF"/>
          </w:tcPr>
          <w:p>
            <w:r>
              <w:rPr>
                <w:sz w:val="18"/>
              </w:rPr>
              <w:t>Industrial power reliability (A/B); hydro-grid-aligned EV strategy</w:t>
            </w:r>
          </w:p>
        </w:tc>
      </w:tr>
    </w:tbl>
    <w:p/>
    <w:p>
      <w:pPr>
        <w:pStyle w:val="Heading2"/>
      </w:pPr>
      <w:r>
        <w:t>7.5 Summary of Cross-Cutting Recommendations</w:t>
      </w:r>
    </w:p>
    <w:p>
      <w:pPr>
        <w:pStyle w:val="ListNumber"/>
      </w:pPr>
      <w:r>
        <w:rPr>
          <w:b/>
        </w:rPr>
        <w:t>Retain and process minerals domestically</w:t>
      </w:r>
      <w:r>
        <w:t xml:space="preserve"> — tax/restrict raw ore exports; prioritise beneficiation (highest-leverage single action).</w:t>
      </w:r>
    </w:p>
    <w:p>
      <w:pPr>
        <w:pStyle w:val="ListNumber"/>
      </w:pPr>
      <w:r>
        <w:rPr>
          <w:b/>
        </w:rPr>
        <w:t>Build serviced industrial parks with reliable power</w:t>
      </w:r>
      <w:r>
        <w:t xml:space="preserve"> for metals and automotive clusters.</w:t>
      </w:r>
    </w:p>
    <w:p>
      <w:pPr>
        <w:pStyle w:val="ListNumber"/>
      </w:pPr>
      <w:r>
        <w:rPr>
          <w:b/>
        </w:rPr>
        <w:t>Create a long-term industrial-finance facility</w:t>
      </w:r>
      <w:r>
        <w:t xml:space="preserve"> to overcome the capital constraint.</w:t>
      </w:r>
    </w:p>
    <w:p>
      <w:pPr>
        <w:pStyle w:val="ListNumber"/>
      </w:pPr>
      <w:r>
        <w:rPr>
          <w:b/>
        </w:rPr>
        <w:t>Enforce UNBS standards</w:t>
      </w:r>
      <w:r>
        <w:t xml:space="preserve"> on steel and cable imports (quick win).</w:t>
      </w:r>
    </w:p>
    <w:p>
      <w:pPr>
        <w:pStyle w:val="ListNumber"/>
      </w:pPr>
      <w:r>
        <w:rPr>
          <w:b/>
        </w:rPr>
        <w:t>Launch a metals/automotive/EV skills compact.</w:t>
      </w:r>
    </w:p>
    <w:p>
      <w:pPr>
        <w:pStyle w:val="ListNumber"/>
      </w:pPr>
      <w:r>
        <w:rPr>
          <w:b/>
        </w:rPr>
        <w:t>Anchor demand through public procurement</w:t>
      </w:r>
      <w:r>
        <w:t xml:space="preserve"> (infrastructure steel, grid cable, KMC buses).</w:t>
      </w:r>
    </w:p>
    <w:p>
      <w:r>
        <w:t>These six actions, taken together, address the shared constraints that hold back all three chains and convert Uganda's resource endowment and its new industrial anchors (Tembo, Devki, Kilembe redevelopment, KMC) into a competitive metals-to-mobility industrial system.</w:t>
      </w:r>
    </w:p>
    <w:p>
      <w:pPr>
        <w:pStyle w:val="Heading2"/>
      </w:pPr>
      <w:r>
        <w:t>References</w:t>
      </w:r>
    </w:p>
    <w:p>
      <w:pPr>
        <w:pStyle w:val="ListBullet"/>
      </w:pPr>
      <w:r>
        <w:t>Electricity Regulatory Authority, end-user tariffs 2025. https://www.era.go.ug/</w:t>
      </w:r>
    </w:p>
    <w:p>
      <w:pPr>
        <w:pStyle w:val="ListBullet"/>
      </w:pPr>
      <w:r>
        <w:t xml:space="preserve">KPMG, </w:t>
      </w:r>
      <w:r>
        <w:rPr>
          <w:i/>
        </w:rPr>
        <w:t>Uganda Budget Brief 2025/26</w:t>
      </w:r>
      <w:r>
        <w:t>. https://assets.kpmg.com/</w:t>
      </w:r>
    </w:p>
    <w:p>
      <w:pPr>
        <w:pStyle w:val="ListBullet"/>
      </w:pPr>
      <w:r>
        <w:t>Uganda Manufacturers Association; UNIDO — manufacturing skills evidence. https://uma.or.ug/ ; https://www.unido.org/</w:t>
      </w:r>
    </w:p>
    <w:p>
      <w:pPr>
        <w:pStyle w:val="ListBullet"/>
      </w:pPr>
      <w:r>
        <w:t xml:space="preserve">NEMA, </w:t>
      </w:r>
      <w:r>
        <w:rPr>
          <w:i/>
        </w:rPr>
        <w:t>Effluent Discharge Regulations 2020</w:t>
      </w:r>
      <w:r>
        <w:t>. https://www.nema.go.ug/</w:t>
      </w:r>
    </w:p>
    <w:p>
      <w:pPr>
        <w:pStyle w:val="ListBullet"/>
      </w:pPr>
      <w:r>
        <w:t>ITC TradeMap, trade statistics (2024). https://www.trademap.org</w:t>
      </w:r>
    </w:p>
    <w:p>
      <w:pPr>
        <w:pStyle w:val="ListBullet"/>
      </w:pPr>
      <w:r>
        <w:t xml:space="preserve">UNIDO, </w:t>
      </w:r>
      <w:r>
        <w:rPr>
          <w:i/>
        </w:rPr>
        <w:t>Programme for Country Partnership</w:t>
      </w:r>
      <w:r>
        <w:t>. https://www.unido.org/programme-country-partnership</w:t>
      </w:r>
    </w:p>
    <w:p>
      <w:r>
        <w:br w:type="page"/>
      </w:r>
    </w:p>
    <w:p>
      <w:pPr>
        <w:pStyle w:val="Heading1"/>
      </w:pPr>
      <w:r>
        <w:t>Chapter 8: Investment Portfolio and Implementation Roadmap</w:t>
      </w:r>
    </w:p>
    <w:p>
      <w:r>
        <w:rPr>
          <w:b/>
        </w:rPr>
        <w:t>Report:</w:t>
      </w:r>
      <w:r>
        <w:t xml:space="preserve"> Report 1 — Iron &amp; Steel, Copper &amp; Allied Metals, and Automotive Value Chains</w:t>
      </w:r>
    </w:p>
    <w:p>
      <w:r>
        <w:rPr>
          <w:b/>
        </w:rPr>
        <w:t>Status:</w:t>
      </w:r>
      <w:r>
        <w:t xml:space="preserve"> Draft for validation</w:t>
      </w:r>
    </w:p>
    <w:p>
      <w:pPr>
        <w:pStyle w:val="IntenseQuote"/>
      </w:pPr>
      <w:r>
        <w:rPr>
          <w:b/>
        </w:rPr>
        <w:t>Important note on figures.</w:t>
      </w:r>
      <w:r>
        <w:t xml:space="preserve"> All capital (CAPEX) and operating (OPEX) figures in this chapter are </w:t>
      </w:r>
      <w:r>
        <w:rPr>
          <w:b/>
        </w:rPr>
        <w:t>indicative planning estimates</w:t>
      </w:r>
      <w:r>
        <w:t xml:space="preserve">, drawn from comparable projects, announced investments, and order-of-magnitude benchmarks — </w:t>
      </w:r>
      <w:r>
        <w:rPr>
          <w:b/>
        </w:rPr>
        <w:t>not appraised project costs</w:t>
      </w:r>
      <w:r>
        <w:t>. They are intended to size opportunities and sequence action, and must be confirmed through full feasibility studies before any investment decision. Where a figure derives from an announced project, the source is cited.</w:t>
      </w:r>
    </w:p>
    <w:p>
      <w:pPr>
        <w:pStyle w:val="Heading2"/>
      </w:pPr>
      <w:r>
        <w:t>8.1 Purpose</w:t>
      </w:r>
    </w:p>
    <w:p>
      <w:r>
        <w:t>This chapter consolidates the prioritized products from Chapters 4–6 into an investment portfolio and a phased implementation roadmap. It is organised to enable a decision: what to invest in, in what order, by whom, and at what indicative scale. Each priority product carries a short project profile (Section 8.3).</w:t>
      </w:r>
    </w:p>
    <w:p>
      <w:pPr>
        <w:pStyle w:val="Heading2"/>
      </w:pPr>
      <w:r>
        <w:t>8.2 Investment Portfolio Overview</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002B5B"/>
          </w:tcPr>
          <w:p>
            <w:r>
              <w:rPr>
                <w:b/>
                <w:color w:val="FFFFFF"/>
                <w:sz w:val="18"/>
              </w:rPr>
              <w:t>#</w:t>
            </w:r>
          </w:p>
        </w:tc>
        <w:tc>
          <w:tcPr>
            <w:tcW w:type="dxa" w:w="1568"/>
            <w:shd w:val="clear" w:color="auto" w:fill="002B5B"/>
          </w:tcPr>
          <w:p>
            <w:r>
              <w:rPr>
                <w:b/>
                <w:color w:val="FFFFFF"/>
                <w:sz w:val="18"/>
              </w:rPr>
              <w:t>Investment</w:t>
            </w:r>
          </w:p>
        </w:tc>
        <w:tc>
          <w:tcPr>
            <w:tcW w:type="dxa" w:w="1568"/>
            <w:shd w:val="clear" w:color="auto" w:fill="002B5B"/>
          </w:tcPr>
          <w:p>
            <w:r>
              <w:rPr>
                <w:b/>
                <w:color w:val="FFFFFF"/>
                <w:sz w:val="18"/>
              </w:rPr>
              <w:t>Chain</w:t>
            </w:r>
          </w:p>
        </w:tc>
        <w:tc>
          <w:tcPr>
            <w:tcW w:type="dxa" w:w="1568"/>
            <w:shd w:val="clear" w:color="auto" w:fill="002B5B"/>
          </w:tcPr>
          <w:p>
            <w:r>
              <w:rPr>
                <w:b/>
                <w:color w:val="FFFFFF"/>
                <w:sz w:val="18"/>
              </w:rPr>
              <w:t>Modality</w:t>
            </w:r>
          </w:p>
        </w:tc>
        <w:tc>
          <w:tcPr>
            <w:tcW w:type="dxa" w:w="1568"/>
            <w:shd w:val="clear" w:color="auto" w:fill="002B5B"/>
          </w:tcPr>
          <w:p>
            <w:r>
              <w:rPr>
                <w:b/>
                <w:color w:val="FFFFFF"/>
                <w:sz w:val="18"/>
              </w:rPr>
              <w:t>Indicative CAPEX</w:t>
            </w:r>
          </w:p>
        </w:tc>
        <w:tc>
          <w:tcPr>
            <w:tcW w:type="dxa" w:w="1568"/>
            <w:shd w:val="clear" w:color="auto" w:fill="002B5B"/>
          </w:tcPr>
          <w:p>
            <w:r>
              <w:rPr>
                <w:b/>
                <w:color w:val="FFFFFF"/>
                <w:sz w:val="18"/>
              </w:rPr>
              <w:t>Status / anchor</w:t>
            </w:r>
          </w:p>
        </w:tc>
      </w:tr>
      <w:tr>
        <w:tc>
          <w:tcPr>
            <w:tcW w:type="dxa" w:w="1568"/>
            <w:shd w:val="clear" w:color="auto" w:fill="EEF3F9"/>
          </w:tcPr>
          <w:p>
            <w:r>
              <w:rPr>
                <w:sz w:val="18"/>
              </w:rPr>
              <w:t>1</w:t>
            </w:r>
          </w:p>
        </w:tc>
        <w:tc>
          <w:tcPr>
            <w:tcW w:type="dxa" w:w="1568"/>
            <w:shd w:val="clear" w:color="auto" w:fill="EEF3F9"/>
          </w:tcPr>
          <w:p>
            <w:r>
              <w:rPr>
                <w:sz w:val="18"/>
              </w:rPr>
              <w:t>Integrated ore→DRI→steel complex</w:t>
            </w:r>
          </w:p>
        </w:tc>
        <w:tc>
          <w:tcPr>
            <w:tcW w:type="dxa" w:w="1568"/>
            <w:shd w:val="clear" w:color="auto" w:fill="EEF3F9"/>
          </w:tcPr>
          <w:p>
            <w:r>
              <w:rPr>
                <w:sz w:val="18"/>
              </w:rPr>
              <w:t>Iron &amp; Steel</w:t>
            </w:r>
          </w:p>
        </w:tc>
        <w:tc>
          <w:tcPr>
            <w:tcW w:type="dxa" w:w="1568"/>
            <w:shd w:val="clear" w:color="auto" w:fill="EEF3F9"/>
          </w:tcPr>
          <w:p>
            <w:r>
              <w:rPr>
                <w:sz w:val="18"/>
              </w:rPr>
              <w:t>Private-led + PPP</w:t>
            </w:r>
          </w:p>
        </w:tc>
        <w:tc>
          <w:tcPr>
            <w:tcW w:type="dxa" w:w="1568"/>
            <w:shd w:val="clear" w:color="auto" w:fill="EEF3F9"/>
          </w:tcPr>
          <w:p>
            <w:r>
              <w:rPr>
                <w:sz w:val="18"/>
              </w:rPr>
              <w:t>~USD 500m–1.0bn</w:t>
            </w:r>
          </w:p>
        </w:tc>
        <w:tc>
          <w:tcPr>
            <w:tcW w:type="dxa" w:w="1568"/>
            <w:shd w:val="clear" w:color="auto" w:fill="EEF3F9"/>
          </w:tcPr>
          <w:p>
            <w:r>
              <w:rPr>
                <w:sz w:val="18"/>
              </w:rPr>
              <w:t>Devki broke ground Nov 2025 (~USD 500m announced)</w:t>
            </w:r>
          </w:p>
        </w:tc>
      </w:tr>
      <w:tr>
        <w:tc>
          <w:tcPr>
            <w:tcW w:type="dxa" w:w="1568"/>
            <w:shd w:val="clear" w:color="auto" w:fill="FFFFFF"/>
          </w:tcPr>
          <w:p>
            <w:r>
              <w:rPr>
                <w:sz w:val="18"/>
              </w:rPr>
              <w:t>2</w:t>
            </w:r>
          </w:p>
        </w:tc>
        <w:tc>
          <w:tcPr>
            <w:tcW w:type="dxa" w:w="1568"/>
            <w:shd w:val="clear" w:color="auto" w:fill="FFFFFF"/>
          </w:tcPr>
          <w:p>
            <w:r>
              <w:rPr>
                <w:sz w:val="18"/>
              </w:rPr>
              <w:t>Flat-steel rolling mill</w:t>
            </w:r>
          </w:p>
        </w:tc>
        <w:tc>
          <w:tcPr>
            <w:tcW w:type="dxa" w:w="1568"/>
            <w:shd w:val="clear" w:color="auto" w:fill="FFFFFF"/>
          </w:tcPr>
          <w:p>
            <w:r>
              <w:rPr>
                <w:sz w:val="18"/>
              </w:rPr>
              <w:t>Iron &amp; Steel</w:t>
            </w:r>
          </w:p>
        </w:tc>
        <w:tc>
          <w:tcPr>
            <w:tcW w:type="dxa" w:w="1568"/>
            <w:shd w:val="clear" w:color="auto" w:fill="FFFFFF"/>
          </w:tcPr>
          <w:p>
            <w:r>
              <w:rPr>
                <w:sz w:val="18"/>
              </w:rPr>
              <w:t>Private-led</w:t>
            </w:r>
          </w:p>
        </w:tc>
        <w:tc>
          <w:tcPr>
            <w:tcW w:type="dxa" w:w="1568"/>
            <w:shd w:val="clear" w:color="auto" w:fill="FFFFFF"/>
          </w:tcPr>
          <w:p>
            <w:r>
              <w:rPr>
                <w:sz w:val="18"/>
              </w:rPr>
              <w:t>~USD 150–300m (indicative)</w:t>
            </w:r>
          </w:p>
        </w:tc>
        <w:tc>
          <w:tcPr>
            <w:tcW w:type="dxa" w:w="1568"/>
            <w:shd w:val="clear" w:color="auto" w:fill="FFFFFF"/>
          </w:tcPr>
          <w:p>
            <w:r>
              <w:rPr>
                <w:sz w:val="18"/>
              </w:rPr>
              <w:t>Substitutes USD 219.5m flat-steel imports</w:t>
            </w:r>
          </w:p>
        </w:tc>
      </w:tr>
      <w:tr>
        <w:tc>
          <w:tcPr>
            <w:tcW w:type="dxa" w:w="1568"/>
            <w:shd w:val="clear" w:color="auto" w:fill="EEF3F9"/>
          </w:tcPr>
          <w:p>
            <w:r>
              <w:rPr>
                <w:sz w:val="18"/>
              </w:rPr>
              <w:t>3</w:t>
            </w:r>
          </w:p>
        </w:tc>
        <w:tc>
          <w:tcPr>
            <w:tcW w:type="dxa" w:w="1568"/>
            <w:shd w:val="clear" w:color="auto" w:fill="EEF3F9"/>
          </w:tcPr>
          <w:p>
            <w:r>
              <w:rPr>
                <w:sz w:val="18"/>
              </w:rPr>
              <w:t>Iron-ore mining &amp; beneficiation</w:t>
            </w:r>
          </w:p>
        </w:tc>
        <w:tc>
          <w:tcPr>
            <w:tcW w:type="dxa" w:w="1568"/>
            <w:shd w:val="clear" w:color="auto" w:fill="EEF3F9"/>
          </w:tcPr>
          <w:p>
            <w:r>
              <w:rPr>
                <w:sz w:val="18"/>
              </w:rPr>
              <w:t>Iron &amp; Steel</w:t>
            </w:r>
          </w:p>
        </w:tc>
        <w:tc>
          <w:tcPr>
            <w:tcW w:type="dxa" w:w="1568"/>
            <w:shd w:val="clear" w:color="auto" w:fill="EEF3F9"/>
          </w:tcPr>
          <w:p>
            <w:r>
              <w:rPr>
                <w:sz w:val="18"/>
              </w:rPr>
              <w:t>Private-led / PPP</w:t>
            </w:r>
          </w:p>
        </w:tc>
        <w:tc>
          <w:tcPr>
            <w:tcW w:type="dxa" w:w="1568"/>
            <w:shd w:val="clear" w:color="auto" w:fill="EEF3F9"/>
          </w:tcPr>
          <w:p>
            <w:r>
              <w:rPr>
                <w:sz w:val="18"/>
              </w:rPr>
              <w:t>~USD 100–250m (indicative)</w:t>
            </w:r>
          </w:p>
        </w:tc>
        <w:tc>
          <w:tcPr>
            <w:tcW w:type="dxa" w:w="1568"/>
            <w:shd w:val="clear" w:color="auto" w:fill="EEF3F9"/>
          </w:tcPr>
          <w:p>
            <w:r>
              <w:rPr>
                <w:sz w:val="18"/>
              </w:rPr>
              <w:t>Enables 1 &amp; feeds domestic mills</w:t>
            </w:r>
          </w:p>
        </w:tc>
      </w:tr>
      <w:tr>
        <w:tc>
          <w:tcPr>
            <w:tcW w:type="dxa" w:w="1568"/>
            <w:shd w:val="clear" w:color="auto" w:fill="FFFFFF"/>
          </w:tcPr>
          <w:p>
            <w:r>
              <w:rPr>
                <w:sz w:val="18"/>
              </w:rPr>
              <w:t>4</w:t>
            </w:r>
          </w:p>
        </w:tc>
        <w:tc>
          <w:tcPr>
            <w:tcW w:type="dxa" w:w="1568"/>
            <w:shd w:val="clear" w:color="auto" w:fill="FFFFFF"/>
          </w:tcPr>
          <w:p>
            <w:r>
              <w:rPr>
                <w:sz w:val="18"/>
              </w:rPr>
              <w:t>Kilembe copper–cobalt redevelopment</w:t>
            </w:r>
          </w:p>
        </w:tc>
        <w:tc>
          <w:tcPr>
            <w:tcW w:type="dxa" w:w="1568"/>
            <w:shd w:val="clear" w:color="auto" w:fill="FFFFFF"/>
          </w:tcPr>
          <w:p>
            <w:r>
              <w:rPr>
                <w:sz w:val="18"/>
              </w:rPr>
              <w:t>Copper</w:t>
            </w:r>
          </w:p>
        </w:tc>
        <w:tc>
          <w:tcPr>
            <w:tcW w:type="dxa" w:w="1568"/>
            <w:shd w:val="clear" w:color="auto" w:fill="FFFFFF"/>
          </w:tcPr>
          <w:p>
            <w:r>
              <w:rPr>
                <w:sz w:val="18"/>
              </w:rPr>
              <w:t>Production-sharing (PPP)</w:t>
            </w:r>
          </w:p>
        </w:tc>
        <w:tc>
          <w:tcPr>
            <w:tcW w:type="dxa" w:w="1568"/>
            <w:shd w:val="clear" w:color="auto" w:fill="FFFFFF"/>
          </w:tcPr>
          <w:p>
            <w:r>
              <w:rPr>
                <w:sz w:val="18"/>
              </w:rPr>
              <w:t>Large; investor-financed</w:t>
            </w:r>
          </w:p>
        </w:tc>
        <w:tc>
          <w:tcPr>
            <w:tcW w:type="dxa" w:w="1568"/>
            <w:shd w:val="clear" w:color="auto" w:fill="FFFFFF"/>
          </w:tcPr>
          <w:p>
            <w:r>
              <w:rPr>
                <w:sz w:val="18"/>
              </w:rPr>
              <w:t>Sarrai/Nile Fibreboard deal, Mar 2025</w:t>
            </w:r>
          </w:p>
        </w:tc>
      </w:tr>
      <w:tr>
        <w:tc>
          <w:tcPr>
            <w:tcW w:type="dxa" w:w="1568"/>
            <w:shd w:val="clear" w:color="auto" w:fill="EEF3F9"/>
          </w:tcPr>
          <w:p>
            <w:r>
              <w:rPr>
                <w:sz w:val="18"/>
              </w:rPr>
              <w:t>5</w:t>
            </w:r>
          </w:p>
        </w:tc>
        <w:tc>
          <w:tcPr>
            <w:tcW w:type="dxa" w:w="1568"/>
            <w:shd w:val="clear" w:color="auto" w:fill="EEF3F9"/>
          </w:tcPr>
          <w:p>
            <w:r>
              <w:rPr>
                <w:sz w:val="18"/>
              </w:rPr>
              <w:t>Cable &amp; conductor capacity expansion</w:t>
            </w:r>
          </w:p>
        </w:tc>
        <w:tc>
          <w:tcPr>
            <w:tcW w:type="dxa" w:w="1568"/>
            <w:shd w:val="clear" w:color="auto" w:fill="EEF3F9"/>
          </w:tcPr>
          <w:p>
            <w:r>
              <w:rPr>
                <w:sz w:val="18"/>
              </w:rPr>
              <w:t>Copper</w:t>
            </w:r>
          </w:p>
        </w:tc>
        <w:tc>
          <w:tcPr>
            <w:tcW w:type="dxa" w:w="1568"/>
            <w:shd w:val="clear" w:color="auto" w:fill="EEF3F9"/>
          </w:tcPr>
          <w:p>
            <w:r>
              <w:rPr>
                <w:sz w:val="18"/>
              </w:rPr>
              <w:t>Private-led</w:t>
            </w:r>
          </w:p>
        </w:tc>
        <w:tc>
          <w:tcPr>
            <w:tcW w:type="dxa" w:w="1568"/>
            <w:shd w:val="clear" w:color="auto" w:fill="EEF3F9"/>
          </w:tcPr>
          <w:p>
            <w:r>
              <w:rPr>
                <w:sz w:val="18"/>
              </w:rPr>
              <w:t>~USD 30–80m (indicative)</w:t>
            </w:r>
          </w:p>
        </w:tc>
        <w:tc>
          <w:tcPr>
            <w:tcW w:type="dxa" w:w="1568"/>
            <w:shd w:val="clear" w:color="auto" w:fill="EEF3F9"/>
          </w:tcPr>
          <w:p>
            <w:r>
              <w:rPr>
                <w:sz w:val="18"/>
              </w:rPr>
              <w:t>Builds on Cable Corp (~65% market)</w:t>
            </w:r>
          </w:p>
        </w:tc>
      </w:tr>
      <w:tr>
        <w:tc>
          <w:tcPr>
            <w:tcW w:type="dxa" w:w="1568"/>
            <w:shd w:val="clear" w:color="auto" w:fill="FFFFFF"/>
          </w:tcPr>
          <w:p>
            <w:r>
              <w:rPr>
                <w:sz w:val="18"/>
              </w:rPr>
              <w:t>6</w:t>
            </w:r>
          </w:p>
        </w:tc>
        <w:tc>
          <w:tcPr>
            <w:tcW w:type="dxa" w:w="1568"/>
            <w:shd w:val="clear" w:color="auto" w:fill="FFFFFF"/>
          </w:tcPr>
          <w:p>
            <w:r>
              <w:rPr>
                <w:sz w:val="18"/>
              </w:rPr>
              <w:t>KMC capacity expansion (buses/EVs)</w:t>
            </w:r>
          </w:p>
        </w:tc>
        <w:tc>
          <w:tcPr>
            <w:tcW w:type="dxa" w:w="1568"/>
            <w:shd w:val="clear" w:color="auto" w:fill="FFFFFF"/>
          </w:tcPr>
          <w:p>
            <w:r>
              <w:rPr>
                <w:sz w:val="18"/>
              </w:rPr>
              <w:t>Automotive</w:t>
            </w:r>
          </w:p>
        </w:tc>
        <w:tc>
          <w:tcPr>
            <w:tcW w:type="dxa" w:w="1568"/>
            <w:shd w:val="clear" w:color="auto" w:fill="FFFFFF"/>
          </w:tcPr>
          <w:p>
            <w:r>
              <w:rPr>
                <w:sz w:val="18"/>
              </w:rPr>
              <w:t>Public + PPP</w:t>
            </w:r>
          </w:p>
        </w:tc>
        <w:tc>
          <w:tcPr>
            <w:tcW w:type="dxa" w:w="1568"/>
            <w:shd w:val="clear" w:color="auto" w:fill="FFFFFF"/>
          </w:tcPr>
          <w:p>
            <w:r>
              <w:rPr>
                <w:sz w:val="18"/>
              </w:rPr>
              <w:t>~USD 100–200m (indicative)</w:t>
            </w:r>
          </w:p>
        </w:tc>
        <w:tc>
          <w:tcPr>
            <w:tcW w:type="dxa" w:w="1568"/>
            <w:shd w:val="clear" w:color="auto" w:fill="FFFFFF"/>
          </w:tcPr>
          <w:p>
            <w:r>
              <w:rPr>
                <w:sz w:val="18"/>
              </w:rPr>
              <w:t>Plant commissioned Sept 2025</w:t>
            </w:r>
          </w:p>
        </w:tc>
      </w:tr>
      <w:tr>
        <w:tc>
          <w:tcPr>
            <w:tcW w:type="dxa" w:w="1568"/>
            <w:shd w:val="clear" w:color="auto" w:fill="EEF3F9"/>
          </w:tcPr>
          <w:p>
            <w:r>
              <w:rPr>
                <w:sz w:val="18"/>
              </w:rPr>
              <w:t>7</w:t>
            </w:r>
          </w:p>
        </w:tc>
        <w:tc>
          <w:tcPr>
            <w:tcW w:type="dxa" w:w="1568"/>
            <w:shd w:val="clear" w:color="auto" w:fill="EEF3F9"/>
          </w:tcPr>
          <w:p>
            <w:r>
              <w:rPr>
                <w:sz w:val="18"/>
              </w:rPr>
              <w:t>Motorcycle CKD assembly plant(s)</w:t>
            </w:r>
          </w:p>
        </w:tc>
        <w:tc>
          <w:tcPr>
            <w:tcW w:type="dxa" w:w="1568"/>
            <w:shd w:val="clear" w:color="auto" w:fill="EEF3F9"/>
          </w:tcPr>
          <w:p>
            <w:r>
              <w:rPr>
                <w:sz w:val="18"/>
              </w:rPr>
              <w:t>Automotive</w:t>
            </w:r>
          </w:p>
        </w:tc>
        <w:tc>
          <w:tcPr>
            <w:tcW w:type="dxa" w:w="1568"/>
            <w:shd w:val="clear" w:color="auto" w:fill="EEF3F9"/>
          </w:tcPr>
          <w:p>
            <w:r>
              <w:rPr>
                <w:sz w:val="18"/>
              </w:rPr>
              <w:t>Private-led</w:t>
            </w:r>
          </w:p>
        </w:tc>
        <w:tc>
          <w:tcPr>
            <w:tcW w:type="dxa" w:w="1568"/>
            <w:shd w:val="clear" w:color="auto" w:fill="EEF3F9"/>
          </w:tcPr>
          <w:p>
            <w:r>
              <w:rPr>
                <w:sz w:val="18"/>
              </w:rPr>
              <w:t>~USD 20–50m (indicative)</w:t>
            </w:r>
          </w:p>
        </w:tc>
        <w:tc>
          <w:tcPr>
            <w:tcW w:type="dxa" w:w="1568"/>
            <w:shd w:val="clear" w:color="auto" w:fill="EEF3F9"/>
          </w:tcPr>
          <w:p>
            <w:r>
              <w:rPr>
                <w:sz w:val="18"/>
              </w:rPr>
              <w:t>Substitutes part of USD 157m imports</w:t>
            </w:r>
          </w:p>
        </w:tc>
      </w:tr>
    </w:tbl>
    <w:p/>
    <w:p>
      <w:r>
        <w:rPr>
          <w:b/>
        </w:rPr>
        <w:t>Portfolio logic.</w:t>
      </w:r>
      <w:r>
        <w:t xml:space="preserve"> Items 1, 3, and 4 are the </w:t>
      </w:r>
      <w:r>
        <w:rPr>
          <w:b/>
        </w:rPr>
        <w:t>upstream enablers</w:t>
      </w:r>
      <w:r>
        <w:t xml:space="preserve"> (close the mining/processing gap). Items 2 and 5 are the </w:t>
      </w:r>
      <w:r>
        <w:rPr>
          <w:b/>
        </w:rPr>
        <w:t>largest import-substitution prizes</w:t>
      </w:r>
      <w:r>
        <w:t xml:space="preserve"> (flat steel; cable). Items 6 and 7 are the </w:t>
      </w:r>
      <w:r>
        <w:rPr>
          <w:b/>
        </w:rPr>
        <w:t>demand anchors and job multipliers</w:t>
      </w:r>
      <w:r>
        <w:t xml:space="preserve"> (buses/EVs; motorcycles). Sequenced correctly, the upstream investments feed the downstream ones.</w:t>
      </w:r>
    </w:p>
    <w:p>
      <w:pPr>
        <w:pStyle w:val="Heading2"/>
      </w:pPr>
      <w:r>
        <w:t>8.3 Project Profiles (Priority Products Only)</w:t>
      </w:r>
    </w:p>
    <w:p>
      <w:r>
        <w:t xml:space="preserve">Per the agreed scope, standalone profiles are produced for the </w:t>
      </w:r>
      <w:r>
        <w:rPr>
          <w:b/>
        </w:rPr>
        <w:t>priority products</w:t>
      </w:r>
      <w:r>
        <w:t xml:space="preserve"> identified in Chapters 4–6. Each is a one-to-two-page investor-facing summary; figures are indicative pending feasibility.</w:t>
      </w:r>
    </w:p>
    <w:p>
      <w:pPr>
        <w:pStyle w:val="Heading3"/>
      </w:pPr>
      <w:r>
        <w:t>Profile 1 — Integrated Iron &amp; Steel Complex (ore→DRI→steel→rolling)</w:t>
      </w:r>
    </w:p>
    <w:p>
      <w:pPr>
        <w:pStyle w:val="ListBullet"/>
      </w:pPr>
      <w:r>
        <w:rPr>
          <w:b/>
        </w:rPr>
        <w:t>Business case:</w:t>
      </w:r>
      <w:r>
        <w:t xml:space="preserve"> Uganda imports USD 78.5m of semi-finished steel and USD 219.5m of flat steel annually (ITC TradeMap, 2024) while exporting iron ore raw. An integrated complex captures the full value chain domestically.</w:t>
      </w:r>
    </w:p>
    <w:p>
      <w:pPr>
        <w:pStyle w:val="ListBullet"/>
      </w:pPr>
      <w:r>
        <w:rPr>
          <w:b/>
        </w:rPr>
        <w:t>Anchor:</w:t>
      </w:r>
      <w:r>
        <w:t xml:space="preserve"> Devki Group's announced ~USD 500m integrated complex (Tororo/Mbarara), ground broken Nov 2025, ~15,000 jobs projected (GMK Center; The Independent, 2025).</w:t>
      </w:r>
    </w:p>
    <w:p>
      <w:pPr>
        <w:pStyle w:val="ListBullet"/>
      </w:pPr>
      <w:r>
        <w:rPr>
          <w:b/>
        </w:rPr>
        <w:t>Modality:</w:t>
      </w:r>
      <w:r>
        <w:t xml:space="preserve"> Private-led with PPP support (power, land, infrastructure).</w:t>
      </w:r>
    </w:p>
    <w:p>
      <w:pPr>
        <w:pStyle w:val="ListBullet"/>
      </w:pPr>
      <w:r>
        <w:rPr>
          <w:b/>
        </w:rPr>
        <w:t>Indicative CAPEX:</w:t>
      </w:r>
      <w:r>
        <w:t xml:space="preserve"> USD 500m–1.0bn. </w:t>
      </w:r>
      <w:r>
        <w:rPr>
          <w:b/>
        </w:rPr>
        <w:t>Key risks:</w:t>
      </w:r>
      <w:r>
        <w:t xml:space="preserve"> power reliability, ore supply, capital. </w:t>
      </w:r>
      <w:r>
        <w:rPr>
          <w:b/>
        </w:rPr>
        <w:t>Mitigations:</w:t>
      </w:r>
      <w:r>
        <w:t xml:space="preserve"> power agreement, ore-export restriction, blended finance.</w:t>
      </w:r>
    </w:p>
    <w:p>
      <w:pPr>
        <w:pStyle w:val="Heading3"/>
      </w:pPr>
      <w:r>
        <w:t>Profile 2 — Flat-Steel Rolling Mill</w:t>
      </w:r>
    </w:p>
    <w:p>
      <w:pPr>
        <w:pStyle w:val="ListBullet"/>
      </w:pPr>
      <w:r>
        <w:rPr>
          <w:b/>
        </w:rPr>
        <w:t>Business case:</w:t>
      </w:r>
      <w:r>
        <w:t xml:space="preserve"> Flat steel (HS 7208) is the single largest steel import line — USD 219.5m in 2024 — with no domestic production. A hot/cold-rolling mill substitutes imports for construction and manufacturing.</w:t>
      </w:r>
    </w:p>
    <w:p>
      <w:pPr>
        <w:pStyle w:val="ListBullet"/>
      </w:pPr>
      <w:r>
        <w:rPr>
          <w:b/>
        </w:rPr>
        <w:t>Modality:</w:t>
      </w:r>
      <w:r>
        <w:t xml:space="preserve"> Private-led. </w:t>
      </w:r>
      <w:r>
        <w:rPr>
          <w:b/>
        </w:rPr>
        <w:t>Indicative CAPEX:</w:t>
      </w:r>
      <w:r>
        <w:t xml:space="preserve"> USD 150–300m. </w:t>
      </w:r>
      <w:r>
        <w:rPr>
          <w:b/>
        </w:rPr>
        <w:t>Key risk:</w:t>
      </w:r>
      <w:r>
        <w:t xml:space="preserve"> feedstock (slab) supply — best paired with Profile 1.</w:t>
      </w:r>
    </w:p>
    <w:p>
      <w:pPr>
        <w:pStyle w:val="Heading3"/>
      </w:pPr>
      <w:r>
        <w:t>Profile 3 — Iron-Ore Mining &amp; Beneficiation</w:t>
      </w:r>
    </w:p>
    <w:p>
      <w:pPr>
        <w:pStyle w:val="ListBullet"/>
      </w:pPr>
      <w:r>
        <w:rPr>
          <w:b/>
        </w:rPr>
        <w:t>Business case:</w:t>
      </w:r>
      <w:r>
        <w:t xml:space="preserve"> Domestic high-grade ore (Muko/Mutaka) is under-exploited; mining and beneficiation feed domestic DRI and stop raw-ore leakage.</w:t>
      </w:r>
    </w:p>
    <w:p>
      <w:pPr>
        <w:pStyle w:val="ListBullet"/>
      </w:pPr>
      <w:r>
        <w:rPr>
          <w:b/>
        </w:rPr>
        <w:t>Modality:</w:t>
      </w:r>
      <w:r>
        <w:t xml:space="preserve"> Private-led / PPP. </w:t>
      </w:r>
      <w:r>
        <w:rPr>
          <w:b/>
        </w:rPr>
        <w:t>Indicative CAPEX:</w:t>
      </w:r>
      <w:r>
        <w:t xml:space="preserve"> USD 100–250m. </w:t>
      </w:r>
      <w:r>
        <w:rPr>
          <w:b/>
        </w:rPr>
        <w:t>Enabler</w:t>
      </w:r>
      <w:r>
        <w:t xml:space="preserve"> for Profiles 1–2.</w:t>
      </w:r>
    </w:p>
    <w:p>
      <w:pPr>
        <w:pStyle w:val="Heading3"/>
      </w:pPr>
      <w:r>
        <w:t>Profile 4 — Kilembe Copper–Cobalt Redevelopment</w:t>
      </w:r>
    </w:p>
    <w:p>
      <w:pPr>
        <w:pStyle w:val="ListBullet"/>
      </w:pPr>
      <w:r>
        <w:rPr>
          <w:b/>
        </w:rPr>
        <w:t>Business case:</w:t>
      </w:r>
      <w:r>
        <w:t xml:space="preserve"> 6.5m t ore @1.77% Cu + 5.5m t @0.17% cobalt (DGSM); revives midstream copper and adds high-value cobalt.</w:t>
      </w:r>
    </w:p>
    <w:p>
      <w:pPr>
        <w:pStyle w:val="ListBullet"/>
      </w:pPr>
      <w:r>
        <w:rPr>
          <w:b/>
        </w:rPr>
        <w:t>Anchor:</w:t>
      </w:r>
      <w:r>
        <w:t xml:space="preserve"> Sarrai Group/Nile Fibreboard production-sharing agreement, March 2025 (DGSM; Mining Weekly).</w:t>
      </w:r>
    </w:p>
    <w:p>
      <w:pPr>
        <w:pStyle w:val="ListBullet"/>
      </w:pPr>
      <w:r>
        <w:rPr>
          <w:b/>
        </w:rPr>
        <w:t>Modality:</w:t>
      </w:r>
      <w:r>
        <w:t xml:space="preserve"> Production-sharing (PPP), investor-financed. </w:t>
      </w:r>
      <w:r>
        <w:rPr>
          <w:b/>
        </w:rPr>
        <w:t>Priority output:</w:t>
      </w:r>
      <w:r>
        <w:t xml:space="preserve"> cathode feedstock for domestic cable + cobalt for export. </w:t>
      </w:r>
      <w:r>
        <w:rPr>
          <w:b/>
        </w:rPr>
        <w:t>Key risks:</w:t>
      </w:r>
      <w:r>
        <w:t xml:space="preserve"> capital, tailings/environment, power/transport.</w:t>
      </w:r>
    </w:p>
    <w:p>
      <w:pPr>
        <w:pStyle w:val="Heading3"/>
      </w:pPr>
      <w:r>
        <w:t>Profile 5 — Cable &amp; Conductor Capacity Expansion</w:t>
      </w:r>
    </w:p>
    <w:p>
      <w:pPr>
        <w:pStyle w:val="ListBullet"/>
      </w:pPr>
      <w:r>
        <w:rPr>
          <w:b/>
        </w:rPr>
        <w:t>Business case:</w:t>
      </w:r>
      <w:r>
        <w:t xml:space="preserve"> Insulated cable imports were USD 57.7m in 2024 (ITC TradeMap); Cable Corporation already holds ~65% of the domestic market. Expansion captures imports and grows regional exports.</w:t>
      </w:r>
    </w:p>
    <w:p>
      <w:pPr>
        <w:pStyle w:val="ListBullet"/>
      </w:pPr>
      <w:r>
        <w:rPr>
          <w:b/>
        </w:rPr>
        <w:t>Modality:</w:t>
      </w:r>
      <w:r>
        <w:t xml:space="preserve"> Private-led. </w:t>
      </w:r>
      <w:r>
        <w:rPr>
          <w:b/>
        </w:rPr>
        <w:t>Indicative CAPEX:</w:t>
      </w:r>
      <w:r>
        <w:t xml:space="preserve"> USD 30–80m. </w:t>
      </w:r>
      <w:r>
        <w:rPr>
          <w:b/>
        </w:rPr>
        <w:t>Lowest-risk, fastest win</w:t>
      </w:r>
      <w:r>
        <w:t xml:space="preserve"> in the copper chain.</w:t>
      </w:r>
    </w:p>
    <w:p>
      <w:pPr>
        <w:pStyle w:val="Heading3"/>
      </w:pPr>
      <w:r>
        <w:t>Profile 6 — KMC Capacity Expansion (Buses / EVs)</w:t>
      </w:r>
    </w:p>
    <w:p>
      <w:pPr>
        <w:pStyle w:val="ListBullet"/>
      </w:pPr>
      <w:r>
        <w:rPr>
          <w:b/>
        </w:rPr>
        <w:t>Business case:</w:t>
      </w:r>
      <w:r>
        <w:t xml:space="preserve"> Plant commissioned Sept 2025 (2,500→10,000 veh/yr target); EV buses for public fleets; regional export interest (UBC, 2025).</w:t>
      </w:r>
    </w:p>
    <w:p>
      <w:pPr>
        <w:pStyle w:val="ListBullet"/>
      </w:pPr>
      <w:r>
        <w:rPr>
          <w:b/>
        </w:rPr>
        <w:t>Modality:</w:t>
      </w:r>
      <w:r>
        <w:t xml:space="preserve"> Public + PPP. </w:t>
      </w:r>
      <w:r>
        <w:rPr>
          <w:b/>
        </w:rPr>
        <w:t>Indicative CAPEX:</w:t>
      </w:r>
      <w:r>
        <w:t xml:space="preserve"> USD 100–200m. </w:t>
      </w:r>
      <w:r>
        <w:rPr>
          <w:b/>
        </w:rPr>
        <w:t>Immediate need:</w:t>
      </w:r>
      <w:r>
        <w:t xml:space="preserve"> close the ~UGX 50bn FY25/26 financing gap to enable ramp-up.</w:t>
      </w:r>
    </w:p>
    <w:p>
      <w:pPr>
        <w:pStyle w:val="Heading3"/>
      </w:pPr>
      <w:r>
        <w:t>Profile 7 — Motorcycle CKD Assembly</w:t>
      </w:r>
    </w:p>
    <w:p>
      <w:pPr>
        <w:pStyle w:val="ListBullet"/>
      </w:pPr>
      <w:r>
        <w:rPr>
          <w:b/>
        </w:rPr>
        <w:t>Business case:</w:t>
      </w:r>
      <w:r>
        <w:t xml:space="preserve"> USD 157.1m of motorcycles imported in 2024 (ITC TradeMap) for the boda-boda market; CKD assembly is feasible and job-rich.</w:t>
      </w:r>
    </w:p>
    <w:p>
      <w:pPr>
        <w:pStyle w:val="ListBullet"/>
      </w:pPr>
      <w:r>
        <w:rPr>
          <w:b/>
        </w:rPr>
        <w:t>Modality:</w:t>
      </w:r>
      <w:r>
        <w:t xml:space="preserve"> Private-led. </w:t>
      </w:r>
      <w:r>
        <w:rPr>
          <w:b/>
        </w:rPr>
        <w:t>Indicative CAPEX:</w:t>
      </w:r>
      <w:r>
        <w:t xml:space="preserve"> USD 20–50m.</w:t>
      </w:r>
    </w:p>
    <w:p>
      <w:pPr>
        <w:pStyle w:val="Heading2"/>
      </w:pPr>
      <w:r>
        <w:t>8.4 Implementation Roadmap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Horizon</w:t>
            </w:r>
          </w:p>
        </w:tc>
        <w:tc>
          <w:tcPr>
            <w:tcW w:type="dxa" w:w="2351"/>
            <w:shd w:val="clear" w:color="auto" w:fill="002B5B"/>
          </w:tcPr>
          <w:p>
            <w:r>
              <w:rPr>
                <w:b/>
                <w:color w:val="FFFFFF"/>
                <w:sz w:val="18"/>
              </w:rPr>
              <w:t>Iron &amp; Steel</w:t>
            </w:r>
          </w:p>
        </w:tc>
        <w:tc>
          <w:tcPr>
            <w:tcW w:type="dxa" w:w="2351"/>
            <w:shd w:val="clear" w:color="auto" w:fill="002B5B"/>
          </w:tcPr>
          <w:p>
            <w:r>
              <w:rPr>
                <w:b/>
                <w:color w:val="FFFFFF"/>
                <w:sz w:val="18"/>
              </w:rPr>
              <w:t>Copper</w:t>
            </w:r>
          </w:p>
        </w:tc>
        <w:tc>
          <w:tcPr>
            <w:tcW w:type="dxa" w:w="2351"/>
            <w:shd w:val="clear" w:color="auto" w:fill="002B5B"/>
          </w:tcPr>
          <w:p>
            <w:r>
              <w:rPr>
                <w:b/>
                <w:color w:val="FFFFFF"/>
                <w:sz w:val="18"/>
              </w:rPr>
              <w:t>Automotive</w:t>
            </w:r>
          </w:p>
        </w:tc>
      </w:tr>
      <w:tr>
        <w:tc>
          <w:tcPr>
            <w:tcW w:type="dxa" w:w="2351"/>
            <w:shd w:val="clear" w:color="auto" w:fill="EEF3F9"/>
          </w:tcPr>
          <w:p>
            <w:r>
              <w:rPr>
                <w:b/>
                <w:sz w:val="18"/>
              </w:rPr>
              <w:t>Year 1 (quick wins)</w:t>
            </w:r>
          </w:p>
        </w:tc>
        <w:tc>
          <w:tcPr>
            <w:tcW w:type="dxa" w:w="2351"/>
            <w:shd w:val="clear" w:color="auto" w:fill="EEF3F9"/>
          </w:tcPr>
          <w:p>
            <w:r>
              <w:rPr>
                <w:sz w:val="18"/>
              </w:rPr>
              <w:t>Ore-export restriction; UNBS enforcement; secure ore licences</w:t>
            </w:r>
          </w:p>
        </w:tc>
        <w:tc>
          <w:tcPr>
            <w:tcW w:type="dxa" w:w="2351"/>
            <w:shd w:val="clear" w:color="auto" w:fill="EEF3F9"/>
          </w:tcPr>
          <w:p>
            <w:r>
              <w:rPr>
                <w:sz w:val="18"/>
              </w:rPr>
              <w:t>Finalise Kilembe workplan; UNBS cable enforcement</w:t>
            </w:r>
          </w:p>
        </w:tc>
        <w:tc>
          <w:tcPr>
            <w:tcW w:type="dxa" w:w="2351"/>
            <w:shd w:val="clear" w:color="auto" w:fill="EEF3F9"/>
          </w:tcPr>
          <w:p>
            <w:r>
              <w:rPr>
                <w:sz w:val="18"/>
              </w:rPr>
              <w:t>Close KMC financing gap; public-fleet bus procurement</w:t>
            </w:r>
          </w:p>
        </w:tc>
      </w:tr>
      <w:tr>
        <w:tc>
          <w:tcPr>
            <w:tcW w:type="dxa" w:w="2351"/>
            <w:shd w:val="clear" w:color="auto" w:fill="FFFFFF"/>
          </w:tcPr>
          <w:p>
            <w:r>
              <w:rPr>
                <w:b/>
                <w:sz w:val="18"/>
              </w:rPr>
              <w:t>Years 2–3 (reforms + first capital)</w:t>
            </w:r>
          </w:p>
        </w:tc>
        <w:tc>
          <w:tcPr>
            <w:tcW w:type="dxa" w:w="2351"/>
            <w:shd w:val="clear" w:color="auto" w:fill="FFFFFF"/>
          </w:tcPr>
          <w:p>
            <w:r>
              <w:rPr>
                <w:sz w:val="18"/>
              </w:rPr>
              <w:t>Power agreement; beneficiation start; flat-mill Front-End Engineering Design (FEED)</w:t>
            </w:r>
          </w:p>
        </w:tc>
        <w:tc>
          <w:tcPr>
            <w:tcW w:type="dxa" w:w="2351"/>
            <w:shd w:val="clear" w:color="auto" w:fill="FFFFFF"/>
          </w:tcPr>
          <w:p>
            <w:r>
              <w:rPr>
                <w:sz w:val="18"/>
              </w:rPr>
              <w:t>Cobalt strategy; tailings framework; cable expansion</w:t>
            </w:r>
          </w:p>
        </w:tc>
        <w:tc>
          <w:tcPr>
            <w:tcW w:type="dxa" w:w="2351"/>
            <w:shd w:val="clear" w:color="auto" w:fill="FFFFFF"/>
          </w:tcPr>
          <w:p>
            <w:r>
              <w:rPr>
                <w:sz w:val="18"/>
              </w:rPr>
              <w:t>Local-content/CKD incentives; skills compact; supplier development</w:t>
            </w:r>
          </w:p>
        </w:tc>
      </w:tr>
      <w:tr>
        <w:tc>
          <w:tcPr>
            <w:tcW w:type="dxa" w:w="2351"/>
            <w:shd w:val="clear" w:color="auto" w:fill="EEF3F9"/>
          </w:tcPr>
          <w:p>
            <w:r>
              <w:rPr>
                <w:b/>
                <w:sz w:val="18"/>
              </w:rPr>
              <w:t>Years 4–5 (major investment)</w:t>
            </w:r>
          </w:p>
        </w:tc>
        <w:tc>
          <w:tcPr>
            <w:tcW w:type="dxa" w:w="2351"/>
            <w:shd w:val="clear" w:color="auto" w:fill="EEF3F9"/>
          </w:tcPr>
          <w:p>
            <w:r>
              <w:rPr>
                <w:sz w:val="18"/>
              </w:rPr>
              <w:t>Integrated complex + flat mill commissioning</w:t>
            </w:r>
          </w:p>
        </w:tc>
        <w:tc>
          <w:tcPr>
            <w:tcW w:type="dxa" w:w="2351"/>
            <w:shd w:val="clear" w:color="auto" w:fill="EEF3F9"/>
          </w:tcPr>
          <w:p>
            <w:r>
              <w:rPr>
                <w:sz w:val="18"/>
              </w:rPr>
              <w:t>Kilembe cathode/cobalt production</w:t>
            </w:r>
          </w:p>
        </w:tc>
        <w:tc>
          <w:tcPr>
            <w:tcW w:type="dxa" w:w="2351"/>
            <w:shd w:val="clear" w:color="auto" w:fill="EEF3F9"/>
          </w:tcPr>
          <w:p>
            <w:r>
              <w:rPr>
                <w:sz w:val="18"/>
              </w:rPr>
              <w:t>KMC expansion to 10,000/yr; motorcycle CKD plant(s)</w:t>
            </w:r>
          </w:p>
        </w:tc>
      </w:tr>
    </w:tbl>
    <w:p/>
    <w:p>
      <w:r>
        <w:rPr>
          <w:b/>
        </w:rPr>
        <w:t>Sequencing principle.</w:t>
      </w:r>
      <w:r>
        <w:t xml:space="preserve"> Year 1 is policy and demand-anchoring (low cost, high signal). Years 2–3 secure feedstock, power, skills, and finance. Years 4–5 are the major capital builds, by which time the enabling conditions are in place. This ordering reduces the risk that large plants are built without feedstock, power, or demand.</w:t>
      </w:r>
    </w:p>
    <w:p>
      <w:pPr>
        <w:pStyle w:val="Heading2"/>
      </w:pPr>
      <w:r>
        <w:t>8.5 Indicative Portfolio Total</w:t>
      </w:r>
    </w:p>
    <w:p>
      <w:r>
        <w:t xml:space="preserve">The seven priority investments represent an </w:t>
      </w:r>
      <w:r>
        <w:rPr>
          <w:b/>
        </w:rPr>
        <w:t>indicative total in the order of USD 1.0–2.0 billion</w:t>
      </w:r>
      <w:r>
        <w:t xml:space="preserve"> over five years, dominated by the integrated steel complex and Kilembe redevelopment. The majority is intended to be </w:t>
      </w:r>
      <w:r>
        <w:rPr>
          <w:b/>
        </w:rPr>
        <w:t>private- or investor-financed</w:t>
      </w:r>
      <w:r>
        <w:t xml:space="preserve"> (Devki; Sarrai/Nile Fibreboard production-sharing; Cable Corp; motorcycle assemblers), with public and PPP support concentrated in </w:t>
      </w:r>
      <w:r>
        <w:rPr>
          <w:b/>
        </w:rPr>
        <w:t>enabling infrastructure, the KMC anchor, and blended finance</w:t>
      </w:r>
      <w:r>
        <w:t>. These figures are indicative and require feasibility confirmation.</w:t>
      </w:r>
    </w:p>
    <w:p>
      <w:pPr>
        <w:pStyle w:val="Heading2"/>
      </w:pPr>
      <w:r>
        <w:t>References</w:t>
      </w:r>
    </w:p>
    <w:p>
      <w:pPr>
        <w:pStyle w:val="ListBullet"/>
      </w:pPr>
      <w:r>
        <w:t>ITC TradeMap, trade statistics (2024). https://www.trademap.org</w:t>
      </w:r>
    </w:p>
    <w:p>
      <w:pPr>
        <w:pStyle w:val="ListBullet"/>
      </w:pPr>
      <w:r>
        <w:t>Directorate of Geological Survey and Mines, "Redevelopment of Kilembe Mines." https://dgsm.go.ug/redevelopment-of-kilembe-mines/</w:t>
      </w:r>
    </w:p>
    <w:p>
      <w:pPr>
        <w:pStyle w:val="ListBullet"/>
      </w:pPr>
      <w:r>
        <w:t>Mining Weekly, "Uganda signs maiden production-sharing deal to revive copper mine" (4 March 2025). https://www.miningweekly.com/article/uganda-signs-maiden-production-sharing-deal-to-revive-copper-mine-2025-03-04</w:t>
      </w:r>
    </w:p>
    <w:p>
      <w:pPr>
        <w:pStyle w:val="ListBullet"/>
      </w:pPr>
      <w:r>
        <w:t>GMK Center, "A steel plant will be built in Uganda with investments of $500 million" (2025). https://gmk.center/en/news/a-steel-plant-will-be-built-in-uganda-with-investments-of-500-million/</w:t>
      </w:r>
    </w:p>
    <w:p>
      <w:pPr>
        <w:pStyle w:val="ListBullet"/>
      </w:pPr>
      <w:r>
        <w:t>The Independent, "Devki Group bets $500m on Uganda steel production" (2025). https://www.independent.co.ug/devki-group-bets-500m-on-uganda-steel-production/</w:t>
      </w:r>
    </w:p>
    <w:p>
      <w:pPr>
        <w:pStyle w:val="ListBullet"/>
      </w:pPr>
      <w:r>
        <w:t>Uganda Broadcasting Corporation, "Uganda Commissions Africa's Most Advanced Vehicle Plant" (2025). https://ubc.go.ug/2025/09/27/uganda-commissions-africas-most-advanced-vehicle-plant-a-historic-milestone-for-industrialization-and-innovation/</w:t>
      </w:r>
    </w:p>
    <w:p>
      <w:pPr>
        <w:pStyle w:val="ListBullet"/>
      </w:pPr>
      <w:r>
        <w:t>Uganda Investment Authority. https://ugandainvest.go.ug/</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